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4029970" w:displacedByCustomXml="next"/>
    <w:bookmarkEnd w:id="0" w:displacedByCustomXml="next"/>
    <w:sdt>
      <w:sdtPr>
        <w:id w:val="560522851"/>
        <w:docPartObj>
          <w:docPartGallery w:val="Cover Pages"/>
          <w:docPartUnique/>
        </w:docPartObj>
      </w:sdtPr>
      <w:sdtContent>
        <w:p w14:paraId="754A0184" w14:textId="77777777" w:rsidR="00015ED1" w:rsidRDefault="003A5250" w:rsidP="00015ED1">
          <w:pPr>
            <w:spacing w:line="10" w:lineRule="atLeast"/>
            <w:jc w:val="center"/>
            <w:rPr>
              <w:rFonts w:ascii="Arial" w:hAnsi="Arial" w:cs="Arial"/>
              <w:b/>
              <w:sz w:val="40"/>
              <w:szCs w:val="40"/>
            </w:rPr>
          </w:pPr>
          <w:r>
            <w:rPr>
              <w:noProof/>
            </w:rPr>
            <mc:AlternateContent>
              <mc:Choice Requires="wps">
                <w:drawing>
                  <wp:anchor distT="0" distB="0" distL="114300" distR="114300" simplePos="0" relativeHeight="251652096" behindDoc="0" locked="0" layoutInCell="1" allowOverlap="1" wp14:anchorId="315995AB" wp14:editId="2B8498EE">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139D6" w14:textId="7DAECD3F" w:rsidR="005F3D8F" w:rsidRPr="00223A45" w:rsidRDefault="005F3D8F">
                                <w:pPr>
                                  <w:pStyle w:val="NoSpacing"/>
                                  <w:jc w:val="right"/>
                                  <w:rPr>
                                    <w:rFonts w:ascii="Arial" w:hAnsi="Arial" w:cs="Arial"/>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15995AB"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5209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084139D6" w14:textId="7DAECD3F" w:rsidR="005F3D8F" w:rsidRPr="00223A45" w:rsidRDefault="005F3D8F">
                          <w:pPr>
                            <w:pStyle w:val="NoSpacing"/>
                            <w:jc w:val="right"/>
                            <w:rPr>
                              <w:rFonts w:ascii="Arial" w:hAnsi="Arial" w:cs="Arial"/>
                              <w:color w:val="595959" w:themeColor="text1" w:themeTint="A6"/>
                              <w:sz w:val="18"/>
                              <w:szCs w:val="18"/>
                            </w:rPr>
                          </w:pPr>
                        </w:p>
                      </w:txbxContent>
                    </v:textbox>
                    <w10:wrap type="square" anchorx="page" anchory="page"/>
                  </v:shape>
                </w:pict>
              </mc:Fallback>
            </mc:AlternateContent>
          </w:r>
        </w:p>
        <w:p w14:paraId="33290D1B" w14:textId="77777777" w:rsidR="00015ED1" w:rsidRPr="005E439C" w:rsidRDefault="00015ED1" w:rsidP="00015ED1">
          <w:pPr>
            <w:spacing w:line="10" w:lineRule="atLeast"/>
            <w:jc w:val="center"/>
            <w:rPr>
              <w:rFonts w:ascii="Arial" w:hAnsi="Arial" w:cs="Arial"/>
              <w:b/>
              <w:sz w:val="40"/>
              <w:szCs w:val="40"/>
            </w:rPr>
          </w:pPr>
          <w:r>
            <w:rPr>
              <w:rFonts w:ascii="Arial" w:hAnsi="Arial" w:cs="Arial"/>
              <w:b/>
              <w:sz w:val="40"/>
              <w:szCs w:val="40"/>
            </w:rPr>
            <w:t xml:space="preserve">Department of Civil Engineering, Surveying and Construction Management </w:t>
          </w:r>
        </w:p>
        <w:p w14:paraId="48E88ADE" w14:textId="77777777" w:rsidR="00015ED1" w:rsidRPr="00452050" w:rsidRDefault="00015ED1" w:rsidP="00015ED1">
          <w:pPr>
            <w:jc w:val="center"/>
            <w:rPr>
              <w:rFonts w:ascii="Arial" w:hAnsi="Arial" w:cs="Arial"/>
              <w:b/>
              <w:sz w:val="40"/>
            </w:rPr>
          </w:pPr>
        </w:p>
        <w:p w14:paraId="1C243A1F" w14:textId="77777777" w:rsidR="00015ED1" w:rsidRPr="00452050" w:rsidRDefault="00015ED1" w:rsidP="00015ED1">
          <w:pPr>
            <w:rPr>
              <w:rFonts w:ascii="Arial" w:hAnsi="Arial" w:cs="Arial"/>
              <w:b/>
              <w:sz w:val="40"/>
            </w:rPr>
          </w:pPr>
        </w:p>
        <w:p w14:paraId="34D67813" w14:textId="77777777" w:rsidR="00015ED1" w:rsidRPr="00452050" w:rsidRDefault="00015ED1" w:rsidP="00015ED1">
          <w:pPr>
            <w:jc w:val="center"/>
            <w:rPr>
              <w:rFonts w:ascii="Arial" w:hAnsi="Arial" w:cs="Arial"/>
              <w:b/>
              <w:sz w:val="40"/>
              <w:szCs w:val="40"/>
            </w:rPr>
          </w:pPr>
          <w:r>
            <w:rPr>
              <w:rFonts w:ascii="Arial" w:hAnsi="Arial" w:cs="Arial"/>
              <w:b/>
              <w:sz w:val="40"/>
              <w:szCs w:val="40"/>
            </w:rPr>
            <w:t>BEng (Hons)</w:t>
          </w:r>
          <w:r w:rsidRPr="00452050">
            <w:rPr>
              <w:rFonts w:ascii="Arial" w:hAnsi="Arial" w:cs="Arial"/>
              <w:b/>
              <w:sz w:val="40"/>
              <w:szCs w:val="40"/>
            </w:rPr>
            <w:t xml:space="preserve"> DEGREE </w:t>
          </w:r>
        </w:p>
        <w:p w14:paraId="22C94F50" w14:textId="77777777" w:rsidR="00015ED1" w:rsidRPr="00452050" w:rsidRDefault="00015ED1" w:rsidP="00015ED1">
          <w:pPr>
            <w:jc w:val="center"/>
            <w:rPr>
              <w:rFonts w:ascii="Arial" w:hAnsi="Arial" w:cs="Arial"/>
              <w:b/>
              <w:sz w:val="40"/>
              <w:szCs w:val="40"/>
            </w:rPr>
          </w:pPr>
          <w:r w:rsidRPr="00452050">
            <w:rPr>
              <w:rFonts w:ascii="Arial" w:hAnsi="Arial" w:cs="Arial"/>
              <w:b/>
              <w:sz w:val="40"/>
              <w:szCs w:val="40"/>
            </w:rPr>
            <w:t xml:space="preserve">IN </w:t>
          </w:r>
        </w:p>
        <w:p w14:paraId="1FF484CF" w14:textId="77777777" w:rsidR="00015ED1" w:rsidRPr="001F67E5" w:rsidRDefault="00015ED1" w:rsidP="00015ED1">
          <w:pPr>
            <w:jc w:val="center"/>
            <w:rPr>
              <w:rFonts w:ascii="Arial" w:hAnsi="Arial" w:cs="Arial"/>
              <w:b/>
              <w:sz w:val="40"/>
              <w:szCs w:val="40"/>
            </w:rPr>
          </w:pPr>
          <w:r w:rsidRPr="001F67E5">
            <w:rPr>
              <w:rFonts w:ascii="Arial" w:hAnsi="Arial" w:cs="Arial"/>
              <w:b/>
              <w:sz w:val="40"/>
              <w:szCs w:val="40"/>
            </w:rPr>
            <w:t>Civil Engineering</w:t>
          </w:r>
        </w:p>
        <w:p w14:paraId="0297BD63" w14:textId="77777777" w:rsidR="00015ED1" w:rsidRPr="00F84EBE" w:rsidRDefault="00015ED1" w:rsidP="00015ED1">
          <w:pPr>
            <w:pStyle w:val="Footer"/>
            <w:jc w:val="center"/>
            <w:rPr>
              <w:rFonts w:ascii="Arial" w:hAnsi="Arial" w:cs="Arial"/>
              <w:b/>
              <w:sz w:val="36"/>
              <w:highlight w:val="yellow"/>
            </w:rPr>
          </w:pPr>
        </w:p>
        <w:p w14:paraId="12493DAF" w14:textId="77777777" w:rsidR="00015ED1" w:rsidRPr="00F84EBE" w:rsidRDefault="00015ED1" w:rsidP="00015ED1">
          <w:pPr>
            <w:pStyle w:val="Footer"/>
            <w:rPr>
              <w:rFonts w:ascii="Arial" w:hAnsi="Arial" w:cs="Arial"/>
              <w:highlight w:val="yellow"/>
            </w:rPr>
          </w:pPr>
        </w:p>
        <w:p w14:paraId="1ED01754" w14:textId="77777777" w:rsidR="00015ED1" w:rsidRPr="00F84EBE" w:rsidRDefault="00015ED1" w:rsidP="00015ED1">
          <w:pPr>
            <w:pStyle w:val="Footer"/>
            <w:jc w:val="center"/>
            <w:rPr>
              <w:rFonts w:ascii="Arial" w:hAnsi="Arial" w:cs="Arial"/>
              <w:highlight w:val="yellow"/>
            </w:rPr>
          </w:pPr>
        </w:p>
        <w:p w14:paraId="301BB733" w14:textId="77777777" w:rsidR="00015ED1" w:rsidRPr="00F84EBE" w:rsidRDefault="00015ED1" w:rsidP="00015ED1">
          <w:pPr>
            <w:pStyle w:val="Footer"/>
            <w:jc w:val="center"/>
            <w:rPr>
              <w:rFonts w:ascii="Arial" w:hAnsi="Arial" w:cs="Arial"/>
              <w:highlight w:val="yellow"/>
            </w:rPr>
          </w:pPr>
        </w:p>
        <w:p w14:paraId="324FF685" w14:textId="77777777" w:rsidR="00015ED1" w:rsidRPr="001F67E5" w:rsidRDefault="00015ED1" w:rsidP="00015ED1">
          <w:pPr>
            <w:pStyle w:val="Footer"/>
            <w:jc w:val="center"/>
            <w:rPr>
              <w:rFonts w:ascii="Arial" w:hAnsi="Arial" w:cs="Arial"/>
              <w:sz w:val="32"/>
            </w:rPr>
          </w:pPr>
          <w:r w:rsidRPr="001F67E5">
            <w:rPr>
              <w:rFonts w:ascii="Arial" w:hAnsi="Arial" w:cs="Arial"/>
              <w:sz w:val="32"/>
            </w:rPr>
            <w:t>Name: Sam Freeman</w:t>
          </w:r>
        </w:p>
        <w:p w14:paraId="40B121BC" w14:textId="77777777" w:rsidR="00015ED1" w:rsidRPr="001F67E5" w:rsidRDefault="00015ED1" w:rsidP="00015ED1">
          <w:pPr>
            <w:pStyle w:val="Footer"/>
            <w:jc w:val="center"/>
            <w:rPr>
              <w:rFonts w:ascii="Arial" w:hAnsi="Arial" w:cs="Arial"/>
              <w:sz w:val="32"/>
            </w:rPr>
          </w:pPr>
        </w:p>
        <w:p w14:paraId="666805D5" w14:textId="77777777" w:rsidR="00015ED1" w:rsidRPr="001F67E5" w:rsidRDefault="00015ED1" w:rsidP="00015ED1">
          <w:pPr>
            <w:pStyle w:val="Footer"/>
            <w:jc w:val="center"/>
            <w:rPr>
              <w:rFonts w:ascii="Arial" w:hAnsi="Arial" w:cs="Arial"/>
              <w:sz w:val="32"/>
            </w:rPr>
          </w:pPr>
          <w:r w:rsidRPr="001F67E5">
            <w:rPr>
              <w:rFonts w:ascii="Arial" w:hAnsi="Arial" w:cs="Arial"/>
              <w:sz w:val="32"/>
            </w:rPr>
            <w:t>ID Number: K1742054</w:t>
          </w:r>
        </w:p>
        <w:p w14:paraId="3FB4A2BB" w14:textId="77777777" w:rsidR="00015ED1" w:rsidRPr="001F67E5" w:rsidRDefault="00015ED1" w:rsidP="00015ED1">
          <w:pPr>
            <w:pStyle w:val="Footer"/>
            <w:jc w:val="center"/>
            <w:rPr>
              <w:rFonts w:ascii="Arial" w:hAnsi="Arial" w:cs="Arial"/>
              <w:sz w:val="32"/>
            </w:rPr>
          </w:pPr>
        </w:p>
        <w:p w14:paraId="0FD3BE6C" w14:textId="77777777" w:rsidR="00015ED1" w:rsidRPr="001F67E5" w:rsidRDefault="00015ED1" w:rsidP="00015ED1">
          <w:pPr>
            <w:pStyle w:val="Footer"/>
            <w:jc w:val="center"/>
            <w:rPr>
              <w:rFonts w:ascii="Arial" w:hAnsi="Arial" w:cs="Arial"/>
              <w:sz w:val="32"/>
            </w:rPr>
          </w:pPr>
          <w:r w:rsidRPr="001F67E5">
            <w:rPr>
              <w:rFonts w:ascii="Arial" w:hAnsi="Arial" w:cs="Arial"/>
              <w:sz w:val="32"/>
            </w:rPr>
            <w:t>Project Title: A New Methodology to Inform Maintenance Decisions and Budget requirements for Bridges.</w:t>
          </w:r>
        </w:p>
        <w:p w14:paraId="493CEA95" w14:textId="77777777" w:rsidR="00015ED1" w:rsidRPr="001F67E5" w:rsidRDefault="00015ED1" w:rsidP="00015ED1">
          <w:pPr>
            <w:pStyle w:val="Footer"/>
            <w:jc w:val="center"/>
            <w:rPr>
              <w:rFonts w:ascii="Arial" w:hAnsi="Arial" w:cs="Arial"/>
              <w:sz w:val="32"/>
            </w:rPr>
          </w:pPr>
        </w:p>
        <w:p w14:paraId="41003C8E" w14:textId="16D76BFB" w:rsidR="00015ED1" w:rsidRPr="001F67E5" w:rsidRDefault="00015ED1" w:rsidP="00015ED1">
          <w:pPr>
            <w:pStyle w:val="Footer"/>
            <w:jc w:val="center"/>
            <w:rPr>
              <w:rFonts w:ascii="Arial" w:hAnsi="Arial" w:cs="Arial"/>
              <w:sz w:val="32"/>
            </w:rPr>
          </w:pPr>
          <w:r w:rsidRPr="001F67E5">
            <w:rPr>
              <w:rFonts w:ascii="Arial" w:hAnsi="Arial" w:cs="Arial"/>
              <w:sz w:val="32"/>
            </w:rPr>
            <w:t>Date:</w:t>
          </w:r>
          <w:r w:rsidR="001F294E">
            <w:rPr>
              <w:rFonts w:ascii="Arial" w:hAnsi="Arial" w:cs="Arial"/>
              <w:sz w:val="32"/>
            </w:rPr>
            <w:t xml:space="preserve"> 24</w:t>
          </w:r>
          <w:r w:rsidR="001F294E" w:rsidRPr="001F294E">
            <w:rPr>
              <w:rFonts w:ascii="Arial" w:hAnsi="Arial" w:cs="Arial"/>
              <w:sz w:val="32"/>
              <w:vertAlign w:val="superscript"/>
            </w:rPr>
            <w:t>th</w:t>
          </w:r>
          <w:r w:rsidR="001F294E">
            <w:rPr>
              <w:rFonts w:ascii="Arial" w:hAnsi="Arial" w:cs="Arial"/>
              <w:sz w:val="32"/>
            </w:rPr>
            <w:t xml:space="preserve"> March 2021</w:t>
          </w:r>
        </w:p>
        <w:p w14:paraId="411FF90A" w14:textId="77777777" w:rsidR="00015ED1" w:rsidRPr="001F67E5" w:rsidRDefault="00015ED1" w:rsidP="00015ED1">
          <w:pPr>
            <w:pStyle w:val="Footer"/>
            <w:jc w:val="center"/>
            <w:rPr>
              <w:rFonts w:ascii="Arial" w:hAnsi="Arial" w:cs="Arial"/>
              <w:sz w:val="32"/>
            </w:rPr>
          </w:pPr>
        </w:p>
        <w:p w14:paraId="02A1CC3A" w14:textId="77777777" w:rsidR="00015ED1" w:rsidRPr="00452050" w:rsidRDefault="00015ED1" w:rsidP="00015ED1">
          <w:pPr>
            <w:pStyle w:val="Footer"/>
            <w:jc w:val="center"/>
            <w:rPr>
              <w:rFonts w:ascii="Arial" w:hAnsi="Arial" w:cs="Arial"/>
              <w:sz w:val="32"/>
            </w:rPr>
          </w:pPr>
          <w:r w:rsidRPr="001F67E5">
            <w:rPr>
              <w:rFonts w:ascii="Arial" w:hAnsi="Arial" w:cs="Arial"/>
              <w:sz w:val="32"/>
            </w:rPr>
            <w:t>Supervisor: Joshua Omer</w:t>
          </w:r>
        </w:p>
        <w:p w14:paraId="14248D83" w14:textId="77777777" w:rsidR="00015ED1" w:rsidRPr="00452050" w:rsidRDefault="00015ED1" w:rsidP="00015ED1">
          <w:pPr>
            <w:pStyle w:val="Footer"/>
            <w:jc w:val="center"/>
            <w:rPr>
              <w:rFonts w:ascii="Arial" w:hAnsi="Arial" w:cs="Arial"/>
            </w:rPr>
          </w:pPr>
        </w:p>
        <w:p w14:paraId="00B9C9B7" w14:textId="77777777" w:rsidR="00015ED1" w:rsidRDefault="00015ED1" w:rsidP="00015ED1">
          <w:pPr>
            <w:pStyle w:val="Footer"/>
            <w:jc w:val="center"/>
          </w:pPr>
        </w:p>
        <w:p w14:paraId="727C1C43" w14:textId="77777777" w:rsidR="00015ED1" w:rsidRPr="001C4352" w:rsidRDefault="00015ED1" w:rsidP="00015ED1">
          <w:pPr>
            <w:spacing w:after="60"/>
            <w:jc w:val="center"/>
            <w:rPr>
              <w:rFonts w:ascii="Arial" w:hAnsi="Arial" w:cs="Arial"/>
              <w:b/>
            </w:rPr>
          </w:pPr>
          <w:r w:rsidRPr="001C4352">
            <w:rPr>
              <w:rFonts w:ascii="Arial" w:hAnsi="Arial" w:cs="Arial"/>
              <w:b/>
            </w:rPr>
            <w:t>WARRANTY STATEMENT</w:t>
          </w:r>
        </w:p>
        <w:p w14:paraId="6E499ECD" w14:textId="77777777" w:rsidR="00CC2460" w:rsidRDefault="00015ED1" w:rsidP="00015ED1">
          <w:pPr>
            <w:spacing w:before="120" w:after="60" w:line="360" w:lineRule="auto"/>
            <w:jc w:val="both"/>
            <w:rPr>
              <w:rFonts w:ascii="Arial" w:hAnsi="Arial" w:cs="Arial"/>
            </w:rPr>
            <w:sectPr w:rsidR="00CC2460" w:rsidSect="00C754DD">
              <w:headerReference w:type="default" r:id="rId12"/>
              <w:footerReference w:type="default" r:id="rId13"/>
              <w:headerReference w:type="first" r:id="rId14"/>
              <w:footerReference w:type="first" r:id="rId15"/>
              <w:pgSz w:w="11906" w:h="16838"/>
              <w:pgMar w:top="1440" w:right="1440" w:bottom="1440" w:left="1440" w:header="708" w:footer="708" w:gutter="0"/>
              <w:pgNumType w:fmt="lowerRoman"/>
              <w:cols w:space="708"/>
              <w:docGrid w:linePitch="360"/>
            </w:sectPr>
          </w:pPr>
          <w:r w:rsidRPr="001C4352">
            <w:rPr>
              <w:rFonts w:ascii="Arial" w:hAnsi="Arial" w:cs="Arial"/>
            </w:rPr>
            <w:t>This is a student project. Ther</w:t>
          </w:r>
          <w:r>
            <w:rPr>
              <w:rFonts w:ascii="Arial" w:hAnsi="Arial" w:cs="Arial"/>
            </w:rPr>
            <w:t xml:space="preserve">efore, neither the student nor </w:t>
          </w:r>
          <w:r w:rsidRPr="001C4352">
            <w:rPr>
              <w:rFonts w:ascii="Arial" w:hAnsi="Arial" w:cs="Arial"/>
            </w:rPr>
            <w:t>Kingston University makes any warranty, express or implied, as to the accuracy of the data or conclusion of the work performed in the project and will not be held responsible for any consequences arising out of</w:t>
          </w:r>
          <w:r>
            <w:rPr>
              <w:rFonts w:ascii="Arial" w:hAnsi="Arial" w:cs="Arial"/>
            </w:rPr>
            <w:t xml:space="preserve"> any inaccuracies or omissions </w:t>
          </w:r>
          <w:r w:rsidRPr="001C4352">
            <w:rPr>
              <w:rFonts w:ascii="Arial" w:hAnsi="Arial" w:cs="Arial"/>
            </w:rPr>
            <w:t>therein.</w:t>
          </w:r>
        </w:p>
        <w:p w14:paraId="42CB09BB" w14:textId="77777777" w:rsidR="00D10332" w:rsidRDefault="00D10332">
          <w:pPr>
            <w:rPr>
              <w:rFonts w:ascii="Arial" w:hAnsi="Arial" w:cs="Arial"/>
              <w:b/>
              <w:bCs/>
              <w:sz w:val="28"/>
              <w:szCs w:val="28"/>
            </w:rPr>
          </w:pPr>
          <w:r>
            <w:rPr>
              <w:rFonts w:ascii="Arial" w:hAnsi="Arial" w:cs="Arial"/>
              <w:b/>
              <w:bCs/>
              <w:sz w:val="28"/>
              <w:szCs w:val="28"/>
            </w:rPr>
            <w:lastRenderedPageBreak/>
            <w:t>Abstract</w:t>
          </w:r>
        </w:p>
        <w:p w14:paraId="58B5F0BB" w14:textId="69F5DB9D" w:rsidR="00225E5F" w:rsidRDefault="003555BE" w:rsidP="004A2DD4">
          <w:pPr>
            <w:spacing w:line="360" w:lineRule="auto"/>
            <w:jc w:val="both"/>
            <w:rPr>
              <w:rFonts w:ascii="Arial" w:hAnsi="Arial" w:cs="Arial"/>
            </w:rPr>
          </w:pPr>
          <w:r w:rsidRPr="003555BE">
            <w:rPr>
              <w:rFonts w:ascii="Arial" w:hAnsi="Arial" w:cs="Arial"/>
            </w:rPr>
            <w:t>C</w:t>
          </w:r>
          <w:r w:rsidR="00AE5BF9" w:rsidRPr="003555BE">
            <w:rPr>
              <w:rFonts w:ascii="Arial" w:hAnsi="Arial" w:cs="Arial"/>
            </w:rPr>
            <w:t>li</w:t>
          </w:r>
          <w:r w:rsidR="00AE5BF9">
            <w:rPr>
              <w:rFonts w:ascii="Arial" w:hAnsi="Arial" w:cs="Arial"/>
            </w:rPr>
            <w:t xml:space="preserve">mate change </w:t>
          </w:r>
          <w:r w:rsidR="007C6A24">
            <w:rPr>
              <w:rFonts w:ascii="Arial" w:hAnsi="Arial" w:cs="Arial"/>
            </w:rPr>
            <w:t xml:space="preserve">is </w:t>
          </w:r>
          <w:r w:rsidR="00E7673C">
            <w:rPr>
              <w:rFonts w:ascii="Arial" w:hAnsi="Arial" w:cs="Arial"/>
            </w:rPr>
            <w:t xml:space="preserve">arguably the greatest challenge facing the </w:t>
          </w:r>
          <w:r>
            <w:rPr>
              <w:rFonts w:ascii="Arial" w:hAnsi="Arial" w:cs="Arial"/>
            </w:rPr>
            <w:t xml:space="preserve">developed </w:t>
          </w:r>
          <w:r w:rsidR="00E7673C">
            <w:rPr>
              <w:rFonts w:ascii="Arial" w:hAnsi="Arial" w:cs="Arial"/>
            </w:rPr>
            <w:t xml:space="preserve">world today. </w:t>
          </w:r>
          <w:r w:rsidR="0062614A">
            <w:rPr>
              <w:rFonts w:ascii="Arial" w:hAnsi="Arial" w:cs="Arial"/>
            </w:rPr>
            <w:t xml:space="preserve">Bridge maintenance </w:t>
          </w:r>
          <w:r w:rsidR="00D73F61">
            <w:rPr>
              <w:rFonts w:ascii="Arial" w:hAnsi="Arial" w:cs="Arial"/>
            </w:rPr>
            <w:t xml:space="preserve">decisions </w:t>
          </w:r>
          <w:r w:rsidR="00FB5A79">
            <w:rPr>
              <w:rFonts w:ascii="Arial" w:hAnsi="Arial" w:cs="Arial"/>
            </w:rPr>
            <w:t>can have a significant impact on the whole life cost and carbon footprint of bridges</w:t>
          </w:r>
          <w:r w:rsidR="009B3759">
            <w:rPr>
              <w:rFonts w:ascii="Arial" w:hAnsi="Arial" w:cs="Arial"/>
            </w:rPr>
            <w:t xml:space="preserve">. At present bridge maintenance </w:t>
          </w:r>
          <w:r w:rsidR="0062614A">
            <w:rPr>
              <w:rFonts w:ascii="Arial" w:hAnsi="Arial" w:cs="Arial"/>
            </w:rPr>
            <w:t xml:space="preserve">decisions </w:t>
          </w:r>
          <w:r w:rsidR="00DB0499">
            <w:rPr>
              <w:rFonts w:ascii="Arial" w:hAnsi="Arial" w:cs="Arial"/>
            </w:rPr>
            <w:t xml:space="preserve">in the UK </w:t>
          </w:r>
          <w:r w:rsidR="0062614A">
            <w:rPr>
              <w:rFonts w:ascii="Arial" w:hAnsi="Arial" w:cs="Arial"/>
            </w:rPr>
            <w:t>are entirely cost driven</w:t>
          </w:r>
          <w:r w:rsidR="00596104">
            <w:rPr>
              <w:rFonts w:ascii="Arial" w:hAnsi="Arial" w:cs="Arial"/>
            </w:rPr>
            <w:t xml:space="preserve"> </w:t>
          </w:r>
          <w:r w:rsidR="00870878">
            <w:rPr>
              <w:rFonts w:ascii="Arial" w:hAnsi="Arial" w:cs="Arial"/>
            </w:rPr>
            <w:t xml:space="preserve">due to budget constraints within local authorities. </w:t>
          </w:r>
          <w:r w:rsidR="00C93398">
            <w:rPr>
              <w:rFonts w:ascii="Arial" w:hAnsi="Arial" w:cs="Arial"/>
            </w:rPr>
            <w:t xml:space="preserve">The UK </w:t>
          </w:r>
          <w:r w:rsidR="00C07D59">
            <w:rPr>
              <w:rFonts w:ascii="Arial" w:hAnsi="Arial" w:cs="Arial"/>
            </w:rPr>
            <w:t xml:space="preserve">has set a target to become carbon neutral by 2050 therefore </w:t>
          </w:r>
          <w:r w:rsidR="00C26B08">
            <w:rPr>
              <w:rFonts w:ascii="Arial" w:hAnsi="Arial" w:cs="Arial"/>
            </w:rPr>
            <w:t xml:space="preserve">bridge engineers need to consider the affect </w:t>
          </w:r>
          <w:r w:rsidR="00B2170A">
            <w:rPr>
              <w:rFonts w:ascii="Arial" w:hAnsi="Arial" w:cs="Arial"/>
            </w:rPr>
            <w:t xml:space="preserve">that </w:t>
          </w:r>
          <w:r w:rsidR="00C26B08">
            <w:rPr>
              <w:rFonts w:ascii="Arial" w:hAnsi="Arial" w:cs="Arial"/>
            </w:rPr>
            <w:t>maintenance decisions will have</w:t>
          </w:r>
          <w:r w:rsidR="00C6313F">
            <w:rPr>
              <w:rFonts w:ascii="Arial" w:hAnsi="Arial" w:cs="Arial"/>
            </w:rPr>
            <w:t xml:space="preserve"> on</w:t>
          </w:r>
          <w:r w:rsidR="00C26B08">
            <w:rPr>
              <w:rFonts w:ascii="Arial" w:hAnsi="Arial" w:cs="Arial"/>
            </w:rPr>
            <w:t xml:space="preserve"> the carbon footprint</w:t>
          </w:r>
          <w:r w:rsidR="006961C8">
            <w:rPr>
              <w:rFonts w:ascii="Arial" w:hAnsi="Arial" w:cs="Arial"/>
            </w:rPr>
            <w:t xml:space="preserve"> of bridges</w:t>
          </w:r>
          <w:r w:rsidR="006159A0">
            <w:rPr>
              <w:rFonts w:ascii="Arial" w:hAnsi="Arial" w:cs="Arial"/>
            </w:rPr>
            <w:t>.</w:t>
          </w:r>
        </w:p>
        <w:p w14:paraId="5F4BA071" w14:textId="49BDC2B0" w:rsidR="00631551" w:rsidRDefault="00225E5F" w:rsidP="004A2DD4">
          <w:pPr>
            <w:spacing w:line="360" w:lineRule="auto"/>
            <w:jc w:val="both"/>
            <w:rPr>
              <w:rFonts w:ascii="Arial" w:hAnsi="Arial" w:cs="Arial"/>
            </w:rPr>
          </w:pPr>
          <w:r>
            <w:rPr>
              <w:rFonts w:ascii="Arial" w:hAnsi="Arial" w:cs="Arial"/>
            </w:rPr>
            <w:t xml:space="preserve">This </w:t>
          </w:r>
          <w:r w:rsidR="00D22513">
            <w:rPr>
              <w:rFonts w:ascii="Arial" w:hAnsi="Arial" w:cs="Arial"/>
            </w:rPr>
            <w:t>study</w:t>
          </w:r>
          <w:r>
            <w:rPr>
              <w:rFonts w:ascii="Arial" w:hAnsi="Arial" w:cs="Arial"/>
            </w:rPr>
            <w:t xml:space="preserve"> </w:t>
          </w:r>
          <w:r w:rsidR="00CA43DC">
            <w:rPr>
              <w:rFonts w:ascii="Arial" w:hAnsi="Arial" w:cs="Arial"/>
            </w:rPr>
            <w:t>appraises</w:t>
          </w:r>
          <w:r w:rsidR="00631551">
            <w:rPr>
              <w:rFonts w:ascii="Arial" w:hAnsi="Arial" w:cs="Arial"/>
            </w:rPr>
            <w:t xml:space="preserve"> </w:t>
          </w:r>
          <w:r w:rsidR="0011479E">
            <w:rPr>
              <w:rFonts w:ascii="Arial" w:hAnsi="Arial" w:cs="Arial"/>
            </w:rPr>
            <w:t xml:space="preserve">a local authority bridge to determine the optimal </w:t>
          </w:r>
          <w:r w:rsidR="00623DCC">
            <w:rPr>
              <w:rFonts w:ascii="Arial" w:hAnsi="Arial" w:cs="Arial"/>
            </w:rPr>
            <w:t xml:space="preserve">maintenance strategy considering whole life costs, traffic delays and </w:t>
          </w:r>
          <w:r w:rsidR="00D6691B">
            <w:rPr>
              <w:rFonts w:ascii="Arial" w:hAnsi="Arial" w:cs="Arial"/>
            </w:rPr>
            <w:t>CO</w:t>
          </w:r>
          <w:r w:rsidR="00D6691B" w:rsidRPr="00D6691B">
            <w:rPr>
              <w:rFonts w:ascii="Arial" w:hAnsi="Arial" w:cs="Arial"/>
              <w:vertAlign w:val="subscript"/>
            </w:rPr>
            <w:t>2</w:t>
          </w:r>
          <w:r w:rsidR="00D6691B">
            <w:rPr>
              <w:rFonts w:ascii="Arial" w:hAnsi="Arial" w:cs="Arial"/>
            </w:rPr>
            <w:t xml:space="preserve"> emissions</w:t>
          </w:r>
          <w:r w:rsidR="007F4D44">
            <w:rPr>
              <w:rFonts w:ascii="Arial" w:hAnsi="Arial" w:cs="Arial"/>
            </w:rPr>
            <w:t>;</w:t>
          </w:r>
          <w:r w:rsidR="00D6691B">
            <w:rPr>
              <w:rFonts w:ascii="Arial" w:hAnsi="Arial" w:cs="Arial"/>
            </w:rPr>
            <w:t xml:space="preserve"> and </w:t>
          </w:r>
          <w:r w:rsidR="00D6381D">
            <w:rPr>
              <w:rFonts w:ascii="Arial" w:hAnsi="Arial" w:cs="Arial"/>
            </w:rPr>
            <w:t>identifies</w:t>
          </w:r>
          <w:r w:rsidR="007072EE">
            <w:rPr>
              <w:rFonts w:ascii="Arial" w:hAnsi="Arial" w:cs="Arial"/>
            </w:rPr>
            <w:t xml:space="preserve"> the </w:t>
          </w:r>
          <w:r w:rsidR="00D6691B">
            <w:rPr>
              <w:rFonts w:ascii="Arial" w:hAnsi="Arial" w:cs="Arial"/>
            </w:rPr>
            <w:t>subsequent funding requirements</w:t>
          </w:r>
          <w:r w:rsidR="007072EE">
            <w:rPr>
              <w:rFonts w:ascii="Arial" w:hAnsi="Arial" w:cs="Arial"/>
            </w:rPr>
            <w:t>.</w:t>
          </w:r>
          <w:r w:rsidR="007B4B86">
            <w:rPr>
              <w:rFonts w:ascii="Arial" w:hAnsi="Arial" w:cs="Arial"/>
            </w:rPr>
            <w:t xml:space="preserve"> </w:t>
          </w:r>
          <w:r w:rsidR="00444C4D">
            <w:rPr>
              <w:rFonts w:ascii="Arial" w:hAnsi="Arial" w:cs="Arial"/>
            </w:rPr>
            <w:t>T</w:t>
          </w:r>
          <w:r w:rsidR="00E45406">
            <w:rPr>
              <w:rFonts w:ascii="Arial" w:hAnsi="Arial" w:cs="Arial"/>
            </w:rPr>
            <w:t xml:space="preserve">his was </w:t>
          </w:r>
          <w:r w:rsidR="005A045D">
            <w:rPr>
              <w:rFonts w:ascii="Arial" w:hAnsi="Arial" w:cs="Arial"/>
            </w:rPr>
            <w:t>accomplished</w:t>
          </w:r>
          <w:r w:rsidR="00E45406">
            <w:rPr>
              <w:rFonts w:ascii="Arial" w:hAnsi="Arial" w:cs="Arial"/>
            </w:rPr>
            <w:t xml:space="preserve"> by </w:t>
          </w:r>
          <w:r w:rsidR="001039A1">
            <w:rPr>
              <w:rFonts w:ascii="Arial" w:hAnsi="Arial" w:cs="Arial"/>
            </w:rPr>
            <w:t>conducting</w:t>
          </w:r>
          <w:r w:rsidR="00E45406">
            <w:rPr>
              <w:rFonts w:ascii="Arial" w:hAnsi="Arial" w:cs="Arial"/>
            </w:rPr>
            <w:t xml:space="preserve"> a parametric st</w:t>
          </w:r>
          <w:r w:rsidR="001039A1">
            <w:rPr>
              <w:rFonts w:ascii="Arial" w:hAnsi="Arial" w:cs="Arial"/>
            </w:rPr>
            <w:t>udy</w:t>
          </w:r>
          <w:r w:rsidR="006B0730">
            <w:rPr>
              <w:rFonts w:ascii="Arial" w:hAnsi="Arial" w:cs="Arial"/>
            </w:rPr>
            <w:t xml:space="preserve"> using </w:t>
          </w:r>
          <w:r w:rsidR="00D44A4B">
            <w:rPr>
              <w:rFonts w:ascii="Arial" w:hAnsi="Arial" w:cs="Arial"/>
            </w:rPr>
            <w:t>an excel model developed by Arup</w:t>
          </w:r>
          <w:r w:rsidR="00D10781">
            <w:rPr>
              <w:rFonts w:ascii="Arial" w:hAnsi="Arial" w:cs="Arial"/>
            </w:rPr>
            <w:t xml:space="preserve"> </w:t>
          </w:r>
          <w:r w:rsidR="001039A1">
            <w:rPr>
              <w:rFonts w:ascii="Arial" w:hAnsi="Arial" w:cs="Arial"/>
            </w:rPr>
            <w:t xml:space="preserve">to compare </w:t>
          </w:r>
          <w:r w:rsidR="00905440">
            <w:rPr>
              <w:rFonts w:ascii="Arial" w:hAnsi="Arial" w:cs="Arial"/>
            </w:rPr>
            <w:t xml:space="preserve">maintenance </w:t>
          </w:r>
          <w:r w:rsidR="00B73561">
            <w:rPr>
              <w:rFonts w:ascii="Arial" w:hAnsi="Arial" w:cs="Arial"/>
            </w:rPr>
            <w:t xml:space="preserve">costs </w:t>
          </w:r>
          <w:r w:rsidR="00905440">
            <w:rPr>
              <w:rFonts w:ascii="Arial" w:hAnsi="Arial" w:cs="Arial"/>
            </w:rPr>
            <w:t>and traffic dela</w:t>
          </w:r>
          <w:r w:rsidR="00B73561">
            <w:rPr>
              <w:rFonts w:ascii="Arial" w:hAnsi="Arial" w:cs="Arial"/>
            </w:rPr>
            <w:t xml:space="preserve">ys </w:t>
          </w:r>
          <w:r w:rsidR="00905440">
            <w:rPr>
              <w:rFonts w:ascii="Arial" w:hAnsi="Arial" w:cs="Arial"/>
            </w:rPr>
            <w:t xml:space="preserve">for </w:t>
          </w:r>
          <w:r w:rsidR="006B0730">
            <w:rPr>
              <w:rFonts w:ascii="Arial" w:hAnsi="Arial" w:cs="Arial"/>
            </w:rPr>
            <w:t>different maintenance strategies</w:t>
          </w:r>
          <w:r w:rsidR="003950B5">
            <w:rPr>
              <w:rFonts w:ascii="Arial" w:hAnsi="Arial" w:cs="Arial"/>
            </w:rPr>
            <w:t>.</w:t>
          </w:r>
          <w:r w:rsidR="006B0730">
            <w:rPr>
              <w:rFonts w:ascii="Arial" w:hAnsi="Arial" w:cs="Arial"/>
            </w:rPr>
            <w:t xml:space="preserve"> </w:t>
          </w:r>
          <w:r w:rsidR="00B73561">
            <w:rPr>
              <w:rFonts w:ascii="Arial" w:hAnsi="Arial" w:cs="Arial"/>
            </w:rPr>
            <w:t xml:space="preserve">Carbon emissions </w:t>
          </w:r>
          <w:r w:rsidR="00590E9D">
            <w:rPr>
              <w:rFonts w:ascii="Arial" w:hAnsi="Arial" w:cs="Arial"/>
            </w:rPr>
            <w:t xml:space="preserve">for each maintenance strategy </w:t>
          </w:r>
          <w:r w:rsidR="00B73561">
            <w:rPr>
              <w:rFonts w:ascii="Arial" w:hAnsi="Arial" w:cs="Arial"/>
            </w:rPr>
            <w:t xml:space="preserve">were estimated </w:t>
          </w:r>
          <w:r w:rsidR="00590E9D">
            <w:rPr>
              <w:rFonts w:ascii="Arial" w:hAnsi="Arial" w:cs="Arial"/>
            </w:rPr>
            <w:t xml:space="preserve">using a carbon calculator bridge design tool developed by Atkins.  </w:t>
          </w:r>
          <w:r w:rsidR="00CB39E4">
            <w:rPr>
              <w:rFonts w:ascii="Arial" w:hAnsi="Arial" w:cs="Arial"/>
            </w:rPr>
            <w:t xml:space="preserve">Carbon emissions </w:t>
          </w:r>
          <w:r w:rsidR="00A9007B">
            <w:rPr>
              <w:rFonts w:ascii="Arial" w:hAnsi="Arial" w:cs="Arial"/>
            </w:rPr>
            <w:t xml:space="preserve">were monetised using UK carbon valuations used in policy appraisal </w:t>
          </w:r>
          <w:r w:rsidR="0008126F">
            <w:rPr>
              <w:rFonts w:ascii="Arial" w:hAnsi="Arial" w:cs="Arial"/>
            </w:rPr>
            <w:t xml:space="preserve">so </w:t>
          </w:r>
          <w:r w:rsidR="003105D1">
            <w:rPr>
              <w:rFonts w:ascii="Arial" w:hAnsi="Arial" w:cs="Arial"/>
            </w:rPr>
            <w:t>that CO</w:t>
          </w:r>
          <w:r w:rsidR="003105D1" w:rsidRPr="00D6691B">
            <w:rPr>
              <w:rFonts w:ascii="Arial" w:hAnsi="Arial" w:cs="Arial"/>
              <w:vertAlign w:val="subscript"/>
            </w:rPr>
            <w:t>2</w:t>
          </w:r>
          <w:r w:rsidR="0008126F">
            <w:rPr>
              <w:rFonts w:ascii="Arial" w:hAnsi="Arial" w:cs="Arial"/>
            </w:rPr>
            <w:t xml:space="preserve"> emissions could be incorporated into the whole life costing analysis.</w:t>
          </w:r>
          <w:r w:rsidR="00A9007B">
            <w:rPr>
              <w:rFonts w:ascii="Arial" w:hAnsi="Arial" w:cs="Arial"/>
            </w:rPr>
            <w:t xml:space="preserve"> </w:t>
          </w:r>
          <w:r w:rsidR="002F3E06">
            <w:rPr>
              <w:rFonts w:ascii="Arial" w:hAnsi="Arial" w:cs="Arial"/>
            </w:rPr>
            <w:t>The results of this study found that a planned</w:t>
          </w:r>
          <w:r w:rsidR="00D335C4">
            <w:rPr>
              <w:rFonts w:ascii="Arial" w:hAnsi="Arial" w:cs="Arial"/>
            </w:rPr>
            <w:t xml:space="preserve"> </w:t>
          </w:r>
          <w:r w:rsidR="002F3E06">
            <w:rPr>
              <w:rFonts w:ascii="Arial" w:hAnsi="Arial" w:cs="Arial"/>
            </w:rPr>
            <w:t>preventive</w:t>
          </w:r>
          <w:r w:rsidR="00D335C4">
            <w:rPr>
              <w:rFonts w:ascii="Arial" w:hAnsi="Arial" w:cs="Arial"/>
            </w:rPr>
            <w:t xml:space="preserve"> maintenance</w:t>
          </w:r>
          <w:r w:rsidR="002F3E06">
            <w:rPr>
              <w:rFonts w:ascii="Arial" w:hAnsi="Arial" w:cs="Arial"/>
            </w:rPr>
            <w:t xml:space="preserve"> strategy </w:t>
          </w:r>
          <w:r w:rsidR="00D335C4">
            <w:rPr>
              <w:rFonts w:ascii="Arial" w:hAnsi="Arial" w:cs="Arial"/>
            </w:rPr>
            <w:t xml:space="preserve">was the </w:t>
          </w:r>
          <w:r w:rsidR="00B67981">
            <w:rPr>
              <w:rFonts w:ascii="Arial" w:hAnsi="Arial" w:cs="Arial"/>
            </w:rPr>
            <w:t xml:space="preserve">most </w:t>
          </w:r>
          <w:r w:rsidR="00D335C4">
            <w:rPr>
              <w:rFonts w:ascii="Arial" w:hAnsi="Arial" w:cs="Arial"/>
            </w:rPr>
            <w:t xml:space="preserve">cost effective and sustainable strategy with </w:t>
          </w:r>
          <w:r w:rsidR="00906964">
            <w:rPr>
              <w:rFonts w:ascii="Arial" w:hAnsi="Arial" w:cs="Arial"/>
              <w:lang w:eastAsia="en-GB"/>
            </w:rPr>
            <w:t>7.7% lower discounted maintenance costs</w:t>
          </w:r>
          <w:r w:rsidR="003B50DD">
            <w:rPr>
              <w:rFonts w:ascii="Arial" w:hAnsi="Arial" w:cs="Arial"/>
              <w:lang w:eastAsia="en-GB"/>
            </w:rPr>
            <w:t xml:space="preserve"> and</w:t>
          </w:r>
          <w:r w:rsidR="00906964">
            <w:rPr>
              <w:rFonts w:ascii="Arial" w:hAnsi="Arial" w:cs="Arial"/>
              <w:lang w:eastAsia="en-GB"/>
            </w:rPr>
            <w:t xml:space="preserve"> 7% less CO</w:t>
          </w:r>
          <w:r w:rsidR="00906964">
            <w:rPr>
              <w:rFonts w:ascii="Arial" w:hAnsi="Arial" w:cs="Arial"/>
              <w:vertAlign w:val="subscript"/>
              <w:lang w:eastAsia="en-GB"/>
            </w:rPr>
            <w:t>2</w:t>
          </w:r>
          <w:r w:rsidR="006961C8">
            <w:rPr>
              <w:rFonts w:ascii="Arial" w:hAnsi="Arial" w:cs="Arial"/>
              <w:vertAlign w:val="subscript"/>
              <w:lang w:eastAsia="en-GB"/>
            </w:rPr>
            <w:t xml:space="preserve"> </w:t>
          </w:r>
          <w:r w:rsidR="00AF6D54">
            <w:rPr>
              <w:rFonts w:ascii="Arial" w:hAnsi="Arial" w:cs="Arial"/>
              <w:vertAlign w:val="subscript"/>
              <w:lang w:eastAsia="en-GB"/>
            </w:rPr>
            <w:t xml:space="preserve"> </w:t>
          </w:r>
          <w:r w:rsidR="006961C8">
            <w:rPr>
              <w:rFonts w:ascii="Arial" w:hAnsi="Arial" w:cs="Arial"/>
              <w:lang w:eastAsia="en-GB"/>
            </w:rPr>
            <w:t>compared to an unplanned reactive strategy</w:t>
          </w:r>
          <w:r w:rsidR="00906964">
            <w:rPr>
              <w:rFonts w:ascii="Arial" w:hAnsi="Arial" w:cs="Arial"/>
              <w:vertAlign w:val="subscript"/>
              <w:lang w:eastAsia="en-GB"/>
            </w:rPr>
            <w:t xml:space="preserve">, </w:t>
          </w:r>
          <w:r w:rsidR="00906964">
            <w:rPr>
              <w:rFonts w:ascii="Arial" w:hAnsi="Arial" w:cs="Arial"/>
              <w:lang w:eastAsia="en-GB"/>
            </w:rPr>
            <w:t xml:space="preserve"> </w:t>
          </w:r>
        </w:p>
        <w:p w14:paraId="7E818CDF" w14:textId="77777777" w:rsidR="00660CDC" w:rsidRDefault="00660CDC">
          <w:pPr>
            <w:rPr>
              <w:rFonts w:ascii="Arial" w:hAnsi="Arial" w:cs="Arial"/>
            </w:rPr>
          </w:pPr>
        </w:p>
        <w:p w14:paraId="30EC557B" w14:textId="3FB7854C" w:rsidR="00BC2985" w:rsidRPr="00660CDC" w:rsidRDefault="00BC2985">
          <w:pPr>
            <w:rPr>
              <w:rFonts w:ascii="Arial" w:hAnsi="Arial" w:cs="Arial"/>
            </w:rPr>
            <w:sectPr w:rsidR="00BC2985" w:rsidRPr="00660CDC" w:rsidSect="00CC2460">
              <w:pgSz w:w="11906" w:h="16838"/>
              <w:pgMar w:top="1440" w:right="1440" w:bottom="1440" w:left="1440" w:header="708" w:footer="708" w:gutter="0"/>
              <w:pgNumType w:fmt="lowerRoman" w:start="1"/>
              <w:cols w:space="708"/>
              <w:titlePg/>
              <w:docGrid w:linePitch="360"/>
            </w:sectPr>
          </w:pPr>
        </w:p>
        <w:p w14:paraId="1FB4846C" w14:textId="3B15084D" w:rsidR="003A5250" w:rsidRDefault="00000000"/>
      </w:sdtContent>
    </w:sdt>
    <w:sdt>
      <w:sdtPr>
        <w:rPr>
          <w:rFonts w:ascii="Arial" w:eastAsiaTheme="minorHAnsi" w:hAnsi="Arial" w:cs="Arial"/>
          <w:b/>
          <w:bCs/>
          <w:color w:val="auto"/>
          <w:sz w:val="22"/>
          <w:szCs w:val="22"/>
          <w:lang w:val="en-GB"/>
        </w:rPr>
        <w:id w:val="-1602562068"/>
        <w:docPartObj>
          <w:docPartGallery w:val="Table of Contents"/>
          <w:docPartUnique/>
        </w:docPartObj>
      </w:sdtPr>
      <w:sdtEndPr>
        <w:rPr>
          <w:noProof/>
        </w:rPr>
      </w:sdtEndPr>
      <w:sdtContent>
        <w:p w14:paraId="3F0328D5" w14:textId="3664B342" w:rsidR="00C4130F" w:rsidRPr="00CF6D6E" w:rsidRDefault="00C4130F">
          <w:pPr>
            <w:pStyle w:val="TOCHeading"/>
            <w:rPr>
              <w:rFonts w:ascii="Arial" w:hAnsi="Arial" w:cs="Arial"/>
              <w:b/>
              <w:bCs/>
              <w:color w:val="auto"/>
              <w:sz w:val="28"/>
              <w:szCs w:val="28"/>
            </w:rPr>
          </w:pPr>
          <w:r w:rsidRPr="00CF6D6E">
            <w:rPr>
              <w:rFonts w:ascii="Arial" w:hAnsi="Arial" w:cs="Arial"/>
              <w:b/>
              <w:bCs/>
              <w:color w:val="auto"/>
              <w:sz w:val="28"/>
              <w:szCs w:val="28"/>
            </w:rPr>
            <w:t>Table of Contents</w:t>
          </w:r>
        </w:p>
        <w:p w14:paraId="41975C1E" w14:textId="772D349B" w:rsidR="00CF6D6E" w:rsidRPr="00CF6D6E" w:rsidRDefault="00C4130F">
          <w:pPr>
            <w:pStyle w:val="TOC1"/>
            <w:rPr>
              <w:rFonts w:eastAsiaTheme="minorEastAsia"/>
              <w:sz w:val="22"/>
              <w:szCs w:val="22"/>
            </w:rPr>
          </w:pPr>
          <w:r w:rsidRPr="00CF6D6E">
            <w:fldChar w:fldCharType="begin"/>
          </w:r>
          <w:r w:rsidRPr="00CF6D6E">
            <w:instrText xml:space="preserve"> TOC \o "1-3" \h \z \u </w:instrText>
          </w:r>
          <w:r w:rsidRPr="00CF6D6E">
            <w:fldChar w:fldCharType="separate"/>
          </w:r>
          <w:hyperlink w:anchor="_Toc66868877" w:history="1">
            <w:r w:rsidR="00CF6D6E" w:rsidRPr="00CF6D6E">
              <w:rPr>
                <w:rStyle w:val="Hyperlink"/>
              </w:rPr>
              <w:t>Chapter 1: Introduction</w:t>
            </w:r>
            <w:r w:rsidR="00CF6D6E" w:rsidRPr="00CF6D6E">
              <w:rPr>
                <w:webHidden/>
              </w:rPr>
              <w:tab/>
            </w:r>
            <w:r w:rsidR="00CF6D6E" w:rsidRPr="00CF6D6E">
              <w:rPr>
                <w:webHidden/>
              </w:rPr>
              <w:fldChar w:fldCharType="begin"/>
            </w:r>
            <w:r w:rsidR="00CF6D6E" w:rsidRPr="00CF6D6E">
              <w:rPr>
                <w:webHidden/>
              </w:rPr>
              <w:instrText xml:space="preserve"> PAGEREF _Toc66868877 \h </w:instrText>
            </w:r>
            <w:r w:rsidR="00CF6D6E" w:rsidRPr="00CF6D6E">
              <w:rPr>
                <w:webHidden/>
              </w:rPr>
            </w:r>
            <w:r w:rsidR="00CF6D6E" w:rsidRPr="00CF6D6E">
              <w:rPr>
                <w:webHidden/>
              </w:rPr>
              <w:fldChar w:fldCharType="separate"/>
            </w:r>
            <w:r w:rsidR="00CF6D6E" w:rsidRPr="00CF6D6E">
              <w:rPr>
                <w:webHidden/>
              </w:rPr>
              <w:t>1</w:t>
            </w:r>
            <w:r w:rsidR="00CF6D6E" w:rsidRPr="00CF6D6E">
              <w:rPr>
                <w:webHidden/>
              </w:rPr>
              <w:fldChar w:fldCharType="end"/>
            </w:r>
          </w:hyperlink>
        </w:p>
        <w:p w14:paraId="66B5D43F" w14:textId="2426BDFC"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878" w:history="1">
            <w:r w:rsidR="00CF6D6E" w:rsidRPr="00CF6D6E">
              <w:rPr>
                <w:rStyle w:val="Hyperlink"/>
                <w:rFonts w:ascii="Arial" w:eastAsia="Times New Roman" w:hAnsi="Arial" w:cs="Arial"/>
                <w:b/>
                <w:bCs/>
                <w:noProof/>
                <w:lang w:eastAsia="en-GB"/>
              </w:rPr>
              <w:t>1.1</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Overview</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_Toc66868878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1</w:t>
            </w:r>
            <w:r w:rsidR="00CF6D6E" w:rsidRPr="00CF6D6E">
              <w:rPr>
                <w:rFonts w:ascii="Arial" w:hAnsi="Arial" w:cs="Arial"/>
                <w:b/>
                <w:bCs/>
                <w:noProof/>
                <w:webHidden/>
              </w:rPr>
              <w:fldChar w:fldCharType="end"/>
            </w:r>
          </w:hyperlink>
        </w:p>
        <w:p w14:paraId="689C5D8F" w14:textId="7708957B"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879" w:history="1">
            <w:r w:rsidR="00CF6D6E" w:rsidRPr="00CF6D6E">
              <w:rPr>
                <w:rStyle w:val="Hyperlink"/>
                <w:rFonts w:ascii="Arial" w:eastAsia="Times New Roman" w:hAnsi="Arial" w:cs="Arial"/>
                <w:b/>
                <w:bCs/>
                <w:noProof/>
                <w:lang w:eastAsia="en-GB"/>
              </w:rPr>
              <w:t>1.2</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Background</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_Toc66868879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1</w:t>
            </w:r>
            <w:r w:rsidR="00CF6D6E" w:rsidRPr="00CF6D6E">
              <w:rPr>
                <w:rFonts w:ascii="Arial" w:hAnsi="Arial" w:cs="Arial"/>
                <w:b/>
                <w:bCs/>
                <w:noProof/>
                <w:webHidden/>
              </w:rPr>
              <w:fldChar w:fldCharType="end"/>
            </w:r>
          </w:hyperlink>
        </w:p>
        <w:p w14:paraId="51BE2DA3" w14:textId="4103C577" w:rsidR="00CF6D6E" w:rsidRPr="00CF6D6E" w:rsidRDefault="00000000">
          <w:pPr>
            <w:pStyle w:val="TOC1"/>
            <w:rPr>
              <w:rFonts w:eastAsiaTheme="minorEastAsia"/>
              <w:sz w:val="22"/>
              <w:szCs w:val="22"/>
            </w:rPr>
          </w:pPr>
          <w:hyperlink w:anchor="_Toc66868880" w:history="1">
            <w:r w:rsidR="00CF6D6E" w:rsidRPr="00CF6D6E">
              <w:rPr>
                <w:rStyle w:val="Hyperlink"/>
              </w:rPr>
              <w:t>Chapter 2: Research Overview</w:t>
            </w:r>
            <w:r w:rsidR="00CF6D6E" w:rsidRPr="00CF6D6E">
              <w:rPr>
                <w:webHidden/>
              </w:rPr>
              <w:tab/>
            </w:r>
            <w:r w:rsidR="00CF6D6E" w:rsidRPr="00CF6D6E">
              <w:rPr>
                <w:webHidden/>
              </w:rPr>
              <w:fldChar w:fldCharType="begin"/>
            </w:r>
            <w:r w:rsidR="00CF6D6E" w:rsidRPr="00CF6D6E">
              <w:rPr>
                <w:webHidden/>
              </w:rPr>
              <w:instrText xml:space="preserve"> PAGEREF _Toc66868880 \h </w:instrText>
            </w:r>
            <w:r w:rsidR="00CF6D6E" w:rsidRPr="00CF6D6E">
              <w:rPr>
                <w:webHidden/>
              </w:rPr>
            </w:r>
            <w:r w:rsidR="00CF6D6E" w:rsidRPr="00CF6D6E">
              <w:rPr>
                <w:webHidden/>
              </w:rPr>
              <w:fldChar w:fldCharType="separate"/>
            </w:r>
            <w:r w:rsidR="00CF6D6E" w:rsidRPr="00CF6D6E">
              <w:rPr>
                <w:webHidden/>
              </w:rPr>
              <w:t>2</w:t>
            </w:r>
            <w:r w:rsidR="00CF6D6E" w:rsidRPr="00CF6D6E">
              <w:rPr>
                <w:webHidden/>
              </w:rPr>
              <w:fldChar w:fldCharType="end"/>
            </w:r>
          </w:hyperlink>
        </w:p>
        <w:p w14:paraId="07E99545" w14:textId="7D48514B"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882" w:history="1">
            <w:r w:rsidR="00CF6D6E" w:rsidRPr="00CF6D6E">
              <w:rPr>
                <w:rStyle w:val="Hyperlink"/>
                <w:rFonts w:ascii="Arial" w:eastAsia="Times New Roman" w:hAnsi="Arial" w:cs="Arial"/>
                <w:b/>
                <w:bCs/>
                <w:noProof/>
                <w:lang w:eastAsia="en-GB"/>
              </w:rPr>
              <w:t>2.1</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Aim</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_Toc66868882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2</w:t>
            </w:r>
            <w:r w:rsidR="00CF6D6E" w:rsidRPr="00CF6D6E">
              <w:rPr>
                <w:rFonts w:ascii="Arial" w:hAnsi="Arial" w:cs="Arial"/>
                <w:b/>
                <w:bCs/>
                <w:noProof/>
                <w:webHidden/>
              </w:rPr>
              <w:fldChar w:fldCharType="end"/>
            </w:r>
          </w:hyperlink>
        </w:p>
        <w:p w14:paraId="27101D62" w14:textId="7432B579"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883" w:history="1">
            <w:r w:rsidR="00CF6D6E" w:rsidRPr="00CF6D6E">
              <w:rPr>
                <w:rStyle w:val="Hyperlink"/>
                <w:rFonts w:ascii="Arial" w:eastAsia="Times New Roman" w:hAnsi="Arial" w:cs="Arial"/>
                <w:b/>
                <w:bCs/>
                <w:noProof/>
                <w:lang w:eastAsia="en-GB"/>
              </w:rPr>
              <w:t>2.2</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Purpose</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_Toc66868883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2</w:t>
            </w:r>
            <w:r w:rsidR="00CF6D6E" w:rsidRPr="00CF6D6E">
              <w:rPr>
                <w:rFonts w:ascii="Arial" w:hAnsi="Arial" w:cs="Arial"/>
                <w:b/>
                <w:bCs/>
                <w:noProof/>
                <w:webHidden/>
              </w:rPr>
              <w:fldChar w:fldCharType="end"/>
            </w:r>
          </w:hyperlink>
        </w:p>
        <w:p w14:paraId="3043FD9D" w14:textId="2ADB90CA"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884" w:history="1">
            <w:r w:rsidR="00CF6D6E" w:rsidRPr="00CF6D6E">
              <w:rPr>
                <w:rStyle w:val="Hyperlink"/>
                <w:rFonts w:ascii="Arial" w:eastAsia="Times New Roman" w:hAnsi="Arial" w:cs="Arial"/>
                <w:b/>
                <w:bCs/>
                <w:noProof/>
                <w:lang w:eastAsia="en-GB"/>
              </w:rPr>
              <w:t>2.3</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Objectives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_Toc66868884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2</w:t>
            </w:r>
            <w:r w:rsidR="00CF6D6E" w:rsidRPr="00CF6D6E">
              <w:rPr>
                <w:rFonts w:ascii="Arial" w:hAnsi="Arial" w:cs="Arial"/>
                <w:b/>
                <w:bCs/>
                <w:noProof/>
                <w:webHidden/>
              </w:rPr>
              <w:fldChar w:fldCharType="end"/>
            </w:r>
          </w:hyperlink>
        </w:p>
        <w:p w14:paraId="3B652EAD" w14:textId="6B9D4314" w:rsidR="00CF6D6E" w:rsidRPr="00CF6D6E" w:rsidRDefault="00000000">
          <w:pPr>
            <w:pStyle w:val="TOC1"/>
            <w:rPr>
              <w:rFonts w:eastAsiaTheme="minorEastAsia"/>
              <w:sz w:val="22"/>
              <w:szCs w:val="22"/>
            </w:rPr>
          </w:pPr>
          <w:hyperlink w:anchor="_Toc66868885" w:history="1">
            <w:r w:rsidR="00CF6D6E" w:rsidRPr="00CF6D6E">
              <w:rPr>
                <w:rStyle w:val="Hyperlink"/>
              </w:rPr>
              <w:t>Chapter 3: Critical Literature Review</w:t>
            </w:r>
            <w:r w:rsidR="00CF6D6E" w:rsidRPr="00CF6D6E">
              <w:rPr>
                <w:webHidden/>
              </w:rPr>
              <w:tab/>
            </w:r>
            <w:r w:rsidR="00CF6D6E" w:rsidRPr="00CF6D6E">
              <w:rPr>
                <w:webHidden/>
              </w:rPr>
              <w:fldChar w:fldCharType="begin"/>
            </w:r>
            <w:r w:rsidR="00CF6D6E" w:rsidRPr="00CF6D6E">
              <w:rPr>
                <w:webHidden/>
              </w:rPr>
              <w:instrText xml:space="preserve"> PAGEREF _Toc66868885 \h </w:instrText>
            </w:r>
            <w:r w:rsidR="00CF6D6E" w:rsidRPr="00CF6D6E">
              <w:rPr>
                <w:webHidden/>
              </w:rPr>
            </w:r>
            <w:r w:rsidR="00CF6D6E" w:rsidRPr="00CF6D6E">
              <w:rPr>
                <w:webHidden/>
              </w:rPr>
              <w:fldChar w:fldCharType="separate"/>
            </w:r>
            <w:r w:rsidR="00CF6D6E" w:rsidRPr="00CF6D6E">
              <w:rPr>
                <w:webHidden/>
              </w:rPr>
              <w:t>3</w:t>
            </w:r>
            <w:r w:rsidR="00CF6D6E" w:rsidRPr="00CF6D6E">
              <w:rPr>
                <w:webHidden/>
              </w:rPr>
              <w:fldChar w:fldCharType="end"/>
            </w:r>
          </w:hyperlink>
        </w:p>
        <w:p w14:paraId="33BC76FE" w14:textId="3B45050D"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887" w:history="1">
            <w:r w:rsidR="00CF6D6E" w:rsidRPr="00CF6D6E">
              <w:rPr>
                <w:rStyle w:val="Hyperlink"/>
                <w:rFonts w:ascii="Arial" w:eastAsia="Times New Roman" w:hAnsi="Arial" w:cs="Arial"/>
                <w:b/>
                <w:bCs/>
                <w:noProof/>
                <w:lang w:eastAsia="en-GB"/>
              </w:rPr>
              <w:t>3.1</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Whole Life Costing</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_Toc66868887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3</w:t>
            </w:r>
            <w:r w:rsidR="00CF6D6E" w:rsidRPr="00CF6D6E">
              <w:rPr>
                <w:rFonts w:ascii="Arial" w:hAnsi="Arial" w:cs="Arial"/>
                <w:b/>
                <w:bCs/>
                <w:noProof/>
                <w:webHidden/>
              </w:rPr>
              <w:fldChar w:fldCharType="end"/>
            </w:r>
          </w:hyperlink>
        </w:p>
        <w:p w14:paraId="602DC770" w14:textId="3A5D51F1"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888" w:history="1">
            <w:r w:rsidR="00CF6D6E" w:rsidRPr="00CF6D6E">
              <w:rPr>
                <w:rStyle w:val="Hyperlink"/>
                <w:rFonts w:ascii="Arial" w:eastAsia="Times New Roman" w:hAnsi="Arial" w:cs="Arial"/>
                <w:b/>
                <w:bCs/>
                <w:noProof/>
                <w:lang w:eastAsia="en-GB"/>
              </w:rPr>
              <w:t>3.2</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Deterioration Rates / Profiles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_Toc66868888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4</w:t>
            </w:r>
            <w:r w:rsidR="00CF6D6E" w:rsidRPr="00CF6D6E">
              <w:rPr>
                <w:rFonts w:ascii="Arial" w:hAnsi="Arial" w:cs="Arial"/>
                <w:b/>
                <w:bCs/>
                <w:noProof/>
                <w:webHidden/>
              </w:rPr>
              <w:fldChar w:fldCharType="end"/>
            </w:r>
          </w:hyperlink>
        </w:p>
        <w:p w14:paraId="5748F35F" w14:textId="0D44F63F" w:rsidR="00CF6D6E" w:rsidRPr="00CF6D6E" w:rsidRDefault="00000000">
          <w:pPr>
            <w:pStyle w:val="TOC3"/>
            <w:tabs>
              <w:tab w:val="left" w:pos="1320"/>
              <w:tab w:val="right" w:leader="dot" w:pos="9016"/>
            </w:tabs>
            <w:rPr>
              <w:rFonts w:ascii="Arial" w:eastAsiaTheme="minorEastAsia" w:hAnsi="Arial" w:cs="Arial"/>
              <w:b/>
              <w:bCs/>
              <w:noProof/>
              <w:lang w:eastAsia="en-GB"/>
            </w:rPr>
          </w:pPr>
          <w:hyperlink w:anchor="_Toc66868889" w:history="1">
            <w:r w:rsidR="00CF6D6E" w:rsidRPr="00CF6D6E">
              <w:rPr>
                <w:rStyle w:val="Hyperlink"/>
                <w:rFonts w:ascii="Arial" w:hAnsi="Arial" w:cs="Arial"/>
                <w:b/>
                <w:bCs/>
                <w:noProof/>
              </w:rPr>
              <w:t>3.2.1</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rPr>
              <w:t>Reinforced Concrete Bridges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_Toc66868889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4</w:t>
            </w:r>
            <w:r w:rsidR="00CF6D6E" w:rsidRPr="00CF6D6E">
              <w:rPr>
                <w:rFonts w:ascii="Arial" w:hAnsi="Arial" w:cs="Arial"/>
                <w:b/>
                <w:bCs/>
                <w:noProof/>
                <w:webHidden/>
              </w:rPr>
              <w:fldChar w:fldCharType="end"/>
            </w:r>
          </w:hyperlink>
        </w:p>
        <w:p w14:paraId="24AD5BA1" w14:textId="521C811C" w:rsidR="00CF6D6E" w:rsidRPr="00CF6D6E" w:rsidRDefault="00000000">
          <w:pPr>
            <w:pStyle w:val="TOC3"/>
            <w:tabs>
              <w:tab w:val="left" w:pos="1320"/>
              <w:tab w:val="right" w:leader="dot" w:pos="9016"/>
            </w:tabs>
            <w:rPr>
              <w:rFonts w:ascii="Arial" w:eastAsiaTheme="minorEastAsia" w:hAnsi="Arial" w:cs="Arial"/>
              <w:b/>
              <w:bCs/>
              <w:noProof/>
              <w:lang w:eastAsia="en-GB"/>
            </w:rPr>
          </w:pPr>
          <w:hyperlink w:anchor="_Toc66868890" w:history="1">
            <w:r w:rsidR="00CF6D6E" w:rsidRPr="00CF6D6E">
              <w:rPr>
                <w:rStyle w:val="Hyperlink"/>
                <w:rFonts w:ascii="Arial" w:hAnsi="Arial" w:cs="Arial"/>
                <w:b/>
                <w:bCs/>
                <w:noProof/>
              </w:rPr>
              <w:t>3.2.2</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rPr>
              <w:t>Steel Bridges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_Toc66868890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5</w:t>
            </w:r>
            <w:r w:rsidR="00CF6D6E" w:rsidRPr="00CF6D6E">
              <w:rPr>
                <w:rFonts w:ascii="Arial" w:hAnsi="Arial" w:cs="Arial"/>
                <w:b/>
                <w:bCs/>
                <w:noProof/>
                <w:webHidden/>
              </w:rPr>
              <w:fldChar w:fldCharType="end"/>
            </w:r>
          </w:hyperlink>
        </w:p>
        <w:p w14:paraId="29A0FA58" w14:textId="47CE9305" w:rsidR="00CF6D6E" w:rsidRPr="00CF6D6E" w:rsidRDefault="00000000">
          <w:pPr>
            <w:pStyle w:val="TOC3"/>
            <w:tabs>
              <w:tab w:val="left" w:pos="1320"/>
              <w:tab w:val="right" w:leader="dot" w:pos="9016"/>
            </w:tabs>
            <w:rPr>
              <w:rFonts w:ascii="Arial" w:eastAsiaTheme="minorEastAsia" w:hAnsi="Arial" w:cs="Arial"/>
              <w:b/>
              <w:bCs/>
              <w:noProof/>
              <w:lang w:eastAsia="en-GB"/>
            </w:rPr>
          </w:pPr>
          <w:hyperlink w:anchor="_Toc66868891" w:history="1">
            <w:r w:rsidR="00CF6D6E" w:rsidRPr="00CF6D6E">
              <w:rPr>
                <w:rStyle w:val="Hyperlink"/>
                <w:rFonts w:ascii="Arial" w:hAnsi="Arial" w:cs="Arial"/>
                <w:b/>
                <w:bCs/>
                <w:noProof/>
              </w:rPr>
              <w:t>3.2.3</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rPr>
              <w:t>Markov Chains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_Toc66868891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7</w:t>
            </w:r>
            <w:r w:rsidR="00CF6D6E" w:rsidRPr="00CF6D6E">
              <w:rPr>
                <w:rFonts w:ascii="Arial" w:hAnsi="Arial" w:cs="Arial"/>
                <w:b/>
                <w:bCs/>
                <w:noProof/>
                <w:webHidden/>
              </w:rPr>
              <w:fldChar w:fldCharType="end"/>
            </w:r>
          </w:hyperlink>
        </w:p>
        <w:p w14:paraId="1FB0C70E" w14:textId="7D72808C"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892" w:history="1">
            <w:r w:rsidR="00CF6D6E" w:rsidRPr="00CF6D6E">
              <w:rPr>
                <w:rStyle w:val="Hyperlink"/>
                <w:rFonts w:ascii="Arial" w:eastAsia="Times New Roman" w:hAnsi="Arial" w:cs="Arial"/>
                <w:b/>
                <w:bCs/>
                <w:noProof/>
                <w:lang w:eastAsia="en-GB"/>
              </w:rPr>
              <w:t>3.3</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Sustainability</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_Toc66868892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7</w:t>
            </w:r>
            <w:r w:rsidR="00CF6D6E" w:rsidRPr="00CF6D6E">
              <w:rPr>
                <w:rFonts w:ascii="Arial" w:hAnsi="Arial" w:cs="Arial"/>
                <w:b/>
                <w:bCs/>
                <w:noProof/>
                <w:webHidden/>
              </w:rPr>
              <w:fldChar w:fldCharType="end"/>
            </w:r>
          </w:hyperlink>
        </w:p>
        <w:p w14:paraId="5BD129B1" w14:textId="5FCAF8A1"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893" w:history="1">
            <w:r w:rsidR="00CF6D6E" w:rsidRPr="00CF6D6E">
              <w:rPr>
                <w:rStyle w:val="Hyperlink"/>
                <w:rFonts w:ascii="Arial" w:eastAsia="Times New Roman" w:hAnsi="Arial" w:cs="Arial"/>
                <w:b/>
                <w:bCs/>
                <w:noProof/>
                <w:lang w:eastAsia="en-GB"/>
              </w:rPr>
              <w:t>3.4</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Life Cycle Analysis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_Toc66868893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8</w:t>
            </w:r>
            <w:r w:rsidR="00CF6D6E" w:rsidRPr="00CF6D6E">
              <w:rPr>
                <w:rFonts w:ascii="Arial" w:hAnsi="Arial" w:cs="Arial"/>
                <w:b/>
                <w:bCs/>
                <w:noProof/>
                <w:webHidden/>
              </w:rPr>
              <w:fldChar w:fldCharType="end"/>
            </w:r>
          </w:hyperlink>
        </w:p>
        <w:p w14:paraId="023961B1" w14:textId="104073FA"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894" w:history="1">
            <w:r w:rsidR="00CF6D6E" w:rsidRPr="00CF6D6E">
              <w:rPr>
                <w:rStyle w:val="Hyperlink"/>
                <w:rFonts w:ascii="Arial" w:eastAsia="Times New Roman" w:hAnsi="Arial" w:cs="Arial"/>
                <w:b/>
                <w:bCs/>
                <w:noProof/>
                <w:lang w:eastAsia="en-GB"/>
              </w:rPr>
              <w:t>3.5</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Monetisation of Carbon</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_Toc66868894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9</w:t>
            </w:r>
            <w:r w:rsidR="00CF6D6E" w:rsidRPr="00CF6D6E">
              <w:rPr>
                <w:rFonts w:ascii="Arial" w:hAnsi="Arial" w:cs="Arial"/>
                <w:b/>
                <w:bCs/>
                <w:noProof/>
                <w:webHidden/>
              </w:rPr>
              <w:fldChar w:fldCharType="end"/>
            </w:r>
          </w:hyperlink>
        </w:p>
        <w:p w14:paraId="6E657679" w14:textId="51A5C650"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895" w:history="1">
            <w:r w:rsidR="00CF6D6E" w:rsidRPr="00CF6D6E">
              <w:rPr>
                <w:rStyle w:val="Hyperlink"/>
                <w:rFonts w:ascii="Arial" w:eastAsia="Times New Roman" w:hAnsi="Arial" w:cs="Arial"/>
                <w:b/>
                <w:bCs/>
                <w:noProof/>
                <w:lang w:eastAsia="en-GB"/>
              </w:rPr>
              <w:t>3.6</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Conclusion</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_Toc66868895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11</w:t>
            </w:r>
            <w:r w:rsidR="00CF6D6E" w:rsidRPr="00CF6D6E">
              <w:rPr>
                <w:rFonts w:ascii="Arial" w:hAnsi="Arial" w:cs="Arial"/>
                <w:b/>
                <w:bCs/>
                <w:noProof/>
                <w:webHidden/>
              </w:rPr>
              <w:fldChar w:fldCharType="end"/>
            </w:r>
          </w:hyperlink>
        </w:p>
        <w:p w14:paraId="457F027C" w14:textId="1BF625EB" w:rsidR="00CF6D6E" w:rsidRPr="00CF6D6E" w:rsidRDefault="00000000">
          <w:pPr>
            <w:pStyle w:val="TOC1"/>
            <w:rPr>
              <w:rFonts w:eastAsiaTheme="minorEastAsia"/>
              <w:sz w:val="22"/>
              <w:szCs w:val="22"/>
            </w:rPr>
          </w:pPr>
          <w:hyperlink w:anchor="_Toc66868896" w:history="1">
            <w:r w:rsidR="00CF6D6E" w:rsidRPr="00CF6D6E">
              <w:rPr>
                <w:rStyle w:val="Hyperlink"/>
              </w:rPr>
              <w:t>Chapter 4: Methodology and Limitations</w:t>
            </w:r>
            <w:r w:rsidR="00CF6D6E" w:rsidRPr="00CF6D6E">
              <w:rPr>
                <w:webHidden/>
              </w:rPr>
              <w:tab/>
            </w:r>
            <w:r w:rsidR="00CF6D6E" w:rsidRPr="00CF6D6E">
              <w:rPr>
                <w:webHidden/>
              </w:rPr>
              <w:fldChar w:fldCharType="begin"/>
            </w:r>
            <w:r w:rsidR="00CF6D6E" w:rsidRPr="00CF6D6E">
              <w:rPr>
                <w:webHidden/>
              </w:rPr>
              <w:instrText xml:space="preserve"> PAGEREF _Toc66868896 \h </w:instrText>
            </w:r>
            <w:r w:rsidR="00CF6D6E" w:rsidRPr="00CF6D6E">
              <w:rPr>
                <w:webHidden/>
              </w:rPr>
            </w:r>
            <w:r w:rsidR="00CF6D6E" w:rsidRPr="00CF6D6E">
              <w:rPr>
                <w:webHidden/>
              </w:rPr>
              <w:fldChar w:fldCharType="separate"/>
            </w:r>
            <w:r w:rsidR="00CF6D6E" w:rsidRPr="00CF6D6E">
              <w:rPr>
                <w:webHidden/>
              </w:rPr>
              <w:t>12</w:t>
            </w:r>
            <w:r w:rsidR="00CF6D6E" w:rsidRPr="00CF6D6E">
              <w:rPr>
                <w:webHidden/>
              </w:rPr>
              <w:fldChar w:fldCharType="end"/>
            </w:r>
          </w:hyperlink>
        </w:p>
        <w:p w14:paraId="348F29A3" w14:textId="3AC749D5"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898" w:history="1">
            <w:r w:rsidR="00CF6D6E" w:rsidRPr="00CF6D6E">
              <w:rPr>
                <w:rStyle w:val="Hyperlink"/>
                <w:rFonts w:ascii="Arial" w:eastAsia="Times New Roman" w:hAnsi="Arial" w:cs="Arial"/>
                <w:b/>
                <w:bCs/>
                <w:noProof/>
                <w:lang w:eastAsia="en-GB"/>
              </w:rPr>
              <w:t>4.1</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General</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_Toc66868898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12</w:t>
            </w:r>
            <w:r w:rsidR="00CF6D6E" w:rsidRPr="00CF6D6E">
              <w:rPr>
                <w:rFonts w:ascii="Arial" w:hAnsi="Arial" w:cs="Arial"/>
                <w:b/>
                <w:bCs/>
                <w:noProof/>
                <w:webHidden/>
              </w:rPr>
              <w:fldChar w:fldCharType="end"/>
            </w:r>
          </w:hyperlink>
        </w:p>
        <w:p w14:paraId="733D1CD7" w14:textId="6F483856"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899" w:history="1">
            <w:r w:rsidR="00CF6D6E" w:rsidRPr="00CF6D6E">
              <w:rPr>
                <w:rStyle w:val="Hyperlink"/>
                <w:rFonts w:ascii="Arial" w:eastAsia="Times New Roman" w:hAnsi="Arial" w:cs="Arial"/>
                <w:b/>
                <w:bCs/>
                <w:noProof/>
                <w:lang w:eastAsia="en-GB"/>
              </w:rPr>
              <w:t>4.2</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Structure Description</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_Toc66868899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12</w:t>
            </w:r>
            <w:r w:rsidR="00CF6D6E" w:rsidRPr="00CF6D6E">
              <w:rPr>
                <w:rFonts w:ascii="Arial" w:hAnsi="Arial" w:cs="Arial"/>
                <w:b/>
                <w:bCs/>
                <w:noProof/>
                <w:webHidden/>
              </w:rPr>
              <w:fldChar w:fldCharType="end"/>
            </w:r>
          </w:hyperlink>
        </w:p>
        <w:p w14:paraId="0A886104" w14:textId="355CDA4B"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00" w:history="1">
            <w:r w:rsidR="00CF6D6E" w:rsidRPr="00CF6D6E">
              <w:rPr>
                <w:rStyle w:val="Hyperlink"/>
                <w:rFonts w:ascii="Arial" w:eastAsia="Times New Roman" w:hAnsi="Arial" w:cs="Arial"/>
                <w:b/>
                <w:bCs/>
                <w:noProof/>
                <w:lang w:eastAsia="en-GB"/>
              </w:rPr>
              <w:t>4.3</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Key Geometric Data</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_Toc66868900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13</w:t>
            </w:r>
            <w:r w:rsidR="00CF6D6E" w:rsidRPr="00CF6D6E">
              <w:rPr>
                <w:rFonts w:ascii="Arial" w:hAnsi="Arial" w:cs="Arial"/>
                <w:b/>
                <w:bCs/>
                <w:noProof/>
                <w:webHidden/>
              </w:rPr>
              <w:fldChar w:fldCharType="end"/>
            </w:r>
          </w:hyperlink>
        </w:p>
        <w:p w14:paraId="2CFE8223" w14:textId="47EAF48F"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01" w:history="1">
            <w:r w:rsidR="00CF6D6E" w:rsidRPr="00CF6D6E">
              <w:rPr>
                <w:rStyle w:val="Hyperlink"/>
                <w:rFonts w:ascii="Arial" w:eastAsia="Times New Roman" w:hAnsi="Arial" w:cs="Arial"/>
                <w:b/>
                <w:bCs/>
                <w:noProof/>
                <w:lang w:eastAsia="en-GB"/>
              </w:rPr>
              <w:t>4.4</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Expected Outcomes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_Toc66868901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13</w:t>
            </w:r>
            <w:r w:rsidR="00CF6D6E" w:rsidRPr="00CF6D6E">
              <w:rPr>
                <w:rFonts w:ascii="Arial" w:hAnsi="Arial" w:cs="Arial"/>
                <w:b/>
                <w:bCs/>
                <w:noProof/>
                <w:webHidden/>
              </w:rPr>
              <w:fldChar w:fldCharType="end"/>
            </w:r>
          </w:hyperlink>
        </w:p>
        <w:p w14:paraId="3AD34E95" w14:textId="62E7F3F5"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02" w:history="1">
            <w:r w:rsidR="00CF6D6E" w:rsidRPr="00CF6D6E">
              <w:rPr>
                <w:rStyle w:val="Hyperlink"/>
                <w:rFonts w:ascii="Arial" w:eastAsia="Times New Roman" w:hAnsi="Arial" w:cs="Arial"/>
                <w:b/>
                <w:bCs/>
                <w:noProof/>
                <w:lang w:eastAsia="en-GB"/>
              </w:rPr>
              <w:t>4.5</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Key Assumptions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_Toc66868902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13</w:t>
            </w:r>
            <w:r w:rsidR="00CF6D6E" w:rsidRPr="00CF6D6E">
              <w:rPr>
                <w:rFonts w:ascii="Arial" w:hAnsi="Arial" w:cs="Arial"/>
                <w:b/>
                <w:bCs/>
                <w:noProof/>
                <w:webHidden/>
              </w:rPr>
              <w:fldChar w:fldCharType="end"/>
            </w:r>
          </w:hyperlink>
        </w:p>
        <w:p w14:paraId="577A8A1C" w14:textId="65DED8B7"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03" w:history="1">
            <w:r w:rsidR="00CF6D6E" w:rsidRPr="00CF6D6E">
              <w:rPr>
                <w:rStyle w:val="Hyperlink"/>
                <w:rFonts w:ascii="Arial" w:eastAsia="Times New Roman" w:hAnsi="Arial" w:cs="Arial"/>
                <w:b/>
                <w:bCs/>
                <w:noProof/>
                <w:lang w:eastAsia="en-GB"/>
              </w:rPr>
              <w:t>4.6</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Data Input</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_Toc66868903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14</w:t>
            </w:r>
            <w:r w:rsidR="00CF6D6E" w:rsidRPr="00CF6D6E">
              <w:rPr>
                <w:rFonts w:ascii="Arial" w:hAnsi="Arial" w:cs="Arial"/>
                <w:b/>
                <w:bCs/>
                <w:noProof/>
                <w:webHidden/>
              </w:rPr>
              <w:fldChar w:fldCharType="end"/>
            </w:r>
          </w:hyperlink>
        </w:p>
        <w:p w14:paraId="1311482A" w14:textId="14FA1513" w:rsidR="00CF6D6E" w:rsidRPr="00CF6D6E" w:rsidRDefault="00000000">
          <w:pPr>
            <w:pStyle w:val="TOC3"/>
            <w:tabs>
              <w:tab w:val="left" w:pos="1320"/>
              <w:tab w:val="right" w:leader="dot" w:pos="9016"/>
            </w:tabs>
            <w:rPr>
              <w:rFonts w:ascii="Arial" w:eastAsiaTheme="minorEastAsia" w:hAnsi="Arial" w:cs="Arial"/>
              <w:b/>
              <w:bCs/>
              <w:noProof/>
              <w:lang w:eastAsia="en-GB"/>
            </w:rPr>
          </w:pPr>
          <w:hyperlink w:anchor="_Toc66868904" w:history="1">
            <w:r w:rsidR="00CF6D6E" w:rsidRPr="00CF6D6E">
              <w:rPr>
                <w:rStyle w:val="Hyperlink"/>
                <w:rFonts w:ascii="Arial" w:eastAsia="Times New Roman" w:hAnsi="Arial" w:cs="Arial"/>
                <w:b/>
                <w:bCs/>
                <w:noProof/>
                <w:lang w:eastAsia="en-GB"/>
              </w:rPr>
              <w:t>4.6.1</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Exposure Environment</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_Toc66868904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14</w:t>
            </w:r>
            <w:r w:rsidR="00CF6D6E" w:rsidRPr="00CF6D6E">
              <w:rPr>
                <w:rFonts w:ascii="Arial" w:hAnsi="Arial" w:cs="Arial"/>
                <w:b/>
                <w:bCs/>
                <w:noProof/>
                <w:webHidden/>
              </w:rPr>
              <w:fldChar w:fldCharType="end"/>
            </w:r>
          </w:hyperlink>
        </w:p>
        <w:p w14:paraId="190A2DA1" w14:textId="44875A28" w:rsidR="00CF6D6E" w:rsidRPr="00CF6D6E" w:rsidRDefault="00000000">
          <w:pPr>
            <w:pStyle w:val="TOC3"/>
            <w:tabs>
              <w:tab w:val="left" w:pos="1320"/>
              <w:tab w:val="right" w:leader="dot" w:pos="9016"/>
            </w:tabs>
            <w:rPr>
              <w:rFonts w:ascii="Arial" w:eastAsiaTheme="minorEastAsia" w:hAnsi="Arial" w:cs="Arial"/>
              <w:b/>
              <w:bCs/>
              <w:noProof/>
              <w:lang w:eastAsia="en-GB"/>
            </w:rPr>
          </w:pPr>
          <w:hyperlink w:anchor="_Toc66868905" w:history="1">
            <w:r w:rsidR="00CF6D6E" w:rsidRPr="00CF6D6E">
              <w:rPr>
                <w:rStyle w:val="Hyperlink"/>
                <w:rFonts w:ascii="Arial" w:hAnsi="Arial" w:cs="Arial"/>
                <w:b/>
                <w:bCs/>
                <w:noProof/>
              </w:rPr>
              <w:t>4.6.2</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rPr>
              <w:t>Bridge Elements and Proximity to Traffic Spray</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_Toc66868905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15</w:t>
            </w:r>
            <w:r w:rsidR="00CF6D6E" w:rsidRPr="00CF6D6E">
              <w:rPr>
                <w:rFonts w:ascii="Arial" w:hAnsi="Arial" w:cs="Arial"/>
                <w:b/>
                <w:bCs/>
                <w:noProof/>
                <w:webHidden/>
              </w:rPr>
              <w:fldChar w:fldCharType="end"/>
            </w:r>
          </w:hyperlink>
        </w:p>
        <w:p w14:paraId="36854012" w14:textId="2433C10F" w:rsidR="00CF6D6E" w:rsidRPr="00CF6D6E" w:rsidRDefault="00000000">
          <w:pPr>
            <w:pStyle w:val="TOC3"/>
            <w:tabs>
              <w:tab w:val="left" w:pos="1320"/>
              <w:tab w:val="right" w:leader="dot" w:pos="9016"/>
            </w:tabs>
            <w:rPr>
              <w:rFonts w:ascii="Arial" w:eastAsiaTheme="minorEastAsia" w:hAnsi="Arial" w:cs="Arial"/>
              <w:b/>
              <w:bCs/>
              <w:noProof/>
              <w:lang w:eastAsia="en-GB"/>
            </w:rPr>
          </w:pPr>
          <w:hyperlink w:anchor="_Toc66868906" w:history="1">
            <w:r w:rsidR="00CF6D6E" w:rsidRPr="00CF6D6E">
              <w:rPr>
                <w:rStyle w:val="Hyperlink"/>
                <w:rFonts w:ascii="Arial" w:hAnsi="Arial" w:cs="Arial"/>
                <w:b/>
                <w:bCs/>
                <w:noProof/>
              </w:rPr>
              <w:t>4.6.3</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rPr>
              <w:t>Traffic Category</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_Toc66868906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17</w:t>
            </w:r>
            <w:r w:rsidR="00CF6D6E" w:rsidRPr="00CF6D6E">
              <w:rPr>
                <w:rFonts w:ascii="Arial" w:hAnsi="Arial" w:cs="Arial"/>
                <w:b/>
                <w:bCs/>
                <w:noProof/>
                <w:webHidden/>
              </w:rPr>
              <w:fldChar w:fldCharType="end"/>
            </w:r>
          </w:hyperlink>
        </w:p>
        <w:p w14:paraId="30F7D06D" w14:textId="490F7609"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07" w:history="1">
            <w:r w:rsidR="00CF6D6E" w:rsidRPr="00CF6D6E">
              <w:rPr>
                <w:rStyle w:val="Hyperlink"/>
                <w:rFonts w:ascii="Arial" w:eastAsia="Times New Roman" w:hAnsi="Arial" w:cs="Arial"/>
                <w:b/>
                <w:bCs/>
                <w:noProof/>
                <w:lang w:eastAsia="en-GB"/>
              </w:rPr>
              <w:t>4.7</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Scheme Costs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_Toc66868907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19</w:t>
            </w:r>
            <w:r w:rsidR="00CF6D6E" w:rsidRPr="00CF6D6E">
              <w:rPr>
                <w:rFonts w:ascii="Arial" w:hAnsi="Arial" w:cs="Arial"/>
                <w:b/>
                <w:bCs/>
                <w:noProof/>
                <w:webHidden/>
              </w:rPr>
              <w:fldChar w:fldCharType="end"/>
            </w:r>
          </w:hyperlink>
        </w:p>
        <w:p w14:paraId="2E03AFEE" w14:textId="02A792FD"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08" w:history="1">
            <w:r w:rsidR="00CF6D6E" w:rsidRPr="00CF6D6E">
              <w:rPr>
                <w:rStyle w:val="Hyperlink"/>
                <w:rFonts w:ascii="Arial" w:eastAsia="Times New Roman" w:hAnsi="Arial" w:cs="Arial"/>
                <w:b/>
                <w:bCs/>
                <w:noProof/>
                <w:lang w:eastAsia="en-GB"/>
              </w:rPr>
              <w:t>4.8</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Traffic Delay Costs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_Toc66868908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20</w:t>
            </w:r>
            <w:r w:rsidR="00CF6D6E" w:rsidRPr="00CF6D6E">
              <w:rPr>
                <w:rFonts w:ascii="Arial" w:hAnsi="Arial" w:cs="Arial"/>
                <w:b/>
                <w:bCs/>
                <w:noProof/>
                <w:webHidden/>
              </w:rPr>
              <w:fldChar w:fldCharType="end"/>
            </w:r>
          </w:hyperlink>
        </w:p>
        <w:p w14:paraId="5E80F821" w14:textId="6D54F3D5"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09" w:history="1">
            <w:r w:rsidR="00CF6D6E" w:rsidRPr="00CF6D6E">
              <w:rPr>
                <w:rStyle w:val="Hyperlink"/>
                <w:rFonts w:ascii="Arial" w:eastAsia="Times New Roman" w:hAnsi="Arial" w:cs="Arial"/>
                <w:b/>
                <w:bCs/>
                <w:noProof/>
                <w:lang w:eastAsia="en-GB"/>
              </w:rPr>
              <w:t>4.9</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Carbon Emissions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_Toc66868909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21</w:t>
            </w:r>
            <w:r w:rsidR="00CF6D6E" w:rsidRPr="00CF6D6E">
              <w:rPr>
                <w:rFonts w:ascii="Arial" w:hAnsi="Arial" w:cs="Arial"/>
                <w:b/>
                <w:bCs/>
                <w:noProof/>
                <w:webHidden/>
              </w:rPr>
              <w:fldChar w:fldCharType="end"/>
            </w:r>
          </w:hyperlink>
        </w:p>
        <w:p w14:paraId="14BBEC72" w14:textId="67A7E502"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10" w:history="1">
            <w:r w:rsidR="00CF6D6E" w:rsidRPr="00CF6D6E">
              <w:rPr>
                <w:rStyle w:val="Hyperlink"/>
                <w:rFonts w:ascii="Arial" w:eastAsia="Times New Roman" w:hAnsi="Arial" w:cs="Arial"/>
                <w:b/>
                <w:bCs/>
                <w:noProof/>
                <w:lang w:eastAsia="en-GB"/>
              </w:rPr>
              <w:t>4.10</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Traffic Forecasts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_Toc66868910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23</w:t>
            </w:r>
            <w:r w:rsidR="00CF6D6E" w:rsidRPr="00CF6D6E">
              <w:rPr>
                <w:rFonts w:ascii="Arial" w:hAnsi="Arial" w:cs="Arial"/>
                <w:b/>
                <w:bCs/>
                <w:noProof/>
                <w:webHidden/>
              </w:rPr>
              <w:fldChar w:fldCharType="end"/>
            </w:r>
          </w:hyperlink>
        </w:p>
        <w:p w14:paraId="086A9ED2" w14:textId="584FE684"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11" w:history="1">
            <w:r w:rsidR="00CF6D6E" w:rsidRPr="00CF6D6E">
              <w:rPr>
                <w:rStyle w:val="Hyperlink"/>
                <w:rFonts w:ascii="Arial" w:eastAsia="Times New Roman" w:hAnsi="Arial" w:cs="Arial"/>
                <w:b/>
                <w:bCs/>
                <w:noProof/>
                <w:lang w:eastAsia="en-GB"/>
              </w:rPr>
              <w:t>4.11</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Carbon Values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_Toc66868911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24</w:t>
            </w:r>
            <w:r w:rsidR="00CF6D6E" w:rsidRPr="00CF6D6E">
              <w:rPr>
                <w:rFonts w:ascii="Arial" w:hAnsi="Arial" w:cs="Arial"/>
                <w:b/>
                <w:bCs/>
                <w:noProof/>
                <w:webHidden/>
              </w:rPr>
              <w:fldChar w:fldCharType="end"/>
            </w:r>
          </w:hyperlink>
        </w:p>
        <w:p w14:paraId="7D5B83C0" w14:textId="343D9EF7"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12" w:history="1">
            <w:r w:rsidR="00CF6D6E" w:rsidRPr="00CF6D6E">
              <w:rPr>
                <w:rStyle w:val="Hyperlink"/>
                <w:rFonts w:ascii="Arial" w:eastAsia="Times New Roman" w:hAnsi="Arial" w:cs="Arial"/>
                <w:b/>
                <w:bCs/>
                <w:noProof/>
                <w:lang w:eastAsia="en-GB"/>
              </w:rPr>
              <w:t>4.12</w:t>
            </w:r>
            <w:r w:rsidR="00CF6D6E" w:rsidRPr="00CF6D6E">
              <w:rPr>
                <w:rFonts w:ascii="Arial" w:eastAsiaTheme="minorEastAsia" w:hAnsi="Arial" w:cs="Arial"/>
                <w:b/>
                <w:bCs/>
                <w:noProof/>
                <w:lang w:eastAsia="en-GB"/>
              </w:rPr>
              <w:tab/>
            </w:r>
            <w:r w:rsidR="00CF6D6E" w:rsidRPr="00CF6D6E">
              <w:rPr>
                <w:rStyle w:val="Hyperlink"/>
                <w:rFonts w:ascii="Arial" w:eastAsia="Times New Roman" w:hAnsi="Arial" w:cs="Arial"/>
                <w:b/>
                <w:bCs/>
                <w:noProof/>
                <w:lang w:eastAsia="en-GB"/>
              </w:rPr>
              <w:t>Discount Rates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_Toc66868912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25</w:t>
            </w:r>
            <w:r w:rsidR="00CF6D6E" w:rsidRPr="00CF6D6E">
              <w:rPr>
                <w:rFonts w:ascii="Arial" w:hAnsi="Arial" w:cs="Arial"/>
                <w:b/>
                <w:bCs/>
                <w:noProof/>
                <w:webHidden/>
              </w:rPr>
              <w:fldChar w:fldCharType="end"/>
            </w:r>
          </w:hyperlink>
        </w:p>
        <w:p w14:paraId="3ADA560F" w14:textId="1350DCAB" w:rsidR="00CF6D6E" w:rsidRPr="00CF6D6E" w:rsidRDefault="00000000">
          <w:pPr>
            <w:pStyle w:val="TOC1"/>
            <w:rPr>
              <w:rFonts w:eastAsiaTheme="minorEastAsia"/>
              <w:sz w:val="22"/>
              <w:szCs w:val="22"/>
            </w:rPr>
          </w:pPr>
          <w:hyperlink w:anchor="_Toc66868913" w:history="1">
            <w:r w:rsidR="00CF6D6E" w:rsidRPr="00CF6D6E">
              <w:rPr>
                <w:rStyle w:val="Hyperlink"/>
              </w:rPr>
              <w:t>Chapter 5: Results</w:t>
            </w:r>
            <w:r w:rsidR="00CF6D6E" w:rsidRPr="00CF6D6E">
              <w:rPr>
                <w:webHidden/>
              </w:rPr>
              <w:tab/>
            </w:r>
            <w:r w:rsidR="00CF6D6E" w:rsidRPr="00CF6D6E">
              <w:rPr>
                <w:webHidden/>
              </w:rPr>
              <w:fldChar w:fldCharType="begin"/>
            </w:r>
            <w:r w:rsidR="00CF6D6E" w:rsidRPr="00CF6D6E">
              <w:rPr>
                <w:webHidden/>
              </w:rPr>
              <w:instrText xml:space="preserve"> PAGEREF _Toc66868913 \h </w:instrText>
            </w:r>
            <w:r w:rsidR="00CF6D6E" w:rsidRPr="00CF6D6E">
              <w:rPr>
                <w:webHidden/>
              </w:rPr>
            </w:r>
            <w:r w:rsidR="00CF6D6E" w:rsidRPr="00CF6D6E">
              <w:rPr>
                <w:webHidden/>
              </w:rPr>
              <w:fldChar w:fldCharType="separate"/>
            </w:r>
            <w:r w:rsidR="00CF6D6E" w:rsidRPr="00CF6D6E">
              <w:rPr>
                <w:webHidden/>
              </w:rPr>
              <w:t>26</w:t>
            </w:r>
            <w:r w:rsidR="00CF6D6E" w:rsidRPr="00CF6D6E">
              <w:rPr>
                <w:webHidden/>
              </w:rPr>
              <w:fldChar w:fldCharType="end"/>
            </w:r>
          </w:hyperlink>
        </w:p>
        <w:p w14:paraId="65245A49" w14:textId="4E06AE2D"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15" w:history="1">
            <w:r w:rsidR="00CF6D6E" w:rsidRPr="00CF6D6E">
              <w:rPr>
                <w:rStyle w:val="Hyperlink"/>
                <w:rFonts w:ascii="Arial" w:hAnsi="Arial" w:cs="Arial"/>
                <w:b/>
                <w:bCs/>
                <w:noProof/>
                <w:lang w:eastAsia="en-GB"/>
              </w:rPr>
              <w:t>5.1</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lang w:eastAsia="en-GB"/>
              </w:rPr>
              <w:t>Overview</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_Toc66868915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26</w:t>
            </w:r>
            <w:r w:rsidR="00CF6D6E" w:rsidRPr="00CF6D6E">
              <w:rPr>
                <w:rFonts w:ascii="Arial" w:hAnsi="Arial" w:cs="Arial"/>
                <w:b/>
                <w:bCs/>
                <w:noProof/>
                <w:webHidden/>
              </w:rPr>
              <w:fldChar w:fldCharType="end"/>
            </w:r>
          </w:hyperlink>
        </w:p>
        <w:p w14:paraId="3EA87E62" w14:textId="21291985"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16" w:history="1">
            <w:r w:rsidR="00CF6D6E" w:rsidRPr="00CF6D6E">
              <w:rPr>
                <w:rStyle w:val="Hyperlink"/>
                <w:rFonts w:ascii="Arial" w:hAnsi="Arial" w:cs="Arial"/>
                <w:b/>
                <w:bCs/>
                <w:noProof/>
                <w:lang w:eastAsia="en-GB"/>
              </w:rPr>
              <w:t>5.2</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lang w:eastAsia="en-GB"/>
              </w:rPr>
              <w:t>Discounted Scheme Costs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_Toc66868916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27</w:t>
            </w:r>
            <w:r w:rsidR="00CF6D6E" w:rsidRPr="00CF6D6E">
              <w:rPr>
                <w:rFonts w:ascii="Arial" w:hAnsi="Arial" w:cs="Arial"/>
                <w:b/>
                <w:bCs/>
                <w:noProof/>
                <w:webHidden/>
              </w:rPr>
              <w:fldChar w:fldCharType="end"/>
            </w:r>
          </w:hyperlink>
        </w:p>
        <w:p w14:paraId="6105439A" w14:textId="53B770C2"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17" w:history="1">
            <w:r w:rsidR="00CF6D6E" w:rsidRPr="00CF6D6E">
              <w:rPr>
                <w:rStyle w:val="Hyperlink"/>
                <w:rFonts w:ascii="Arial" w:hAnsi="Arial" w:cs="Arial"/>
                <w:b/>
                <w:bCs/>
                <w:noProof/>
                <w:lang w:eastAsia="en-GB"/>
              </w:rPr>
              <w:t>5.3</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lang w:eastAsia="en-GB"/>
              </w:rPr>
              <w:t>Discounted Traffic Delay Costs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_Toc66868917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28</w:t>
            </w:r>
            <w:r w:rsidR="00CF6D6E" w:rsidRPr="00CF6D6E">
              <w:rPr>
                <w:rFonts w:ascii="Arial" w:hAnsi="Arial" w:cs="Arial"/>
                <w:b/>
                <w:bCs/>
                <w:noProof/>
                <w:webHidden/>
              </w:rPr>
              <w:fldChar w:fldCharType="end"/>
            </w:r>
          </w:hyperlink>
        </w:p>
        <w:p w14:paraId="597FFEDF" w14:textId="15D30C5A"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19" w:history="1">
            <w:r w:rsidR="00CF6D6E" w:rsidRPr="00CF6D6E">
              <w:rPr>
                <w:rStyle w:val="Hyperlink"/>
                <w:rFonts w:ascii="Arial" w:hAnsi="Arial" w:cs="Arial"/>
                <w:b/>
                <w:bCs/>
                <w:noProof/>
                <w:lang w:eastAsia="en-GB"/>
              </w:rPr>
              <w:t>5.4</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lang w:eastAsia="en-GB"/>
              </w:rPr>
              <w:t>Discounted CO</w:t>
            </w:r>
            <w:r w:rsidR="00CF6D6E" w:rsidRPr="00CF6D6E">
              <w:rPr>
                <w:rStyle w:val="Hyperlink"/>
                <w:rFonts w:ascii="Arial" w:hAnsi="Arial" w:cs="Arial"/>
                <w:b/>
                <w:bCs/>
                <w:noProof/>
                <w:vertAlign w:val="subscript"/>
                <w:lang w:eastAsia="en-GB"/>
              </w:rPr>
              <w:t>2</w:t>
            </w:r>
            <w:r w:rsidR="00CF6D6E" w:rsidRPr="00CF6D6E">
              <w:rPr>
                <w:rStyle w:val="Hyperlink"/>
                <w:rFonts w:ascii="Arial" w:hAnsi="Arial" w:cs="Arial"/>
                <w:b/>
                <w:bCs/>
                <w:noProof/>
                <w:lang w:eastAsia="en-GB"/>
              </w:rPr>
              <w:t xml:space="preserve"> Costs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_Toc66868919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29</w:t>
            </w:r>
            <w:r w:rsidR="00CF6D6E" w:rsidRPr="00CF6D6E">
              <w:rPr>
                <w:rFonts w:ascii="Arial" w:hAnsi="Arial" w:cs="Arial"/>
                <w:b/>
                <w:bCs/>
                <w:noProof/>
                <w:webHidden/>
              </w:rPr>
              <w:fldChar w:fldCharType="end"/>
            </w:r>
          </w:hyperlink>
        </w:p>
        <w:p w14:paraId="1E6190C6" w14:textId="77AD9781"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20" w:history="1">
            <w:r w:rsidR="00CF6D6E" w:rsidRPr="00CF6D6E">
              <w:rPr>
                <w:rStyle w:val="Hyperlink"/>
                <w:rFonts w:ascii="Arial" w:hAnsi="Arial" w:cs="Arial"/>
                <w:b/>
                <w:bCs/>
                <w:noProof/>
                <w:lang w:eastAsia="en-GB"/>
              </w:rPr>
              <w:t>5.5</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lang w:eastAsia="en-GB"/>
              </w:rPr>
              <w:t>CO</w:t>
            </w:r>
            <w:r w:rsidR="00CF6D6E" w:rsidRPr="00CF6D6E">
              <w:rPr>
                <w:rStyle w:val="Hyperlink"/>
                <w:rFonts w:ascii="Arial" w:hAnsi="Arial" w:cs="Arial"/>
                <w:b/>
                <w:bCs/>
                <w:noProof/>
                <w:vertAlign w:val="subscript"/>
                <w:lang w:eastAsia="en-GB"/>
              </w:rPr>
              <w:t>2</w:t>
            </w:r>
            <w:r w:rsidR="00CF6D6E" w:rsidRPr="00CF6D6E">
              <w:rPr>
                <w:rStyle w:val="Hyperlink"/>
                <w:rFonts w:ascii="Arial" w:hAnsi="Arial" w:cs="Arial"/>
                <w:b/>
                <w:bCs/>
                <w:noProof/>
                <w:lang w:eastAsia="en-GB"/>
              </w:rPr>
              <w:t xml:space="preserve"> Emissions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_Toc66868920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30</w:t>
            </w:r>
            <w:r w:rsidR="00CF6D6E" w:rsidRPr="00CF6D6E">
              <w:rPr>
                <w:rFonts w:ascii="Arial" w:hAnsi="Arial" w:cs="Arial"/>
                <w:b/>
                <w:bCs/>
                <w:noProof/>
                <w:webHidden/>
              </w:rPr>
              <w:fldChar w:fldCharType="end"/>
            </w:r>
          </w:hyperlink>
        </w:p>
        <w:p w14:paraId="1FFBB4A7" w14:textId="3931E8E0" w:rsidR="00CF6D6E" w:rsidRPr="00CF6D6E" w:rsidRDefault="00000000">
          <w:pPr>
            <w:pStyle w:val="TOC1"/>
            <w:rPr>
              <w:rFonts w:eastAsiaTheme="minorEastAsia"/>
              <w:sz w:val="22"/>
              <w:szCs w:val="22"/>
            </w:rPr>
          </w:pPr>
          <w:hyperlink w:anchor="_Toc66868921" w:history="1">
            <w:r w:rsidR="00CF6D6E" w:rsidRPr="00CF6D6E">
              <w:rPr>
                <w:rStyle w:val="Hyperlink"/>
              </w:rPr>
              <w:t>Chapter 6: Analysis</w:t>
            </w:r>
            <w:r w:rsidR="00CF6D6E" w:rsidRPr="00CF6D6E">
              <w:rPr>
                <w:webHidden/>
              </w:rPr>
              <w:tab/>
            </w:r>
            <w:r w:rsidR="00CF6D6E" w:rsidRPr="00CF6D6E">
              <w:rPr>
                <w:webHidden/>
              </w:rPr>
              <w:fldChar w:fldCharType="begin"/>
            </w:r>
            <w:r w:rsidR="00CF6D6E" w:rsidRPr="00CF6D6E">
              <w:rPr>
                <w:webHidden/>
              </w:rPr>
              <w:instrText xml:space="preserve"> PAGEREF _Toc66868921 \h </w:instrText>
            </w:r>
            <w:r w:rsidR="00CF6D6E" w:rsidRPr="00CF6D6E">
              <w:rPr>
                <w:webHidden/>
              </w:rPr>
            </w:r>
            <w:r w:rsidR="00CF6D6E" w:rsidRPr="00CF6D6E">
              <w:rPr>
                <w:webHidden/>
              </w:rPr>
              <w:fldChar w:fldCharType="separate"/>
            </w:r>
            <w:r w:rsidR="00CF6D6E" w:rsidRPr="00CF6D6E">
              <w:rPr>
                <w:webHidden/>
              </w:rPr>
              <w:t>32</w:t>
            </w:r>
            <w:r w:rsidR="00CF6D6E" w:rsidRPr="00CF6D6E">
              <w:rPr>
                <w:webHidden/>
              </w:rPr>
              <w:fldChar w:fldCharType="end"/>
            </w:r>
          </w:hyperlink>
        </w:p>
        <w:p w14:paraId="164E3167" w14:textId="730E6162"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23" w:history="1">
            <w:r w:rsidR="00CF6D6E" w:rsidRPr="00CF6D6E">
              <w:rPr>
                <w:rStyle w:val="Hyperlink"/>
                <w:rFonts w:ascii="Arial" w:hAnsi="Arial" w:cs="Arial"/>
                <w:b/>
                <w:bCs/>
                <w:noProof/>
                <w:lang w:eastAsia="en-GB"/>
              </w:rPr>
              <w:t>6.1</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lang w:eastAsia="en-GB"/>
              </w:rPr>
              <w:t>Maintenance Costs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_Toc66868923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32</w:t>
            </w:r>
            <w:r w:rsidR="00CF6D6E" w:rsidRPr="00CF6D6E">
              <w:rPr>
                <w:rFonts w:ascii="Arial" w:hAnsi="Arial" w:cs="Arial"/>
                <w:b/>
                <w:bCs/>
                <w:noProof/>
                <w:webHidden/>
              </w:rPr>
              <w:fldChar w:fldCharType="end"/>
            </w:r>
          </w:hyperlink>
        </w:p>
        <w:p w14:paraId="50CA01E0" w14:textId="5655A70E"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24" w:history="1">
            <w:r w:rsidR="00CF6D6E" w:rsidRPr="00CF6D6E">
              <w:rPr>
                <w:rStyle w:val="Hyperlink"/>
                <w:rFonts w:ascii="Arial" w:hAnsi="Arial" w:cs="Arial"/>
                <w:b/>
                <w:bCs/>
                <w:noProof/>
                <w:lang w:eastAsia="en-GB"/>
              </w:rPr>
              <w:t>6.2</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lang w:eastAsia="en-GB"/>
              </w:rPr>
              <w:t>Carbon Emissions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_Toc66868924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33</w:t>
            </w:r>
            <w:r w:rsidR="00CF6D6E" w:rsidRPr="00CF6D6E">
              <w:rPr>
                <w:rFonts w:ascii="Arial" w:hAnsi="Arial" w:cs="Arial"/>
                <w:b/>
                <w:bCs/>
                <w:noProof/>
                <w:webHidden/>
              </w:rPr>
              <w:fldChar w:fldCharType="end"/>
            </w:r>
          </w:hyperlink>
        </w:p>
        <w:p w14:paraId="70B6D6D3" w14:textId="4BBB7BC5"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25" w:history="1">
            <w:r w:rsidR="00CF6D6E" w:rsidRPr="00CF6D6E">
              <w:rPr>
                <w:rStyle w:val="Hyperlink"/>
                <w:rFonts w:ascii="Arial" w:hAnsi="Arial" w:cs="Arial"/>
                <w:b/>
                <w:bCs/>
                <w:noProof/>
                <w:lang w:eastAsia="en-GB"/>
              </w:rPr>
              <w:t>6.3</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lang w:eastAsia="en-GB"/>
              </w:rPr>
              <w:t>Condition</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_Toc66868925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34</w:t>
            </w:r>
            <w:r w:rsidR="00CF6D6E" w:rsidRPr="00CF6D6E">
              <w:rPr>
                <w:rFonts w:ascii="Arial" w:hAnsi="Arial" w:cs="Arial"/>
                <w:b/>
                <w:bCs/>
                <w:noProof/>
                <w:webHidden/>
              </w:rPr>
              <w:fldChar w:fldCharType="end"/>
            </w:r>
          </w:hyperlink>
        </w:p>
        <w:p w14:paraId="315C3E6F" w14:textId="053FC0BB" w:rsidR="00CF6D6E" w:rsidRPr="00CF6D6E" w:rsidRDefault="00000000">
          <w:pPr>
            <w:pStyle w:val="TOC1"/>
            <w:rPr>
              <w:rFonts w:eastAsiaTheme="minorEastAsia"/>
              <w:sz w:val="22"/>
              <w:szCs w:val="22"/>
            </w:rPr>
          </w:pPr>
          <w:hyperlink w:anchor="_Toc66868926" w:history="1">
            <w:r w:rsidR="00CF6D6E" w:rsidRPr="00CF6D6E">
              <w:rPr>
                <w:rStyle w:val="Hyperlink"/>
              </w:rPr>
              <w:t>Chapter 7: Discussion</w:t>
            </w:r>
            <w:r w:rsidR="00CF6D6E" w:rsidRPr="00CF6D6E">
              <w:rPr>
                <w:webHidden/>
              </w:rPr>
              <w:tab/>
            </w:r>
            <w:r w:rsidR="00CF6D6E" w:rsidRPr="00CF6D6E">
              <w:rPr>
                <w:webHidden/>
              </w:rPr>
              <w:fldChar w:fldCharType="begin"/>
            </w:r>
            <w:r w:rsidR="00CF6D6E" w:rsidRPr="00CF6D6E">
              <w:rPr>
                <w:webHidden/>
              </w:rPr>
              <w:instrText xml:space="preserve"> PAGEREF _Toc66868926 \h </w:instrText>
            </w:r>
            <w:r w:rsidR="00CF6D6E" w:rsidRPr="00CF6D6E">
              <w:rPr>
                <w:webHidden/>
              </w:rPr>
            </w:r>
            <w:r w:rsidR="00CF6D6E" w:rsidRPr="00CF6D6E">
              <w:rPr>
                <w:webHidden/>
              </w:rPr>
              <w:fldChar w:fldCharType="separate"/>
            </w:r>
            <w:r w:rsidR="00CF6D6E" w:rsidRPr="00CF6D6E">
              <w:rPr>
                <w:webHidden/>
              </w:rPr>
              <w:t>36</w:t>
            </w:r>
            <w:r w:rsidR="00CF6D6E" w:rsidRPr="00CF6D6E">
              <w:rPr>
                <w:webHidden/>
              </w:rPr>
              <w:fldChar w:fldCharType="end"/>
            </w:r>
          </w:hyperlink>
        </w:p>
        <w:p w14:paraId="3AD403D0" w14:textId="36A0E1BE"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34" w:history="1">
            <w:r w:rsidR="00CF6D6E" w:rsidRPr="00CF6D6E">
              <w:rPr>
                <w:rStyle w:val="Hyperlink"/>
                <w:rFonts w:ascii="Arial" w:hAnsi="Arial" w:cs="Arial"/>
                <w:b/>
                <w:bCs/>
                <w:noProof/>
                <w:lang w:eastAsia="en-GB"/>
              </w:rPr>
              <w:t>7.1</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lang w:eastAsia="en-GB"/>
              </w:rPr>
              <w:t>General</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_Toc66868934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36</w:t>
            </w:r>
            <w:r w:rsidR="00CF6D6E" w:rsidRPr="00CF6D6E">
              <w:rPr>
                <w:rFonts w:ascii="Arial" w:hAnsi="Arial" w:cs="Arial"/>
                <w:b/>
                <w:bCs/>
                <w:noProof/>
                <w:webHidden/>
              </w:rPr>
              <w:fldChar w:fldCharType="end"/>
            </w:r>
          </w:hyperlink>
        </w:p>
        <w:p w14:paraId="72A31415" w14:textId="2C884E06"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35" w:history="1">
            <w:r w:rsidR="00CF6D6E" w:rsidRPr="00CF6D6E">
              <w:rPr>
                <w:rStyle w:val="Hyperlink"/>
                <w:rFonts w:ascii="Arial" w:hAnsi="Arial" w:cs="Arial"/>
                <w:b/>
                <w:bCs/>
                <w:noProof/>
                <w:lang w:eastAsia="en-GB"/>
              </w:rPr>
              <w:t>7.2</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lang w:eastAsia="en-GB"/>
              </w:rPr>
              <w:t>Maintenance Costs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_Toc66868935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36</w:t>
            </w:r>
            <w:r w:rsidR="00CF6D6E" w:rsidRPr="00CF6D6E">
              <w:rPr>
                <w:rFonts w:ascii="Arial" w:hAnsi="Arial" w:cs="Arial"/>
                <w:b/>
                <w:bCs/>
                <w:noProof/>
                <w:webHidden/>
              </w:rPr>
              <w:fldChar w:fldCharType="end"/>
            </w:r>
          </w:hyperlink>
        </w:p>
        <w:p w14:paraId="75465B71" w14:textId="1C292B21"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36" w:history="1">
            <w:r w:rsidR="00CF6D6E" w:rsidRPr="00CF6D6E">
              <w:rPr>
                <w:rStyle w:val="Hyperlink"/>
                <w:rFonts w:ascii="Arial" w:hAnsi="Arial" w:cs="Arial"/>
                <w:b/>
                <w:bCs/>
                <w:noProof/>
                <w:lang w:eastAsia="en-GB"/>
              </w:rPr>
              <w:t>7.3</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lang w:eastAsia="en-GB"/>
              </w:rPr>
              <w:t>Traffic Delays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_Toc66868936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36</w:t>
            </w:r>
            <w:r w:rsidR="00CF6D6E" w:rsidRPr="00CF6D6E">
              <w:rPr>
                <w:rFonts w:ascii="Arial" w:hAnsi="Arial" w:cs="Arial"/>
                <w:b/>
                <w:bCs/>
                <w:noProof/>
                <w:webHidden/>
              </w:rPr>
              <w:fldChar w:fldCharType="end"/>
            </w:r>
          </w:hyperlink>
        </w:p>
        <w:p w14:paraId="272EFAF5" w14:textId="35FC7F87"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37" w:history="1">
            <w:r w:rsidR="00CF6D6E" w:rsidRPr="00CF6D6E">
              <w:rPr>
                <w:rStyle w:val="Hyperlink"/>
                <w:rFonts w:ascii="Arial" w:hAnsi="Arial" w:cs="Arial"/>
                <w:b/>
                <w:bCs/>
                <w:noProof/>
                <w:lang w:eastAsia="en-GB"/>
              </w:rPr>
              <w:t>7.4</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lang w:eastAsia="en-GB"/>
              </w:rPr>
              <w:t>CO2 Emissions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_Toc66868937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36</w:t>
            </w:r>
            <w:r w:rsidR="00CF6D6E" w:rsidRPr="00CF6D6E">
              <w:rPr>
                <w:rFonts w:ascii="Arial" w:hAnsi="Arial" w:cs="Arial"/>
                <w:b/>
                <w:bCs/>
                <w:noProof/>
                <w:webHidden/>
              </w:rPr>
              <w:fldChar w:fldCharType="end"/>
            </w:r>
          </w:hyperlink>
        </w:p>
        <w:p w14:paraId="505E5B0D" w14:textId="70046F14"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38" w:history="1">
            <w:r w:rsidR="00CF6D6E" w:rsidRPr="00CF6D6E">
              <w:rPr>
                <w:rStyle w:val="Hyperlink"/>
                <w:rFonts w:ascii="Arial" w:hAnsi="Arial" w:cs="Arial"/>
                <w:b/>
                <w:bCs/>
                <w:noProof/>
                <w:lang w:eastAsia="en-GB"/>
              </w:rPr>
              <w:t>7.5</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lang w:eastAsia="en-GB"/>
              </w:rPr>
              <w:t>Condition</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_Toc66868938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37</w:t>
            </w:r>
            <w:r w:rsidR="00CF6D6E" w:rsidRPr="00CF6D6E">
              <w:rPr>
                <w:rFonts w:ascii="Arial" w:hAnsi="Arial" w:cs="Arial"/>
                <w:b/>
                <w:bCs/>
                <w:noProof/>
                <w:webHidden/>
              </w:rPr>
              <w:fldChar w:fldCharType="end"/>
            </w:r>
          </w:hyperlink>
        </w:p>
        <w:p w14:paraId="4ED7D797" w14:textId="09B7EF37" w:rsidR="00CF6D6E" w:rsidRPr="00CF6D6E" w:rsidRDefault="00000000">
          <w:pPr>
            <w:pStyle w:val="TOC2"/>
            <w:tabs>
              <w:tab w:val="left" w:pos="880"/>
              <w:tab w:val="right" w:leader="dot" w:pos="9016"/>
            </w:tabs>
            <w:rPr>
              <w:rFonts w:ascii="Arial" w:eastAsiaTheme="minorEastAsia" w:hAnsi="Arial" w:cs="Arial"/>
              <w:b/>
              <w:bCs/>
              <w:noProof/>
              <w:lang w:eastAsia="en-GB"/>
            </w:rPr>
          </w:pPr>
          <w:hyperlink w:anchor="_Toc66868939" w:history="1">
            <w:r w:rsidR="00CF6D6E" w:rsidRPr="00CF6D6E">
              <w:rPr>
                <w:rStyle w:val="Hyperlink"/>
                <w:rFonts w:ascii="Arial" w:hAnsi="Arial" w:cs="Arial"/>
                <w:b/>
                <w:bCs/>
                <w:noProof/>
                <w:lang w:eastAsia="en-GB"/>
              </w:rPr>
              <w:t>7.6</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lang w:eastAsia="en-GB"/>
              </w:rPr>
              <w:t>Accuracy of Results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_Toc66868939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38</w:t>
            </w:r>
            <w:r w:rsidR="00CF6D6E" w:rsidRPr="00CF6D6E">
              <w:rPr>
                <w:rFonts w:ascii="Arial" w:hAnsi="Arial" w:cs="Arial"/>
                <w:b/>
                <w:bCs/>
                <w:noProof/>
                <w:webHidden/>
              </w:rPr>
              <w:fldChar w:fldCharType="end"/>
            </w:r>
          </w:hyperlink>
        </w:p>
        <w:p w14:paraId="49769BD7" w14:textId="445295CC" w:rsidR="00CF6D6E" w:rsidRPr="00CF6D6E" w:rsidRDefault="00000000">
          <w:pPr>
            <w:pStyle w:val="TOC3"/>
            <w:tabs>
              <w:tab w:val="left" w:pos="1320"/>
              <w:tab w:val="right" w:leader="dot" w:pos="9016"/>
            </w:tabs>
            <w:rPr>
              <w:rFonts w:ascii="Arial" w:eastAsiaTheme="minorEastAsia" w:hAnsi="Arial" w:cs="Arial"/>
              <w:b/>
              <w:bCs/>
              <w:noProof/>
              <w:lang w:eastAsia="en-GB"/>
            </w:rPr>
          </w:pPr>
          <w:hyperlink w:anchor="_Toc66868940" w:history="1">
            <w:r w:rsidR="00CF6D6E" w:rsidRPr="00CF6D6E">
              <w:rPr>
                <w:rStyle w:val="Hyperlink"/>
                <w:rFonts w:ascii="Arial" w:hAnsi="Arial" w:cs="Arial"/>
                <w:b/>
                <w:bCs/>
                <w:noProof/>
              </w:rPr>
              <w:t>7.6.1</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rPr>
              <w:t>General</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_Toc66868940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38</w:t>
            </w:r>
            <w:r w:rsidR="00CF6D6E" w:rsidRPr="00CF6D6E">
              <w:rPr>
                <w:rFonts w:ascii="Arial" w:hAnsi="Arial" w:cs="Arial"/>
                <w:b/>
                <w:bCs/>
                <w:noProof/>
                <w:webHidden/>
              </w:rPr>
              <w:fldChar w:fldCharType="end"/>
            </w:r>
          </w:hyperlink>
        </w:p>
        <w:p w14:paraId="664554BB" w14:textId="7F1DD851" w:rsidR="00CF6D6E" w:rsidRPr="00CF6D6E" w:rsidRDefault="00000000">
          <w:pPr>
            <w:pStyle w:val="TOC3"/>
            <w:tabs>
              <w:tab w:val="left" w:pos="1320"/>
              <w:tab w:val="right" w:leader="dot" w:pos="9016"/>
            </w:tabs>
            <w:rPr>
              <w:rFonts w:ascii="Arial" w:eastAsiaTheme="minorEastAsia" w:hAnsi="Arial" w:cs="Arial"/>
              <w:b/>
              <w:bCs/>
              <w:noProof/>
              <w:lang w:eastAsia="en-GB"/>
            </w:rPr>
          </w:pPr>
          <w:hyperlink w:anchor="_Toc66868941" w:history="1">
            <w:r w:rsidR="00CF6D6E" w:rsidRPr="00CF6D6E">
              <w:rPr>
                <w:rStyle w:val="Hyperlink"/>
                <w:rFonts w:ascii="Arial" w:hAnsi="Arial" w:cs="Arial"/>
                <w:b/>
                <w:bCs/>
                <w:noProof/>
              </w:rPr>
              <w:t>7.6.2</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rPr>
              <w:t>Maintenance Costs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_Toc66868941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38</w:t>
            </w:r>
            <w:r w:rsidR="00CF6D6E" w:rsidRPr="00CF6D6E">
              <w:rPr>
                <w:rFonts w:ascii="Arial" w:hAnsi="Arial" w:cs="Arial"/>
                <w:b/>
                <w:bCs/>
                <w:noProof/>
                <w:webHidden/>
              </w:rPr>
              <w:fldChar w:fldCharType="end"/>
            </w:r>
          </w:hyperlink>
        </w:p>
        <w:p w14:paraId="0CD06AAB" w14:textId="4BEE878C" w:rsidR="00CF6D6E" w:rsidRPr="00CF6D6E" w:rsidRDefault="00000000">
          <w:pPr>
            <w:pStyle w:val="TOC3"/>
            <w:tabs>
              <w:tab w:val="left" w:pos="1320"/>
              <w:tab w:val="right" w:leader="dot" w:pos="9016"/>
            </w:tabs>
            <w:rPr>
              <w:rFonts w:ascii="Arial" w:eastAsiaTheme="minorEastAsia" w:hAnsi="Arial" w:cs="Arial"/>
              <w:b/>
              <w:bCs/>
              <w:noProof/>
              <w:lang w:eastAsia="en-GB"/>
            </w:rPr>
          </w:pPr>
          <w:hyperlink w:anchor="_Toc66868942" w:history="1">
            <w:r w:rsidR="00CF6D6E" w:rsidRPr="00CF6D6E">
              <w:rPr>
                <w:rStyle w:val="Hyperlink"/>
                <w:rFonts w:ascii="Arial" w:hAnsi="Arial" w:cs="Arial"/>
                <w:b/>
                <w:bCs/>
                <w:noProof/>
              </w:rPr>
              <w:t>7.6.3</w:t>
            </w:r>
            <w:r w:rsidR="00CF6D6E" w:rsidRPr="00CF6D6E">
              <w:rPr>
                <w:rFonts w:ascii="Arial" w:eastAsiaTheme="minorEastAsia" w:hAnsi="Arial" w:cs="Arial"/>
                <w:b/>
                <w:bCs/>
                <w:noProof/>
                <w:lang w:eastAsia="en-GB"/>
              </w:rPr>
              <w:tab/>
            </w:r>
            <w:r w:rsidR="00CF6D6E" w:rsidRPr="00CF6D6E">
              <w:rPr>
                <w:rStyle w:val="Hyperlink"/>
                <w:rFonts w:ascii="Arial" w:hAnsi="Arial" w:cs="Arial"/>
                <w:b/>
                <w:bCs/>
                <w:noProof/>
              </w:rPr>
              <w:t>Carbon Emissions</w:t>
            </w:r>
            <w:r w:rsidR="00CF6D6E" w:rsidRPr="00CF6D6E">
              <w:rPr>
                <w:rFonts w:ascii="Arial" w:hAnsi="Arial" w:cs="Arial"/>
                <w:b/>
                <w:bCs/>
                <w:noProof/>
                <w:webHidden/>
              </w:rPr>
              <w:tab/>
            </w:r>
            <w:r w:rsidR="00CF6D6E" w:rsidRPr="00CF6D6E">
              <w:rPr>
                <w:rFonts w:ascii="Arial" w:hAnsi="Arial" w:cs="Arial"/>
                <w:b/>
                <w:bCs/>
                <w:noProof/>
                <w:webHidden/>
              </w:rPr>
              <w:fldChar w:fldCharType="begin"/>
            </w:r>
            <w:r w:rsidR="00CF6D6E" w:rsidRPr="00CF6D6E">
              <w:rPr>
                <w:rFonts w:ascii="Arial" w:hAnsi="Arial" w:cs="Arial"/>
                <w:b/>
                <w:bCs/>
                <w:noProof/>
                <w:webHidden/>
              </w:rPr>
              <w:instrText xml:space="preserve"> PAGEREF _Toc66868942 \h </w:instrText>
            </w:r>
            <w:r w:rsidR="00CF6D6E" w:rsidRPr="00CF6D6E">
              <w:rPr>
                <w:rFonts w:ascii="Arial" w:hAnsi="Arial" w:cs="Arial"/>
                <w:b/>
                <w:bCs/>
                <w:noProof/>
                <w:webHidden/>
              </w:rPr>
            </w:r>
            <w:r w:rsidR="00CF6D6E" w:rsidRPr="00CF6D6E">
              <w:rPr>
                <w:rFonts w:ascii="Arial" w:hAnsi="Arial" w:cs="Arial"/>
                <w:b/>
                <w:bCs/>
                <w:noProof/>
                <w:webHidden/>
              </w:rPr>
              <w:fldChar w:fldCharType="separate"/>
            </w:r>
            <w:r w:rsidR="00CF6D6E" w:rsidRPr="00CF6D6E">
              <w:rPr>
                <w:rFonts w:ascii="Arial" w:hAnsi="Arial" w:cs="Arial"/>
                <w:b/>
                <w:bCs/>
                <w:noProof/>
                <w:webHidden/>
              </w:rPr>
              <w:t>38</w:t>
            </w:r>
            <w:r w:rsidR="00CF6D6E" w:rsidRPr="00CF6D6E">
              <w:rPr>
                <w:rFonts w:ascii="Arial" w:hAnsi="Arial" w:cs="Arial"/>
                <w:b/>
                <w:bCs/>
                <w:noProof/>
                <w:webHidden/>
              </w:rPr>
              <w:fldChar w:fldCharType="end"/>
            </w:r>
          </w:hyperlink>
        </w:p>
        <w:p w14:paraId="3298E8B4" w14:textId="7805D8F0" w:rsidR="00CF6D6E" w:rsidRPr="00CF6D6E" w:rsidRDefault="00000000">
          <w:pPr>
            <w:pStyle w:val="TOC1"/>
            <w:rPr>
              <w:rFonts w:eastAsiaTheme="minorEastAsia"/>
              <w:sz w:val="22"/>
              <w:szCs w:val="22"/>
            </w:rPr>
          </w:pPr>
          <w:hyperlink w:anchor="_Toc66868943" w:history="1">
            <w:r w:rsidR="00CF6D6E" w:rsidRPr="00CF6D6E">
              <w:rPr>
                <w:rStyle w:val="Hyperlink"/>
              </w:rPr>
              <w:t>Chapter 8: Conclusion</w:t>
            </w:r>
            <w:r w:rsidR="00CF6D6E" w:rsidRPr="00CF6D6E">
              <w:rPr>
                <w:webHidden/>
              </w:rPr>
              <w:tab/>
            </w:r>
            <w:r w:rsidR="00CF6D6E" w:rsidRPr="00CF6D6E">
              <w:rPr>
                <w:webHidden/>
              </w:rPr>
              <w:fldChar w:fldCharType="begin"/>
            </w:r>
            <w:r w:rsidR="00CF6D6E" w:rsidRPr="00CF6D6E">
              <w:rPr>
                <w:webHidden/>
              </w:rPr>
              <w:instrText xml:space="preserve"> PAGEREF _Toc66868943 \h </w:instrText>
            </w:r>
            <w:r w:rsidR="00CF6D6E" w:rsidRPr="00CF6D6E">
              <w:rPr>
                <w:webHidden/>
              </w:rPr>
            </w:r>
            <w:r w:rsidR="00CF6D6E" w:rsidRPr="00CF6D6E">
              <w:rPr>
                <w:webHidden/>
              </w:rPr>
              <w:fldChar w:fldCharType="separate"/>
            </w:r>
            <w:r w:rsidR="00CF6D6E" w:rsidRPr="00CF6D6E">
              <w:rPr>
                <w:webHidden/>
              </w:rPr>
              <w:t>40</w:t>
            </w:r>
            <w:r w:rsidR="00CF6D6E" w:rsidRPr="00CF6D6E">
              <w:rPr>
                <w:webHidden/>
              </w:rPr>
              <w:fldChar w:fldCharType="end"/>
            </w:r>
          </w:hyperlink>
        </w:p>
        <w:p w14:paraId="2F241F47" w14:textId="6806CC18" w:rsidR="00CF6D6E" w:rsidRPr="00CF6D6E" w:rsidRDefault="00000000">
          <w:pPr>
            <w:pStyle w:val="TOC1"/>
            <w:rPr>
              <w:rFonts w:eastAsiaTheme="minorEastAsia"/>
              <w:sz w:val="22"/>
              <w:szCs w:val="22"/>
            </w:rPr>
          </w:pPr>
          <w:hyperlink w:anchor="_Toc66868944" w:history="1">
            <w:r w:rsidR="00CF6D6E" w:rsidRPr="00CF6D6E">
              <w:rPr>
                <w:rStyle w:val="Hyperlink"/>
              </w:rPr>
              <w:t>Appendix A – Default Exposure Classification</w:t>
            </w:r>
            <w:r w:rsidR="00CF6D6E" w:rsidRPr="00CF6D6E">
              <w:rPr>
                <w:webHidden/>
              </w:rPr>
              <w:tab/>
            </w:r>
            <w:r w:rsidR="00CF6D6E" w:rsidRPr="00CF6D6E">
              <w:rPr>
                <w:webHidden/>
              </w:rPr>
              <w:fldChar w:fldCharType="begin"/>
            </w:r>
            <w:r w:rsidR="00CF6D6E" w:rsidRPr="00CF6D6E">
              <w:rPr>
                <w:webHidden/>
              </w:rPr>
              <w:instrText xml:space="preserve"> PAGEREF _Toc66868944 \h </w:instrText>
            </w:r>
            <w:r w:rsidR="00CF6D6E" w:rsidRPr="00CF6D6E">
              <w:rPr>
                <w:webHidden/>
              </w:rPr>
            </w:r>
            <w:r w:rsidR="00CF6D6E" w:rsidRPr="00CF6D6E">
              <w:rPr>
                <w:webHidden/>
              </w:rPr>
              <w:fldChar w:fldCharType="separate"/>
            </w:r>
            <w:r w:rsidR="00CF6D6E" w:rsidRPr="00CF6D6E">
              <w:rPr>
                <w:webHidden/>
              </w:rPr>
              <w:t>41</w:t>
            </w:r>
            <w:r w:rsidR="00CF6D6E" w:rsidRPr="00CF6D6E">
              <w:rPr>
                <w:webHidden/>
              </w:rPr>
              <w:fldChar w:fldCharType="end"/>
            </w:r>
          </w:hyperlink>
        </w:p>
        <w:p w14:paraId="17D0B120" w14:textId="4484F5E4" w:rsidR="00CF6D6E" w:rsidRPr="00CF6D6E" w:rsidRDefault="00000000">
          <w:pPr>
            <w:pStyle w:val="TOC1"/>
            <w:rPr>
              <w:rFonts w:eastAsiaTheme="minorEastAsia"/>
              <w:sz w:val="22"/>
              <w:szCs w:val="22"/>
            </w:rPr>
          </w:pPr>
          <w:hyperlink w:anchor="_Toc66868945" w:history="1">
            <w:r w:rsidR="00CF6D6E" w:rsidRPr="00CF6D6E">
              <w:rPr>
                <w:rStyle w:val="Hyperlink"/>
              </w:rPr>
              <w:t>Appendix B – Default Deterioration Profiles</w:t>
            </w:r>
            <w:r w:rsidR="00CF6D6E" w:rsidRPr="00CF6D6E">
              <w:rPr>
                <w:webHidden/>
              </w:rPr>
              <w:tab/>
            </w:r>
            <w:r w:rsidR="00CF6D6E" w:rsidRPr="00CF6D6E">
              <w:rPr>
                <w:webHidden/>
              </w:rPr>
              <w:fldChar w:fldCharType="begin"/>
            </w:r>
            <w:r w:rsidR="00CF6D6E" w:rsidRPr="00CF6D6E">
              <w:rPr>
                <w:webHidden/>
              </w:rPr>
              <w:instrText xml:space="preserve"> PAGEREF _Toc66868945 \h </w:instrText>
            </w:r>
            <w:r w:rsidR="00CF6D6E" w:rsidRPr="00CF6D6E">
              <w:rPr>
                <w:webHidden/>
              </w:rPr>
            </w:r>
            <w:r w:rsidR="00CF6D6E" w:rsidRPr="00CF6D6E">
              <w:rPr>
                <w:webHidden/>
              </w:rPr>
              <w:fldChar w:fldCharType="separate"/>
            </w:r>
            <w:r w:rsidR="00CF6D6E" w:rsidRPr="00CF6D6E">
              <w:rPr>
                <w:webHidden/>
              </w:rPr>
              <w:t>42</w:t>
            </w:r>
            <w:r w:rsidR="00CF6D6E" w:rsidRPr="00CF6D6E">
              <w:rPr>
                <w:webHidden/>
              </w:rPr>
              <w:fldChar w:fldCharType="end"/>
            </w:r>
          </w:hyperlink>
        </w:p>
        <w:p w14:paraId="3C27D34B" w14:textId="5B0AE034" w:rsidR="00CF6D6E" w:rsidRPr="00CF6D6E" w:rsidRDefault="00000000">
          <w:pPr>
            <w:pStyle w:val="TOC1"/>
            <w:rPr>
              <w:rFonts w:eastAsiaTheme="minorEastAsia"/>
              <w:sz w:val="22"/>
              <w:szCs w:val="22"/>
            </w:rPr>
          </w:pPr>
          <w:hyperlink w:anchor="_Toc66868946" w:history="1">
            <w:r w:rsidR="00CF6D6E" w:rsidRPr="00CF6D6E">
              <w:rPr>
                <w:rStyle w:val="Hyperlink"/>
              </w:rPr>
              <w:t>Appendix C – Element or Structure Size Formula</w:t>
            </w:r>
            <w:r w:rsidR="00CF6D6E" w:rsidRPr="00CF6D6E">
              <w:rPr>
                <w:webHidden/>
              </w:rPr>
              <w:tab/>
            </w:r>
            <w:r w:rsidR="00CF6D6E" w:rsidRPr="00CF6D6E">
              <w:rPr>
                <w:webHidden/>
              </w:rPr>
              <w:fldChar w:fldCharType="begin"/>
            </w:r>
            <w:r w:rsidR="00CF6D6E" w:rsidRPr="00CF6D6E">
              <w:rPr>
                <w:webHidden/>
              </w:rPr>
              <w:instrText xml:space="preserve"> PAGEREF _Toc66868946 \h </w:instrText>
            </w:r>
            <w:r w:rsidR="00CF6D6E" w:rsidRPr="00CF6D6E">
              <w:rPr>
                <w:webHidden/>
              </w:rPr>
            </w:r>
            <w:r w:rsidR="00CF6D6E" w:rsidRPr="00CF6D6E">
              <w:rPr>
                <w:webHidden/>
              </w:rPr>
              <w:fldChar w:fldCharType="separate"/>
            </w:r>
            <w:r w:rsidR="00CF6D6E" w:rsidRPr="00CF6D6E">
              <w:rPr>
                <w:webHidden/>
              </w:rPr>
              <w:t>43</w:t>
            </w:r>
            <w:r w:rsidR="00CF6D6E" w:rsidRPr="00CF6D6E">
              <w:rPr>
                <w:webHidden/>
              </w:rPr>
              <w:fldChar w:fldCharType="end"/>
            </w:r>
          </w:hyperlink>
        </w:p>
        <w:p w14:paraId="5EE1C6B3" w14:textId="78B80BE0" w:rsidR="00CF6D6E" w:rsidRPr="00CF6D6E" w:rsidRDefault="00000000">
          <w:pPr>
            <w:pStyle w:val="TOC1"/>
            <w:rPr>
              <w:rFonts w:eastAsiaTheme="minorEastAsia"/>
              <w:sz w:val="22"/>
              <w:szCs w:val="22"/>
            </w:rPr>
          </w:pPr>
          <w:hyperlink w:anchor="_Toc66868947" w:history="1">
            <w:r w:rsidR="00CF6D6E" w:rsidRPr="00CF6D6E">
              <w:rPr>
                <w:rStyle w:val="Hyperlink"/>
              </w:rPr>
              <w:t>Appendix D – Default Intervention Levels and Effects</w:t>
            </w:r>
            <w:r w:rsidR="00CF6D6E" w:rsidRPr="00CF6D6E">
              <w:rPr>
                <w:webHidden/>
              </w:rPr>
              <w:tab/>
            </w:r>
            <w:r w:rsidR="00CF6D6E" w:rsidRPr="00CF6D6E">
              <w:rPr>
                <w:webHidden/>
              </w:rPr>
              <w:fldChar w:fldCharType="begin"/>
            </w:r>
            <w:r w:rsidR="00CF6D6E" w:rsidRPr="00CF6D6E">
              <w:rPr>
                <w:webHidden/>
              </w:rPr>
              <w:instrText xml:space="preserve"> PAGEREF _Toc66868947 \h </w:instrText>
            </w:r>
            <w:r w:rsidR="00CF6D6E" w:rsidRPr="00CF6D6E">
              <w:rPr>
                <w:webHidden/>
              </w:rPr>
            </w:r>
            <w:r w:rsidR="00CF6D6E" w:rsidRPr="00CF6D6E">
              <w:rPr>
                <w:webHidden/>
              </w:rPr>
              <w:fldChar w:fldCharType="separate"/>
            </w:r>
            <w:r w:rsidR="00CF6D6E" w:rsidRPr="00CF6D6E">
              <w:rPr>
                <w:webHidden/>
              </w:rPr>
              <w:t>44</w:t>
            </w:r>
            <w:r w:rsidR="00CF6D6E" w:rsidRPr="00CF6D6E">
              <w:rPr>
                <w:webHidden/>
              </w:rPr>
              <w:fldChar w:fldCharType="end"/>
            </w:r>
          </w:hyperlink>
        </w:p>
        <w:p w14:paraId="1690B4CB" w14:textId="5D3BE975" w:rsidR="00CF6D6E" w:rsidRPr="00CF6D6E" w:rsidRDefault="00000000">
          <w:pPr>
            <w:pStyle w:val="TOC1"/>
            <w:rPr>
              <w:rFonts w:eastAsiaTheme="minorEastAsia"/>
              <w:sz w:val="22"/>
              <w:szCs w:val="22"/>
            </w:rPr>
          </w:pPr>
          <w:hyperlink w:anchor="_Toc66868948" w:history="1">
            <w:r w:rsidR="00CF6D6E" w:rsidRPr="00CF6D6E">
              <w:rPr>
                <w:rStyle w:val="Hyperlink"/>
              </w:rPr>
              <w:t>Appendix E – Base Unit Rates and Add-on Costs</w:t>
            </w:r>
            <w:r w:rsidR="00CF6D6E" w:rsidRPr="00CF6D6E">
              <w:rPr>
                <w:webHidden/>
              </w:rPr>
              <w:tab/>
            </w:r>
            <w:r w:rsidR="00CF6D6E" w:rsidRPr="00CF6D6E">
              <w:rPr>
                <w:webHidden/>
              </w:rPr>
              <w:fldChar w:fldCharType="begin"/>
            </w:r>
            <w:r w:rsidR="00CF6D6E" w:rsidRPr="00CF6D6E">
              <w:rPr>
                <w:webHidden/>
              </w:rPr>
              <w:instrText xml:space="preserve"> PAGEREF _Toc66868948 \h </w:instrText>
            </w:r>
            <w:r w:rsidR="00CF6D6E" w:rsidRPr="00CF6D6E">
              <w:rPr>
                <w:webHidden/>
              </w:rPr>
            </w:r>
            <w:r w:rsidR="00CF6D6E" w:rsidRPr="00CF6D6E">
              <w:rPr>
                <w:webHidden/>
              </w:rPr>
              <w:fldChar w:fldCharType="separate"/>
            </w:r>
            <w:r w:rsidR="00CF6D6E" w:rsidRPr="00CF6D6E">
              <w:rPr>
                <w:webHidden/>
              </w:rPr>
              <w:t>45</w:t>
            </w:r>
            <w:r w:rsidR="00CF6D6E" w:rsidRPr="00CF6D6E">
              <w:rPr>
                <w:webHidden/>
              </w:rPr>
              <w:fldChar w:fldCharType="end"/>
            </w:r>
          </w:hyperlink>
        </w:p>
        <w:p w14:paraId="48749B93" w14:textId="7DABA9D2" w:rsidR="00CF6D6E" w:rsidRPr="00CF6D6E" w:rsidRDefault="00000000">
          <w:pPr>
            <w:pStyle w:val="TOC1"/>
            <w:rPr>
              <w:rFonts w:eastAsiaTheme="minorEastAsia"/>
              <w:sz w:val="22"/>
              <w:szCs w:val="22"/>
            </w:rPr>
          </w:pPr>
          <w:hyperlink w:anchor="_Toc66868949" w:history="1">
            <w:r w:rsidR="00CF6D6E" w:rsidRPr="00CF6D6E">
              <w:rPr>
                <w:rStyle w:val="Hyperlink"/>
              </w:rPr>
              <w:t>Appendix F – Element or Structure Size Formula</w:t>
            </w:r>
            <w:r w:rsidR="00CF6D6E" w:rsidRPr="00CF6D6E">
              <w:rPr>
                <w:webHidden/>
              </w:rPr>
              <w:tab/>
            </w:r>
            <w:r w:rsidR="00CF6D6E" w:rsidRPr="00CF6D6E">
              <w:rPr>
                <w:webHidden/>
              </w:rPr>
              <w:fldChar w:fldCharType="begin"/>
            </w:r>
            <w:r w:rsidR="00CF6D6E" w:rsidRPr="00CF6D6E">
              <w:rPr>
                <w:webHidden/>
              </w:rPr>
              <w:instrText xml:space="preserve"> PAGEREF _Toc66868949 \h </w:instrText>
            </w:r>
            <w:r w:rsidR="00CF6D6E" w:rsidRPr="00CF6D6E">
              <w:rPr>
                <w:webHidden/>
              </w:rPr>
            </w:r>
            <w:r w:rsidR="00CF6D6E" w:rsidRPr="00CF6D6E">
              <w:rPr>
                <w:webHidden/>
              </w:rPr>
              <w:fldChar w:fldCharType="separate"/>
            </w:r>
            <w:r w:rsidR="00CF6D6E" w:rsidRPr="00CF6D6E">
              <w:rPr>
                <w:webHidden/>
              </w:rPr>
              <w:t>46</w:t>
            </w:r>
            <w:r w:rsidR="00CF6D6E" w:rsidRPr="00CF6D6E">
              <w:rPr>
                <w:webHidden/>
              </w:rPr>
              <w:fldChar w:fldCharType="end"/>
            </w:r>
          </w:hyperlink>
        </w:p>
        <w:p w14:paraId="3C812959" w14:textId="43149A2E" w:rsidR="00CF6D6E" w:rsidRPr="00CF6D6E" w:rsidRDefault="00000000">
          <w:pPr>
            <w:pStyle w:val="TOC1"/>
            <w:rPr>
              <w:rFonts w:eastAsiaTheme="minorEastAsia"/>
              <w:sz w:val="22"/>
              <w:szCs w:val="22"/>
            </w:rPr>
          </w:pPr>
          <w:hyperlink w:anchor="_Toc66868950" w:history="1">
            <w:r w:rsidR="00CF6D6E" w:rsidRPr="00CF6D6E">
              <w:rPr>
                <w:rStyle w:val="Hyperlink"/>
              </w:rPr>
              <w:t>Appendix G – Vehicle Emissions</w:t>
            </w:r>
            <w:r w:rsidR="00CF6D6E" w:rsidRPr="00CF6D6E">
              <w:rPr>
                <w:webHidden/>
              </w:rPr>
              <w:tab/>
            </w:r>
            <w:r w:rsidR="00CF6D6E" w:rsidRPr="00CF6D6E">
              <w:rPr>
                <w:webHidden/>
              </w:rPr>
              <w:fldChar w:fldCharType="begin"/>
            </w:r>
            <w:r w:rsidR="00CF6D6E" w:rsidRPr="00CF6D6E">
              <w:rPr>
                <w:webHidden/>
              </w:rPr>
              <w:instrText xml:space="preserve"> PAGEREF _Toc66868950 \h </w:instrText>
            </w:r>
            <w:r w:rsidR="00CF6D6E" w:rsidRPr="00CF6D6E">
              <w:rPr>
                <w:webHidden/>
              </w:rPr>
            </w:r>
            <w:r w:rsidR="00CF6D6E" w:rsidRPr="00CF6D6E">
              <w:rPr>
                <w:webHidden/>
              </w:rPr>
              <w:fldChar w:fldCharType="separate"/>
            </w:r>
            <w:r w:rsidR="00CF6D6E" w:rsidRPr="00CF6D6E">
              <w:rPr>
                <w:webHidden/>
              </w:rPr>
              <w:t>47</w:t>
            </w:r>
            <w:r w:rsidR="00CF6D6E" w:rsidRPr="00CF6D6E">
              <w:rPr>
                <w:webHidden/>
              </w:rPr>
              <w:fldChar w:fldCharType="end"/>
            </w:r>
          </w:hyperlink>
        </w:p>
        <w:p w14:paraId="421C1818" w14:textId="790854B3" w:rsidR="00CF6D6E" w:rsidRPr="00CF6D6E" w:rsidRDefault="00000000">
          <w:pPr>
            <w:pStyle w:val="TOC1"/>
            <w:rPr>
              <w:rFonts w:eastAsiaTheme="minorEastAsia"/>
              <w:sz w:val="22"/>
              <w:szCs w:val="22"/>
            </w:rPr>
          </w:pPr>
          <w:hyperlink w:anchor="_Toc66868951" w:history="1">
            <w:r w:rsidR="00CF6D6E" w:rsidRPr="00CF6D6E">
              <w:rPr>
                <w:rStyle w:val="Hyperlink"/>
              </w:rPr>
              <w:t>Appendix H – Life Cycle Plans</w:t>
            </w:r>
            <w:r w:rsidR="00CF6D6E" w:rsidRPr="00CF6D6E">
              <w:rPr>
                <w:webHidden/>
              </w:rPr>
              <w:tab/>
            </w:r>
            <w:r w:rsidR="00CF6D6E" w:rsidRPr="00CF6D6E">
              <w:rPr>
                <w:webHidden/>
              </w:rPr>
              <w:fldChar w:fldCharType="begin"/>
            </w:r>
            <w:r w:rsidR="00CF6D6E" w:rsidRPr="00CF6D6E">
              <w:rPr>
                <w:webHidden/>
              </w:rPr>
              <w:instrText xml:space="preserve"> PAGEREF _Toc66868951 \h </w:instrText>
            </w:r>
            <w:r w:rsidR="00CF6D6E" w:rsidRPr="00CF6D6E">
              <w:rPr>
                <w:webHidden/>
              </w:rPr>
            </w:r>
            <w:r w:rsidR="00CF6D6E" w:rsidRPr="00CF6D6E">
              <w:rPr>
                <w:webHidden/>
              </w:rPr>
              <w:fldChar w:fldCharType="separate"/>
            </w:r>
            <w:r w:rsidR="00CF6D6E" w:rsidRPr="00CF6D6E">
              <w:rPr>
                <w:webHidden/>
              </w:rPr>
              <w:t>50</w:t>
            </w:r>
            <w:r w:rsidR="00CF6D6E" w:rsidRPr="00CF6D6E">
              <w:rPr>
                <w:webHidden/>
              </w:rPr>
              <w:fldChar w:fldCharType="end"/>
            </w:r>
          </w:hyperlink>
        </w:p>
        <w:p w14:paraId="4AD5259D" w14:textId="03347F46" w:rsidR="00CF6D6E" w:rsidRPr="00CF6D6E" w:rsidRDefault="00000000">
          <w:pPr>
            <w:pStyle w:val="TOC1"/>
            <w:rPr>
              <w:rFonts w:eastAsiaTheme="minorEastAsia"/>
              <w:sz w:val="22"/>
              <w:szCs w:val="22"/>
            </w:rPr>
          </w:pPr>
          <w:hyperlink w:anchor="_Toc66868952" w:history="1">
            <w:r w:rsidR="00CF6D6E" w:rsidRPr="00CF6D6E">
              <w:rPr>
                <w:rStyle w:val="Hyperlink"/>
              </w:rPr>
              <w:t>Bibliography</w:t>
            </w:r>
            <w:r w:rsidR="00CF6D6E" w:rsidRPr="00CF6D6E">
              <w:rPr>
                <w:webHidden/>
              </w:rPr>
              <w:tab/>
            </w:r>
            <w:r w:rsidR="00CF6D6E" w:rsidRPr="00CF6D6E">
              <w:rPr>
                <w:webHidden/>
              </w:rPr>
              <w:fldChar w:fldCharType="begin"/>
            </w:r>
            <w:r w:rsidR="00CF6D6E" w:rsidRPr="00CF6D6E">
              <w:rPr>
                <w:webHidden/>
              </w:rPr>
              <w:instrText xml:space="preserve"> PAGEREF _Toc66868952 \h </w:instrText>
            </w:r>
            <w:r w:rsidR="00CF6D6E" w:rsidRPr="00CF6D6E">
              <w:rPr>
                <w:webHidden/>
              </w:rPr>
            </w:r>
            <w:r w:rsidR="00CF6D6E" w:rsidRPr="00CF6D6E">
              <w:rPr>
                <w:webHidden/>
              </w:rPr>
              <w:fldChar w:fldCharType="separate"/>
            </w:r>
            <w:r w:rsidR="00CF6D6E" w:rsidRPr="00CF6D6E">
              <w:rPr>
                <w:webHidden/>
              </w:rPr>
              <w:t>62</w:t>
            </w:r>
            <w:r w:rsidR="00CF6D6E" w:rsidRPr="00CF6D6E">
              <w:rPr>
                <w:webHidden/>
              </w:rPr>
              <w:fldChar w:fldCharType="end"/>
            </w:r>
          </w:hyperlink>
        </w:p>
        <w:p w14:paraId="77425755" w14:textId="6E10CA27" w:rsidR="00C4130F" w:rsidRDefault="00C4130F">
          <w:r w:rsidRPr="00CF6D6E">
            <w:rPr>
              <w:rFonts w:ascii="Arial" w:hAnsi="Arial" w:cs="Arial"/>
              <w:b/>
              <w:bCs/>
              <w:noProof/>
            </w:rPr>
            <w:fldChar w:fldCharType="end"/>
          </w:r>
        </w:p>
      </w:sdtContent>
    </w:sdt>
    <w:p w14:paraId="023E865E" w14:textId="77777777" w:rsidR="003A5250" w:rsidRDefault="003A5250" w:rsidP="003A5250">
      <w:pPr>
        <w:ind w:left="720"/>
        <w:rPr>
          <w:b/>
          <w:bCs/>
        </w:rPr>
      </w:pPr>
    </w:p>
    <w:p w14:paraId="192313E7" w14:textId="37CD41AE" w:rsidR="00394686" w:rsidRPr="001510E9" w:rsidRDefault="003A5250">
      <w:pPr>
        <w:pStyle w:val="TableofFigures"/>
        <w:tabs>
          <w:tab w:val="right" w:leader="dot" w:pos="9016"/>
        </w:tabs>
        <w:rPr>
          <w:rFonts w:ascii="Arial" w:eastAsiaTheme="minorEastAsia" w:hAnsi="Arial" w:cs="Arial"/>
          <w:noProof/>
          <w:lang w:eastAsia="en-GB"/>
        </w:rPr>
      </w:pPr>
      <w:r w:rsidRPr="001510E9">
        <w:rPr>
          <w:rFonts w:ascii="Arial" w:hAnsi="Arial" w:cs="Arial"/>
          <w:b/>
          <w:bCs/>
        </w:rPr>
        <w:fldChar w:fldCharType="begin"/>
      </w:r>
      <w:r w:rsidRPr="001510E9">
        <w:rPr>
          <w:rFonts w:ascii="Arial" w:hAnsi="Arial" w:cs="Arial"/>
          <w:b/>
          <w:bCs/>
        </w:rPr>
        <w:instrText xml:space="preserve"> TOC \h \z \c "Figure" </w:instrText>
      </w:r>
      <w:r w:rsidRPr="001510E9">
        <w:rPr>
          <w:rFonts w:ascii="Arial" w:hAnsi="Arial" w:cs="Arial"/>
          <w:b/>
          <w:bCs/>
        </w:rPr>
        <w:fldChar w:fldCharType="separate"/>
      </w:r>
      <w:hyperlink w:anchor="_Toc66868953" w:history="1">
        <w:r w:rsidR="00394686" w:rsidRPr="001510E9">
          <w:rPr>
            <w:rStyle w:val="Hyperlink"/>
            <w:rFonts w:ascii="Arial" w:hAnsi="Arial" w:cs="Arial"/>
            <w:noProof/>
          </w:rPr>
          <w:t>Figure 1 - Declining Long-Term Discount Rates</w:t>
        </w:r>
        <w:r w:rsidR="00394686" w:rsidRPr="001510E9">
          <w:rPr>
            <w:rFonts w:ascii="Arial" w:hAnsi="Arial" w:cs="Arial"/>
            <w:noProof/>
            <w:webHidden/>
          </w:rPr>
          <w:tab/>
        </w:r>
        <w:r w:rsidR="00394686" w:rsidRPr="001510E9">
          <w:rPr>
            <w:rFonts w:ascii="Arial" w:hAnsi="Arial" w:cs="Arial"/>
            <w:noProof/>
            <w:webHidden/>
          </w:rPr>
          <w:fldChar w:fldCharType="begin"/>
        </w:r>
        <w:r w:rsidR="00394686" w:rsidRPr="001510E9">
          <w:rPr>
            <w:rFonts w:ascii="Arial" w:hAnsi="Arial" w:cs="Arial"/>
            <w:noProof/>
            <w:webHidden/>
          </w:rPr>
          <w:instrText xml:space="preserve"> PAGEREF _Toc66868953 \h </w:instrText>
        </w:r>
        <w:r w:rsidR="00394686" w:rsidRPr="001510E9">
          <w:rPr>
            <w:rFonts w:ascii="Arial" w:hAnsi="Arial" w:cs="Arial"/>
            <w:noProof/>
            <w:webHidden/>
          </w:rPr>
        </w:r>
        <w:r w:rsidR="00394686" w:rsidRPr="001510E9">
          <w:rPr>
            <w:rFonts w:ascii="Arial" w:hAnsi="Arial" w:cs="Arial"/>
            <w:noProof/>
            <w:webHidden/>
          </w:rPr>
          <w:fldChar w:fldCharType="separate"/>
        </w:r>
        <w:r w:rsidR="00394686" w:rsidRPr="001510E9">
          <w:rPr>
            <w:rFonts w:ascii="Arial" w:hAnsi="Arial" w:cs="Arial"/>
            <w:noProof/>
            <w:webHidden/>
          </w:rPr>
          <w:t>3</w:t>
        </w:r>
        <w:r w:rsidR="00394686" w:rsidRPr="001510E9">
          <w:rPr>
            <w:rFonts w:ascii="Arial" w:hAnsi="Arial" w:cs="Arial"/>
            <w:noProof/>
            <w:webHidden/>
          </w:rPr>
          <w:fldChar w:fldCharType="end"/>
        </w:r>
      </w:hyperlink>
    </w:p>
    <w:p w14:paraId="71BF3C83" w14:textId="3815C3ED" w:rsidR="00394686" w:rsidRPr="001510E9" w:rsidRDefault="00000000">
      <w:pPr>
        <w:pStyle w:val="TableofFigures"/>
        <w:tabs>
          <w:tab w:val="right" w:leader="dot" w:pos="9016"/>
        </w:tabs>
        <w:rPr>
          <w:rFonts w:ascii="Arial" w:eastAsiaTheme="minorEastAsia" w:hAnsi="Arial" w:cs="Arial"/>
          <w:noProof/>
          <w:lang w:eastAsia="en-GB"/>
        </w:rPr>
      </w:pPr>
      <w:hyperlink w:anchor="_Toc66868954" w:history="1">
        <w:r w:rsidR="00394686" w:rsidRPr="001510E9">
          <w:rPr>
            <w:rStyle w:val="Hyperlink"/>
            <w:rFonts w:ascii="Arial" w:hAnsi="Arial" w:cs="Arial"/>
            <w:noProof/>
          </w:rPr>
          <w:t>Figure 2 – Discounted Scheme Costs for the Planned Preventive Maintenance Strategy</w:t>
        </w:r>
        <w:r w:rsidR="00394686" w:rsidRPr="001510E9">
          <w:rPr>
            <w:rFonts w:ascii="Arial" w:hAnsi="Arial" w:cs="Arial"/>
            <w:noProof/>
            <w:webHidden/>
          </w:rPr>
          <w:tab/>
        </w:r>
        <w:r w:rsidR="00394686" w:rsidRPr="001510E9">
          <w:rPr>
            <w:rFonts w:ascii="Arial" w:hAnsi="Arial" w:cs="Arial"/>
            <w:noProof/>
            <w:webHidden/>
          </w:rPr>
          <w:fldChar w:fldCharType="begin"/>
        </w:r>
        <w:r w:rsidR="00394686" w:rsidRPr="001510E9">
          <w:rPr>
            <w:rFonts w:ascii="Arial" w:hAnsi="Arial" w:cs="Arial"/>
            <w:noProof/>
            <w:webHidden/>
          </w:rPr>
          <w:instrText xml:space="preserve"> PAGEREF _Toc66868954 \h </w:instrText>
        </w:r>
        <w:r w:rsidR="00394686" w:rsidRPr="001510E9">
          <w:rPr>
            <w:rFonts w:ascii="Arial" w:hAnsi="Arial" w:cs="Arial"/>
            <w:noProof/>
            <w:webHidden/>
          </w:rPr>
        </w:r>
        <w:r w:rsidR="00394686" w:rsidRPr="001510E9">
          <w:rPr>
            <w:rFonts w:ascii="Arial" w:hAnsi="Arial" w:cs="Arial"/>
            <w:noProof/>
            <w:webHidden/>
          </w:rPr>
          <w:fldChar w:fldCharType="separate"/>
        </w:r>
        <w:r w:rsidR="00394686" w:rsidRPr="001510E9">
          <w:rPr>
            <w:rFonts w:ascii="Arial" w:hAnsi="Arial" w:cs="Arial"/>
            <w:noProof/>
            <w:webHidden/>
          </w:rPr>
          <w:t>27</w:t>
        </w:r>
        <w:r w:rsidR="00394686" w:rsidRPr="001510E9">
          <w:rPr>
            <w:rFonts w:ascii="Arial" w:hAnsi="Arial" w:cs="Arial"/>
            <w:noProof/>
            <w:webHidden/>
          </w:rPr>
          <w:fldChar w:fldCharType="end"/>
        </w:r>
      </w:hyperlink>
    </w:p>
    <w:p w14:paraId="50816540" w14:textId="0076368E" w:rsidR="00394686" w:rsidRPr="001510E9" w:rsidRDefault="00000000">
      <w:pPr>
        <w:pStyle w:val="TableofFigures"/>
        <w:tabs>
          <w:tab w:val="right" w:leader="dot" w:pos="9016"/>
        </w:tabs>
        <w:rPr>
          <w:rFonts w:ascii="Arial" w:eastAsiaTheme="minorEastAsia" w:hAnsi="Arial" w:cs="Arial"/>
          <w:noProof/>
          <w:lang w:eastAsia="en-GB"/>
        </w:rPr>
      </w:pPr>
      <w:hyperlink w:anchor="_Toc66868955" w:history="1">
        <w:r w:rsidR="00394686" w:rsidRPr="001510E9">
          <w:rPr>
            <w:rStyle w:val="Hyperlink"/>
            <w:rFonts w:ascii="Arial" w:hAnsi="Arial" w:cs="Arial"/>
            <w:noProof/>
          </w:rPr>
          <w:t>Figure 3 – Discounted Scheme Costs for the Unplanned Re-active Maintenance Strategy</w:t>
        </w:r>
        <w:r w:rsidR="00394686" w:rsidRPr="001510E9">
          <w:rPr>
            <w:rFonts w:ascii="Arial" w:hAnsi="Arial" w:cs="Arial"/>
            <w:noProof/>
            <w:webHidden/>
          </w:rPr>
          <w:tab/>
        </w:r>
        <w:r w:rsidR="00394686" w:rsidRPr="001510E9">
          <w:rPr>
            <w:rFonts w:ascii="Arial" w:hAnsi="Arial" w:cs="Arial"/>
            <w:noProof/>
            <w:webHidden/>
          </w:rPr>
          <w:fldChar w:fldCharType="begin"/>
        </w:r>
        <w:r w:rsidR="00394686" w:rsidRPr="001510E9">
          <w:rPr>
            <w:rFonts w:ascii="Arial" w:hAnsi="Arial" w:cs="Arial"/>
            <w:noProof/>
            <w:webHidden/>
          </w:rPr>
          <w:instrText xml:space="preserve"> PAGEREF _Toc66868955 \h </w:instrText>
        </w:r>
        <w:r w:rsidR="00394686" w:rsidRPr="001510E9">
          <w:rPr>
            <w:rFonts w:ascii="Arial" w:hAnsi="Arial" w:cs="Arial"/>
            <w:noProof/>
            <w:webHidden/>
          </w:rPr>
        </w:r>
        <w:r w:rsidR="00394686" w:rsidRPr="001510E9">
          <w:rPr>
            <w:rFonts w:ascii="Arial" w:hAnsi="Arial" w:cs="Arial"/>
            <w:noProof/>
            <w:webHidden/>
          </w:rPr>
          <w:fldChar w:fldCharType="separate"/>
        </w:r>
        <w:r w:rsidR="00394686" w:rsidRPr="001510E9">
          <w:rPr>
            <w:rFonts w:ascii="Arial" w:hAnsi="Arial" w:cs="Arial"/>
            <w:noProof/>
            <w:webHidden/>
          </w:rPr>
          <w:t>27</w:t>
        </w:r>
        <w:r w:rsidR="00394686" w:rsidRPr="001510E9">
          <w:rPr>
            <w:rFonts w:ascii="Arial" w:hAnsi="Arial" w:cs="Arial"/>
            <w:noProof/>
            <w:webHidden/>
          </w:rPr>
          <w:fldChar w:fldCharType="end"/>
        </w:r>
      </w:hyperlink>
    </w:p>
    <w:p w14:paraId="0F16253D" w14:textId="1B4ED528" w:rsidR="00394686" w:rsidRPr="001510E9" w:rsidRDefault="00000000">
      <w:pPr>
        <w:pStyle w:val="TableofFigures"/>
        <w:tabs>
          <w:tab w:val="right" w:leader="dot" w:pos="9016"/>
        </w:tabs>
        <w:rPr>
          <w:rFonts w:ascii="Arial" w:eastAsiaTheme="minorEastAsia" w:hAnsi="Arial" w:cs="Arial"/>
          <w:noProof/>
          <w:lang w:eastAsia="en-GB"/>
        </w:rPr>
      </w:pPr>
      <w:hyperlink w:anchor="_Toc66868956" w:history="1">
        <w:r w:rsidR="00394686" w:rsidRPr="001510E9">
          <w:rPr>
            <w:rStyle w:val="Hyperlink"/>
            <w:rFonts w:ascii="Arial" w:hAnsi="Arial" w:cs="Arial"/>
            <w:noProof/>
          </w:rPr>
          <w:t>Figure 4 – Discounted Traffic Delay Costs for the Planned Preventive Maintenance Strategy</w:t>
        </w:r>
        <w:r w:rsidR="00394686" w:rsidRPr="001510E9">
          <w:rPr>
            <w:rFonts w:ascii="Arial" w:hAnsi="Arial" w:cs="Arial"/>
            <w:noProof/>
            <w:webHidden/>
          </w:rPr>
          <w:tab/>
        </w:r>
        <w:r w:rsidR="00394686" w:rsidRPr="001510E9">
          <w:rPr>
            <w:rFonts w:ascii="Arial" w:hAnsi="Arial" w:cs="Arial"/>
            <w:noProof/>
            <w:webHidden/>
          </w:rPr>
          <w:fldChar w:fldCharType="begin"/>
        </w:r>
        <w:r w:rsidR="00394686" w:rsidRPr="001510E9">
          <w:rPr>
            <w:rFonts w:ascii="Arial" w:hAnsi="Arial" w:cs="Arial"/>
            <w:noProof/>
            <w:webHidden/>
          </w:rPr>
          <w:instrText xml:space="preserve"> PAGEREF _Toc66868956 \h </w:instrText>
        </w:r>
        <w:r w:rsidR="00394686" w:rsidRPr="001510E9">
          <w:rPr>
            <w:rFonts w:ascii="Arial" w:hAnsi="Arial" w:cs="Arial"/>
            <w:noProof/>
            <w:webHidden/>
          </w:rPr>
        </w:r>
        <w:r w:rsidR="00394686" w:rsidRPr="001510E9">
          <w:rPr>
            <w:rFonts w:ascii="Arial" w:hAnsi="Arial" w:cs="Arial"/>
            <w:noProof/>
            <w:webHidden/>
          </w:rPr>
          <w:fldChar w:fldCharType="separate"/>
        </w:r>
        <w:r w:rsidR="00394686" w:rsidRPr="001510E9">
          <w:rPr>
            <w:rFonts w:ascii="Arial" w:hAnsi="Arial" w:cs="Arial"/>
            <w:noProof/>
            <w:webHidden/>
          </w:rPr>
          <w:t>28</w:t>
        </w:r>
        <w:r w:rsidR="00394686" w:rsidRPr="001510E9">
          <w:rPr>
            <w:rFonts w:ascii="Arial" w:hAnsi="Arial" w:cs="Arial"/>
            <w:noProof/>
            <w:webHidden/>
          </w:rPr>
          <w:fldChar w:fldCharType="end"/>
        </w:r>
      </w:hyperlink>
    </w:p>
    <w:p w14:paraId="5F9F5898" w14:textId="709A13FC" w:rsidR="00394686" w:rsidRPr="001510E9" w:rsidRDefault="00000000">
      <w:pPr>
        <w:pStyle w:val="TableofFigures"/>
        <w:tabs>
          <w:tab w:val="right" w:leader="dot" w:pos="9016"/>
        </w:tabs>
        <w:rPr>
          <w:rFonts w:ascii="Arial" w:eastAsiaTheme="minorEastAsia" w:hAnsi="Arial" w:cs="Arial"/>
          <w:noProof/>
          <w:lang w:eastAsia="en-GB"/>
        </w:rPr>
      </w:pPr>
      <w:hyperlink w:anchor="_Toc66868957" w:history="1">
        <w:r w:rsidR="00394686" w:rsidRPr="001510E9">
          <w:rPr>
            <w:rStyle w:val="Hyperlink"/>
            <w:rFonts w:ascii="Arial" w:hAnsi="Arial" w:cs="Arial"/>
            <w:noProof/>
          </w:rPr>
          <w:t>Figure 5 - Discounted Traffic Delay Costs for the Unplanned Re-active Maintenance Strategy</w:t>
        </w:r>
        <w:r w:rsidR="00394686" w:rsidRPr="001510E9">
          <w:rPr>
            <w:rFonts w:ascii="Arial" w:hAnsi="Arial" w:cs="Arial"/>
            <w:noProof/>
            <w:webHidden/>
          </w:rPr>
          <w:tab/>
        </w:r>
        <w:r w:rsidR="00394686" w:rsidRPr="001510E9">
          <w:rPr>
            <w:rFonts w:ascii="Arial" w:hAnsi="Arial" w:cs="Arial"/>
            <w:noProof/>
            <w:webHidden/>
          </w:rPr>
          <w:fldChar w:fldCharType="begin"/>
        </w:r>
        <w:r w:rsidR="00394686" w:rsidRPr="001510E9">
          <w:rPr>
            <w:rFonts w:ascii="Arial" w:hAnsi="Arial" w:cs="Arial"/>
            <w:noProof/>
            <w:webHidden/>
          </w:rPr>
          <w:instrText xml:space="preserve"> PAGEREF _Toc66868957 \h </w:instrText>
        </w:r>
        <w:r w:rsidR="00394686" w:rsidRPr="001510E9">
          <w:rPr>
            <w:rFonts w:ascii="Arial" w:hAnsi="Arial" w:cs="Arial"/>
            <w:noProof/>
            <w:webHidden/>
          </w:rPr>
        </w:r>
        <w:r w:rsidR="00394686" w:rsidRPr="001510E9">
          <w:rPr>
            <w:rFonts w:ascii="Arial" w:hAnsi="Arial" w:cs="Arial"/>
            <w:noProof/>
            <w:webHidden/>
          </w:rPr>
          <w:fldChar w:fldCharType="separate"/>
        </w:r>
        <w:r w:rsidR="00394686" w:rsidRPr="001510E9">
          <w:rPr>
            <w:rFonts w:ascii="Arial" w:hAnsi="Arial" w:cs="Arial"/>
            <w:noProof/>
            <w:webHidden/>
          </w:rPr>
          <w:t>28</w:t>
        </w:r>
        <w:r w:rsidR="00394686" w:rsidRPr="001510E9">
          <w:rPr>
            <w:rFonts w:ascii="Arial" w:hAnsi="Arial" w:cs="Arial"/>
            <w:noProof/>
            <w:webHidden/>
          </w:rPr>
          <w:fldChar w:fldCharType="end"/>
        </w:r>
      </w:hyperlink>
    </w:p>
    <w:p w14:paraId="7F16AB56" w14:textId="7FF6578C" w:rsidR="00394686" w:rsidRPr="001510E9" w:rsidRDefault="00000000">
      <w:pPr>
        <w:pStyle w:val="TableofFigures"/>
        <w:tabs>
          <w:tab w:val="right" w:leader="dot" w:pos="9016"/>
        </w:tabs>
        <w:rPr>
          <w:rFonts w:ascii="Arial" w:eastAsiaTheme="minorEastAsia" w:hAnsi="Arial" w:cs="Arial"/>
          <w:noProof/>
          <w:lang w:eastAsia="en-GB"/>
        </w:rPr>
      </w:pPr>
      <w:hyperlink w:anchor="_Toc66868958" w:history="1">
        <w:r w:rsidR="00394686" w:rsidRPr="001510E9">
          <w:rPr>
            <w:rStyle w:val="Hyperlink"/>
            <w:rFonts w:ascii="Arial" w:hAnsi="Arial" w:cs="Arial"/>
            <w:noProof/>
          </w:rPr>
          <w:t>Figure 6 – Discounted CO</w:t>
        </w:r>
        <w:r w:rsidR="00394686" w:rsidRPr="001510E9">
          <w:rPr>
            <w:rStyle w:val="Hyperlink"/>
            <w:rFonts w:ascii="Arial" w:hAnsi="Arial" w:cs="Arial"/>
            <w:noProof/>
            <w:vertAlign w:val="subscript"/>
          </w:rPr>
          <w:t xml:space="preserve">2 </w:t>
        </w:r>
        <w:r w:rsidR="00394686" w:rsidRPr="001510E9">
          <w:rPr>
            <w:rStyle w:val="Hyperlink"/>
            <w:rFonts w:ascii="Arial" w:hAnsi="Arial" w:cs="Arial"/>
            <w:noProof/>
          </w:rPr>
          <w:t>Costs for the Planned Preventive Maintenance Strategy</w:t>
        </w:r>
        <w:r w:rsidR="00394686" w:rsidRPr="001510E9">
          <w:rPr>
            <w:rFonts w:ascii="Arial" w:hAnsi="Arial" w:cs="Arial"/>
            <w:noProof/>
            <w:webHidden/>
          </w:rPr>
          <w:tab/>
        </w:r>
        <w:r w:rsidR="00394686" w:rsidRPr="001510E9">
          <w:rPr>
            <w:rFonts w:ascii="Arial" w:hAnsi="Arial" w:cs="Arial"/>
            <w:noProof/>
            <w:webHidden/>
          </w:rPr>
          <w:fldChar w:fldCharType="begin"/>
        </w:r>
        <w:r w:rsidR="00394686" w:rsidRPr="001510E9">
          <w:rPr>
            <w:rFonts w:ascii="Arial" w:hAnsi="Arial" w:cs="Arial"/>
            <w:noProof/>
            <w:webHidden/>
          </w:rPr>
          <w:instrText xml:space="preserve"> PAGEREF _Toc66868958 \h </w:instrText>
        </w:r>
        <w:r w:rsidR="00394686" w:rsidRPr="001510E9">
          <w:rPr>
            <w:rFonts w:ascii="Arial" w:hAnsi="Arial" w:cs="Arial"/>
            <w:noProof/>
            <w:webHidden/>
          </w:rPr>
        </w:r>
        <w:r w:rsidR="00394686" w:rsidRPr="001510E9">
          <w:rPr>
            <w:rFonts w:ascii="Arial" w:hAnsi="Arial" w:cs="Arial"/>
            <w:noProof/>
            <w:webHidden/>
          </w:rPr>
          <w:fldChar w:fldCharType="separate"/>
        </w:r>
        <w:r w:rsidR="00394686" w:rsidRPr="001510E9">
          <w:rPr>
            <w:rFonts w:ascii="Arial" w:hAnsi="Arial" w:cs="Arial"/>
            <w:noProof/>
            <w:webHidden/>
          </w:rPr>
          <w:t>29</w:t>
        </w:r>
        <w:r w:rsidR="00394686" w:rsidRPr="001510E9">
          <w:rPr>
            <w:rFonts w:ascii="Arial" w:hAnsi="Arial" w:cs="Arial"/>
            <w:noProof/>
            <w:webHidden/>
          </w:rPr>
          <w:fldChar w:fldCharType="end"/>
        </w:r>
      </w:hyperlink>
    </w:p>
    <w:p w14:paraId="23B80691" w14:textId="2B6C4036" w:rsidR="00394686" w:rsidRPr="001510E9" w:rsidRDefault="00000000">
      <w:pPr>
        <w:pStyle w:val="TableofFigures"/>
        <w:tabs>
          <w:tab w:val="right" w:leader="dot" w:pos="9016"/>
        </w:tabs>
        <w:rPr>
          <w:rFonts w:ascii="Arial" w:eastAsiaTheme="minorEastAsia" w:hAnsi="Arial" w:cs="Arial"/>
          <w:noProof/>
          <w:lang w:eastAsia="en-GB"/>
        </w:rPr>
      </w:pPr>
      <w:hyperlink w:anchor="_Toc66868959" w:history="1">
        <w:r w:rsidR="00394686" w:rsidRPr="001510E9">
          <w:rPr>
            <w:rStyle w:val="Hyperlink"/>
            <w:rFonts w:ascii="Arial" w:hAnsi="Arial" w:cs="Arial"/>
            <w:noProof/>
          </w:rPr>
          <w:t>Figure 7 - Discounted CO</w:t>
        </w:r>
        <w:r w:rsidR="00394686" w:rsidRPr="001510E9">
          <w:rPr>
            <w:rStyle w:val="Hyperlink"/>
            <w:rFonts w:ascii="Arial" w:hAnsi="Arial" w:cs="Arial"/>
            <w:noProof/>
            <w:vertAlign w:val="subscript"/>
          </w:rPr>
          <w:t>2</w:t>
        </w:r>
        <w:r w:rsidR="00394686" w:rsidRPr="001510E9">
          <w:rPr>
            <w:rStyle w:val="Hyperlink"/>
            <w:rFonts w:ascii="Arial" w:hAnsi="Arial" w:cs="Arial"/>
            <w:noProof/>
          </w:rPr>
          <w:t xml:space="preserve"> Costs for the Unplanned Re-active Maintenance Strategy</w:t>
        </w:r>
        <w:r w:rsidR="00394686" w:rsidRPr="001510E9">
          <w:rPr>
            <w:rFonts w:ascii="Arial" w:hAnsi="Arial" w:cs="Arial"/>
            <w:noProof/>
            <w:webHidden/>
          </w:rPr>
          <w:tab/>
        </w:r>
        <w:r w:rsidR="00394686" w:rsidRPr="001510E9">
          <w:rPr>
            <w:rFonts w:ascii="Arial" w:hAnsi="Arial" w:cs="Arial"/>
            <w:noProof/>
            <w:webHidden/>
          </w:rPr>
          <w:fldChar w:fldCharType="begin"/>
        </w:r>
        <w:r w:rsidR="00394686" w:rsidRPr="001510E9">
          <w:rPr>
            <w:rFonts w:ascii="Arial" w:hAnsi="Arial" w:cs="Arial"/>
            <w:noProof/>
            <w:webHidden/>
          </w:rPr>
          <w:instrText xml:space="preserve"> PAGEREF _Toc66868959 \h </w:instrText>
        </w:r>
        <w:r w:rsidR="00394686" w:rsidRPr="001510E9">
          <w:rPr>
            <w:rFonts w:ascii="Arial" w:hAnsi="Arial" w:cs="Arial"/>
            <w:noProof/>
            <w:webHidden/>
          </w:rPr>
        </w:r>
        <w:r w:rsidR="00394686" w:rsidRPr="001510E9">
          <w:rPr>
            <w:rFonts w:ascii="Arial" w:hAnsi="Arial" w:cs="Arial"/>
            <w:noProof/>
            <w:webHidden/>
          </w:rPr>
          <w:fldChar w:fldCharType="separate"/>
        </w:r>
        <w:r w:rsidR="00394686" w:rsidRPr="001510E9">
          <w:rPr>
            <w:rFonts w:ascii="Arial" w:hAnsi="Arial" w:cs="Arial"/>
            <w:noProof/>
            <w:webHidden/>
          </w:rPr>
          <w:t>29</w:t>
        </w:r>
        <w:r w:rsidR="00394686" w:rsidRPr="001510E9">
          <w:rPr>
            <w:rFonts w:ascii="Arial" w:hAnsi="Arial" w:cs="Arial"/>
            <w:noProof/>
            <w:webHidden/>
          </w:rPr>
          <w:fldChar w:fldCharType="end"/>
        </w:r>
      </w:hyperlink>
    </w:p>
    <w:p w14:paraId="65E0BA1F" w14:textId="4F88C91E" w:rsidR="00394686" w:rsidRPr="001510E9" w:rsidRDefault="00000000">
      <w:pPr>
        <w:pStyle w:val="TableofFigures"/>
        <w:tabs>
          <w:tab w:val="right" w:leader="dot" w:pos="9016"/>
        </w:tabs>
        <w:rPr>
          <w:rFonts w:ascii="Arial" w:eastAsiaTheme="minorEastAsia" w:hAnsi="Arial" w:cs="Arial"/>
          <w:noProof/>
          <w:lang w:eastAsia="en-GB"/>
        </w:rPr>
      </w:pPr>
      <w:hyperlink w:anchor="_Toc66868960" w:history="1">
        <w:r w:rsidR="00394686" w:rsidRPr="001510E9">
          <w:rPr>
            <w:rStyle w:val="Hyperlink"/>
            <w:rFonts w:ascii="Arial" w:hAnsi="Arial" w:cs="Arial"/>
            <w:noProof/>
          </w:rPr>
          <w:t>Figure 8 - tCO</w:t>
        </w:r>
        <w:r w:rsidR="00394686" w:rsidRPr="001510E9">
          <w:rPr>
            <w:rStyle w:val="Hyperlink"/>
            <w:rFonts w:ascii="Arial" w:hAnsi="Arial" w:cs="Arial"/>
            <w:noProof/>
            <w:vertAlign w:val="subscript"/>
          </w:rPr>
          <w:t>2</w:t>
        </w:r>
        <w:r w:rsidR="00394686" w:rsidRPr="001510E9">
          <w:rPr>
            <w:rStyle w:val="Hyperlink"/>
            <w:rFonts w:ascii="Arial" w:hAnsi="Arial" w:cs="Arial"/>
            <w:noProof/>
          </w:rPr>
          <w:t xml:space="preserve"> Emissions for the Planned Preventive Maintenance Strategy</w:t>
        </w:r>
        <w:r w:rsidR="00394686" w:rsidRPr="001510E9">
          <w:rPr>
            <w:rFonts w:ascii="Arial" w:hAnsi="Arial" w:cs="Arial"/>
            <w:noProof/>
            <w:webHidden/>
          </w:rPr>
          <w:tab/>
        </w:r>
        <w:r w:rsidR="00394686" w:rsidRPr="001510E9">
          <w:rPr>
            <w:rFonts w:ascii="Arial" w:hAnsi="Arial" w:cs="Arial"/>
            <w:noProof/>
            <w:webHidden/>
          </w:rPr>
          <w:fldChar w:fldCharType="begin"/>
        </w:r>
        <w:r w:rsidR="00394686" w:rsidRPr="001510E9">
          <w:rPr>
            <w:rFonts w:ascii="Arial" w:hAnsi="Arial" w:cs="Arial"/>
            <w:noProof/>
            <w:webHidden/>
          </w:rPr>
          <w:instrText xml:space="preserve"> PAGEREF _Toc66868960 \h </w:instrText>
        </w:r>
        <w:r w:rsidR="00394686" w:rsidRPr="001510E9">
          <w:rPr>
            <w:rFonts w:ascii="Arial" w:hAnsi="Arial" w:cs="Arial"/>
            <w:noProof/>
            <w:webHidden/>
          </w:rPr>
        </w:r>
        <w:r w:rsidR="00394686" w:rsidRPr="001510E9">
          <w:rPr>
            <w:rFonts w:ascii="Arial" w:hAnsi="Arial" w:cs="Arial"/>
            <w:noProof/>
            <w:webHidden/>
          </w:rPr>
          <w:fldChar w:fldCharType="separate"/>
        </w:r>
        <w:r w:rsidR="00394686" w:rsidRPr="001510E9">
          <w:rPr>
            <w:rFonts w:ascii="Arial" w:hAnsi="Arial" w:cs="Arial"/>
            <w:noProof/>
            <w:webHidden/>
          </w:rPr>
          <w:t>30</w:t>
        </w:r>
        <w:r w:rsidR="00394686" w:rsidRPr="001510E9">
          <w:rPr>
            <w:rFonts w:ascii="Arial" w:hAnsi="Arial" w:cs="Arial"/>
            <w:noProof/>
            <w:webHidden/>
          </w:rPr>
          <w:fldChar w:fldCharType="end"/>
        </w:r>
      </w:hyperlink>
    </w:p>
    <w:p w14:paraId="7951221B" w14:textId="6F6A0D5F" w:rsidR="00394686" w:rsidRPr="001510E9" w:rsidRDefault="00000000">
      <w:pPr>
        <w:pStyle w:val="TableofFigures"/>
        <w:tabs>
          <w:tab w:val="right" w:leader="dot" w:pos="9016"/>
        </w:tabs>
        <w:rPr>
          <w:rFonts w:ascii="Arial" w:eastAsiaTheme="minorEastAsia" w:hAnsi="Arial" w:cs="Arial"/>
          <w:noProof/>
          <w:lang w:eastAsia="en-GB"/>
        </w:rPr>
      </w:pPr>
      <w:hyperlink w:anchor="_Toc66868961" w:history="1">
        <w:r w:rsidR="00394686" w:rsidRPr="001510E9">
          <w:rPr>
            <w:rStyle w:val="Hyperlink"/>
            <w:rFonts w:ascii="Arial" w:hAnsi="Arial" w:cs="Arial"/>
            <w:noProof/>
          </w:rPr>
          <w:t>Figure 9 - tCO</w:t>
        </w:r>
        <w:r w:rsidR="00394686" w:rsidRPr="001510E9">
          <w:rPr>
            <w:rStyle w:val="Hyperlink"/>
            <w:rFonts w:ascii="Arial" w:hAnsi="Arial" w:cs="Arial"/>
            <w:noProof/>
            <w:vertAlign w:val="subscript"/>
          </w:rPr>
          <w:t>2</w:t>
        </w:r>
        <w:r w:rsidR="00394686" w:rsidRPr="001510E9">
          <w:rPr>
            <w:rStyle w:val="Hyperlink"/>
            <w:rFonts w:ascii="Arial" w:hAnsi="Arial" w:cs="Arial"/>
            <w:noProof/>
          </w:rPr>
          <w:t xml:space="preserve"> Emissions for the Unplanned Re-active Maintenance Strategy</w:t>
        </w:r>
        <w:r w:rsidR="00394686" w:rsidRPr="001510E9">
          <w:rPr>
            <w:rFonts w:ascii="Arial" w:hAnsi="Arial" w:cs="Arial"/>
            <w:noProof/>
            <w:webHidden/>
          </w:rPr>
          <w:tab/>
        </w:r>
        <w:r w:rsidR="00394686" w:rsidRPr="001510E9">
          <w:rPr>
            <w:rFonts w:ascii="Arial" w:hAnsi="Arial" w:cs="Arial"/>
            <w:noProof/>
            <w:webHidden/>
          </w:rPr>
          <w:fldChar w:fldCharType="begin"/>
        </w:r>
        <w:r w:rsidR="00394686" w:rsidRPr="001510E9">
          <w:rPr>
            <w:rFonts w:ascii="Arial" w:hAnsi="Arial" w:cs="Arial"/>
            <w:noProof/>
            <w:webHidden/>
          </w:rPr>
          <w:instrText xml:space="preserve"> PAGEREF _Toc66868961 \h </w:instrText>
        </w:r>
        <w:r w:rsidR="00394686" w:rsidRPr="001510E9">
          <w:rPr>
            <w:rFonts w:ascii="Arial" w:hAnsi="Arial" w:cs="Arial"/>
            <w:noProof/>
            <w:webHidden/>
          </w:rPr>
        </w:r>
        <w:r w:rsidR="00394686" w:rsidRPr="001510E9">
          <w:rPr>
            <w:rFonts w:ascii="Arial" w:hAnsi="Arial" w:cs="Arial"/>
            <w:noProof/>
            <w:webHidden/>
          </w:rPr>
          <w:fldChar w:fldCharType="separate"/>
        </w:r>
        <w:r w:rsidR="00394686" w:rsidRPr="001510E9">
          <w:rPr>
            <w:rFonts w:ascii="Arial" w:hAnsi="Arial" w:cs="Arial"/>
            <w:noProof/>
            <w:webHidden/>
          </w:rPr>
          <w:t>30</w:t>
        </w:r>
        <w:r w:rsidR="00394686" w:rsidRPr="001510E9">
          <w:rPr>
            <w:rFonts w:ascii="Arial" w:hAnsi="Arial" w:cs="Arial"/>
            <w:noProof/>
            <w:webHidden/>
          </w:rPr>
          <w:fldChar w:fldCharType="end"/>
        </w:r>
      </w:hyperlink>
    </w:p>
    <w:p w14:paraId="389666C3" w14:textId="561A1672" w:rsidR="00394686" w:rsidRPr="001510E9" w:rsidRDefault="00000000">
      <w:pPr>
        <w:pStyle w:val="TableofFigures"/>
        <w:tabs>
          <w:tab w:val="right" w:leader="dot" w:pos="9016"/>
        </w:tabs>
        <w:rPr>
          <w:rFonts w:ascii="Arial" w:eastAsiaTheme="minorEastAsia" w:hAnsi="Arial" w:cs="Arial"/>
          <w:noProof/>
          <w:lang w:eastAsia="en-GB"/>
        </w:rPr>
      </w:pPr>
      <w:hyperlink w:anchor="_Toc66868962" w:history="1">
        <w:r w:rsidR="00394686" w:rsidRPr="001510E9">
          <w:rPr>
            <w:rStyle w:val="Hyperlink"/>
            <w:rFonts w:ascii="Arial" w:hAnsi="Arial" w:cs="Arial"/>
            <w:noProof/>
          </w:rPr>
          <w:t>Figure 10 - Expenditure for the Planned Preventive Maintenance Strategy</w:t>
        </w:r>
        <w:r w:rsidR="00394686" w:rsidRPr="001510E9">
          <w:rPr>
            <w:rFonts w:ascii="Arial" w:hAnsi="Arial" w:cs="Arial"/>
            <w:noProof/>
            <w:webHidden/>
          </w:rPr>
          <w:tab/>
        </w:r>
        <w:r w:rsidR="00394686" w:rsidRPr="001510E9">
          <w:rPr>
            <w:rFonts w:ascii="Arial" w:hAnsi="Arial" w:cs="Arial"/>
            <w:noProof/>
            <w:webHidden/>
          </w:rPr>
          <w:fldChar w:fldCharType="begin"/>
        </w:r>
        <w:r w:rsidR="00394686" w:rsidRPr="001510E9">
          <w:rPr>
            <w:rFonts w:ascii="Arial" w:hAnsi="Arial" w:cs="Arial"/>
            <w:noProof/>
            <w:webHidden/>
          </w:rPr>
          <w:instrText xml:space="preserve"> PAGEREF _Toc66868962 \h </w:instrText>
        </w:r>
        <w:r w:rsidR="00394686" w:rsidRPr="001510E9">
          <w:rPr>
            <w:rFonts w:ascii="Arial" w:hAnsi="Arial" w:cs="Arial"/>
            <w:noProof/>
            <w:webHidden/>
          </w:rPr>
        </w:r>
        <w:r w:rsidR="00394686" w:rsidRPr="001510E9">
          <w:rPr>
            <w:rFonts w:ascii="Arial" w:hAnsi="Arial" w:cs="Arial"/>
            <w:noProof/>
            <w:webHidden/>
          </w:rPr>
          <w:fldChar w:fldCharType="separate"/>
        </w:r>
        <w:r w:rsidR="00394686" w:rsidRPr="001510E9">
          <w:rPr>
            <w:rFonts w:ascii="Arial" w:hAnsi="Arial" w:cs="Arial"/>
            <w:noProof/>
            <w:webHidden/>
          </w:rPr>
          <w:t>32</w:t>
        </w:r>
        <w:r w:rsidR="00394686" w:rsidRPr="001510E9">
          <w:rPr>
            <w:rFonts w:ascii="Arial" w:hAnsi="Arial" w:cs="Arial"/>
            <w:noProof/>
            <w:webHidden/>
          </w:rPr>
          <w:fldChar w:fldCharType="end"/>
        </w:r>
      </w:hyperlink>
    </w:p>
    <w:p w14:paraId="7CF1118A" w14:textId="1681DF20" w:rsidR="00394686" w:rsidRPr="001510E9" w:rsidRDefault="00000000">
      <w:pPr>
        <w:pStyle w:val="TableofFigures"/>
        <w:tabs>
          <w:tab w:val="right" w:leader="dot" w:pos="9016"/>
        </w:tabs>
        <w:rPr>
          <w:rFonts w:ascii="Arial" w:eastAsiaTheme="minorEastAsia" w:hAnsi="Arial" w:cs="Arial"/>
          <w:noProof/>
          <w:lang w:eastAsia="en-GB"/>
        </w:rPr>
      </w:pPr>
      <w:hyperlink w:anchor="_Toc66868963" w:history="1">
        <w:r w:rsidR="00394686" w:rsidRPr="001510E9">
          <w:rPr>
            <w:rStyle w:val="Hyperlink"/>
            <w:rFonts w:ascii="Arial" w:hAnsi="Arial" w:cs="Arial"/>
            <w:noProof/>
          </w:rPr>
          <w:t>Figure 11 - Expenditure for the Unplanned Re-active Maintenance Strategy</w:t>
        </w:r>
        <w:r w:rsidR="00394686" w:rsidRPr="001510E9">
          <w:rPr>
            <w:rFonts w:ascii="Arial" w:hAnsi="Arial" w:cs="Arial"/>
            <w:noProof/>
            <w:webHidden/>
          </w:rPr>
          <w:tab/>
        </w:r>
        <w:r w:rsidR="00394686" w:rsidRPr="001510E9">
          <w:rPr>
            <w:rFonts w:ascii="Arial" w:hAnsi="Arial" w:cs="Arial"/>
            <w:noProof/>
            <w:webHidden/>
          </w:rPr>
          <w:fldChar w:fldCharType="begin"/>
        </w:r>
        <w:r w:rsidR="00394686" w:rsidRPr="001510E9">
          <w:rPr>
            <w:rFonts w:ascii="Arial" w:hAnsi="Arial" w:cs="Arial"/>
            <w:noProof/>
            <w:webHidden/>
          </w:rPr>
          <w:instrText xml:space="preserve"> PAGEREF _Toc66868963 \h </w:instrText>
        </w:r>
        <w:r w:rsidR="00394686" w:rsidRPr="001510E9">
          <w:rPr>
            <w:rFonts w:ascii="Arial" w:hAnsi="Arial" w:cs="Arial"/>
            <w:noProof/>
            <w:webHidden/>
          </w:rPr>
        </w:r>
        <w:r w:rsidR="00394686" w:rsidRPr="001510E9">
          <w:rPr>
            <w:rFonts w:ascii="Arial" w:hAnsi="Arial" w:cs="Arial"/>
            <w:noProof/>
            <w:webHidden/>
          </w:rPr>
          <w:fldChar w:fldCharType="separate"/>
        </w:r>
        <w:r w:rsidR="00394686" w:rsidRPr="001510E9">
          <w:rPr>
            <w:rFonts w:ascii="Arial" w:hAnsi="Arial" w:cs="Arial"/>
            <w:noProof/>
            <w:webHidden/>
          </w:rPr>
          <w:t>32</w:t>
        </w:r>
        <w:r w:rsidR="00394686" w:rsidRPr="001510E9">
          <w:rPr>
            <w:rFonts w:ascii="Arial" w:hAnsi="Arial" w:cs="Arial"/>
            <w:noProof/>
            <w:webHidden/>
          </w:rPr>
          <w:fldChar w:fldCharType="end"/>
        </w:r>
      </w:hyperlink>
    </w:p>
    <w:p w14:paraId="473ADF02" w14:textId="32FD2E04" w:rsidR="00394686" w:rsidRPr="001510E9" w:rsidRDefault="00000000">
      <w:pPr>
        <w:pStyle w:val="TableofFigures"/>
        <w:tabs>
          <w:tab w:val="right" w:leader="dot" w:pos="9016"/>
        </w:tabs>
        <w:rPr>
          <w:rFonts w:ascii="Arial" w:eastAsiaTheme="minorEastAsia" w:hAnsi="Arial" w:cs="Arial"/>
          <w:noProof/>
          <w:lang w:eastAsia="en-GB"/>
        </w:rPr>
      </w:pPr>
      <w:hyperlink w:anchor="_Toc66868964" w:history="1">
        <w:r w:rsidR="00394686" w:rsidRPr="001510E9">
          <w:rPr>
            <w:rStyle w:val="Hyperlink"/>
            <w:rFonts w:ascii="Arial" w:hAnsi="Arial" w:cs="Arial"/>
            <w:noProof/>
          </w:rPr>
          <w:t>Figure 12 - CO</w:t>
        </w:r>
        <w:r w:rsidR="00394686" w:rsidRPr="001510E9">
          <w:rPr>
            <w:rStyle w:val="Hyperlink"/>
            <w:rFonts w:ascii="Arial" w:hAnsi="Arial" w:cs="Arial"/>
            <w:noProof/>
            <w:vertAlign w:val="subscript"/>
          </w:rPr>
          <w:t>2</w:t>
        </w:r>
        <w:r w:rsidR="00394686" w:rsidRPr="001510E9">
          <w:rPr>
            <w:rStyle w:val="Hyperlink"/>
            <w:rFonts w:ascii="Arial" w:hAnsi="Arial" w:cs="Arial"/>
            <w:noProof/>
          </w:rPr>
          <w:t xml:space="preserve"> Emissions</w:t>
        </w:r>
        <w:r w:rsidR="00394686" w:rsidRPr="001510E9">
          <w:rPr>
            <w:rFonts w:ascii="Arial" w:hAnsi="Arial" w:cs="Arial"/>
            <w:noProof/>
            <w:webHidden/>
          </w:rPr>
          <w:tab/>
        </w:r>
        <w:r w:rsidR="00394686" w:rsidRPr="001510E9">
          <w:rPr>
            <w:rFonts w:ascii="Arial" w:hAnsi="Arial" w:cs="Arial"/>
            <w:noProof/>
            <w:webHidden/>
          </w:rPr>
          <w:fldChar w:fldCharType="begin"/>
        </w:r>
        <w:r w:rsidR="00394686" w:rsidRPr="001510E9">
          <w:rPr>
            <w:rFonts w:ascii="Arial" w:hAnsi="Arial" w:cs="Arial"/>
            <w:noProof/>
            <w:webHidden/>
          </w:rPr>
          <w:instrText xml:space="preserve"> PAGEREF _Toc66868964 \h </w:instrText>
        </w:r>
        <w:r w:rsidR="00394686" w:rsidRPr="001510E9">
          <w:rPr>
            <w:rFonts w:ascii="Arial" w:hAnsi="Arial" w:cs="Arial"/>
            <w:noProof/>
            <w:webHidden/>
          </w:rPr>
        </w:r>
        <w:r w:rsidR="00394686" w:rsidRPr="001510E9">
          <w:rPr>
            <w:rFonts w:ascii="Arial" w:hAnsi="Arial" w:cs="Arial"/>
            <w:noProof/>
            <w:webHidden/>
          </w:rPr>
          <w:fldChar w:fldCharType="separate"/>
        </w:r>
        <w:r w:rsidR="00394686" w:rsidRPr="001510E9">
          <w:rPr>
            <w:rFonts w:ascii="Arial" w:hAnsi="Arial" w:cs="Arial"/>
            <w:noProof/>
            <w:webHidden/>
          </w:rPr>
          <w:t>33</w:t>
        </w:r>
        <w:r w:rsidR="00394686" w:rsidRPr="001510E9">
          <w:rPr>
            <w:rFonts w:ascii="Arial" w:hAnsi="Arial" w:cs="Arial"/>
            <w:noProof/>
            <w:webHidden/>
          </w:rPr>
          <w:fldChar w:fldCharType="end"/>
        </w:r>
      </w:hyperlink>
    </w:p>
    <w:p w14:paraId="388A1D94" w14:textId="42C01089" w:rsidR="00394686" w:rsidRPr="001510E9" w:rsidRDefault="00000000">
      <w:pPr>
        <w:pStyle w:val="TableofFigures"/>
        <w:tabs>
          <w:tab w:val="right" w:leader="dot" w:pos="9016"/>
        </w:tabs>
        <w:rPr>
          <w:rFonts w:ascii="Arial" w:eastAsiaTheme="minorEastAsia" w:hAnsi="Arial" w:cs="Arial"/>
          <w:noProof/>
          <w:lang w:eastAsia="en-GB"/>
        </w:rPr>
      </w:pPr>
      <w:hyperlink w:anchor="_Toc66868965" w:history="1">
        <w:r w:rsidR="00394686" w:rsidRPr="001510E9">
          <w:rPr>
            <w:rStyle w:val="Hyperlink"/>
            <w:rFonts w:ascii="Arial" w:hAnsi="Arial" w:cs="Arial"/>
            <w:noProof/>
          </w:rPr>
          <w:t>Figure 13 - Bridge Condition (Planned Preventive)</w:t>
        </w:r>
        <w:r w:rsidR="00394686" w:rsidRPr="001510E9">
          <w:rPr>
            <w:rFonts w:ascii="Arial" w:hAnsi="Arial" w:cs="Arial"/>
            <w:noProof/>
            <w:webHidden/>
          </w:rPr>
          <w:tab/>
        </w:r>
        <w:r w:rsidR="00394686" w:rsidRPr="001510E9">
          <w:rPr>
            <w:rFonts w:ascii="Arial" w:hAnsi="Arial" w:cs="Arial"/>
            <w:noProof/>
            <w:webHidden/>
          </w:rPr>
          <w:fldChar w:fldCharType="begin"/>
        </w:r>
        <w:r w:rsidR="00394686" w:rsidRPr="001510E9">
          <w:rPr>
            <w:rFonts w:ascii="Arial" w:hAnsi="Arial" w:cs="Arial"/>
            <w:noProof/>
            <w:webHidden/>
          </w:rPr>
          <w:instrText xml:space="preserve"> PAGEREF _Toc66868965 \h </w:instrText>
        </w:r>
        <w:r w:rsidR="00394686" w:rsidRPr="001510E9">
          <w:rPr>
            <w:rFonts w:ascii="Arial" w:hAnsi="Arial" w:cs="Arial"/>
            <w:noProof/>
            <w:webHidden/>
          </w:rPr>
        </w:r>
        <w:r w:rsidR="00394686" w:rsidRPr="001510E9">
          <w:rPr>
            <w:rFonts w:ascii="Arial" w:hAnsi="Arial" w:cs="Arial"/>
            <w:noProof/>
            <w:webHidden/>
          </w:rPr>
          <w:fldChar w:fldCharType="separate"/>
        </w:r>
        <w:r w:rsidR="00394686" w:rsidRPr="001510E9">
          <w:rPr>
            <w:rFonts w:ascii="Arial" w:hAnsi="Arial" w:cs="Arial"/>
            <w:noProof/>
            <w:webHidden/>
          </w:rPr>
          <w:t>35</w:t>
        </w:r>
        <w:r w:rsidR="00394686" w:rsidRPr="001510E9">
          <w:rPr>
            <w:rFonts w:ascii="Arial" w:hAnsi="Arial" w:cs="Arial"/>
            <w:noProof/>
            <w:webHidden/>
          </w:rPr>
          <w:fldChar w:fldCharType="end"/>
        </w:r>
      </w:hyperlink>
    </w:p>
    <w:p w14:paraId="259D860B" w14:textId="641482DA" w:rsidR="00394686" w:rsidRPr="001510E9" w:rsidRDefault="00000000">
      <w:pPr>
        <w:pStyle w:val="TableofFigures"/>
        <w:tabs>
          <w:tab w:val="right" w:leader="dot" w:pos="9016"/>
        </w:tabs>
        <w:rPr>
          <w:rFonts w:ascii="Arial" w:eastAsiaTheme="minorEastAsia" w:hAnsi="Arial" w:cs="Arial"/>
          <w:noProof/>
          <w:lang w:eastAsia="en-GB"/>
        </w:rPr>
      </w:pPr>
      <w:hyperlink w:anchor="_Toc66868966" w:history="1">
        <w:r w:rsidR="00394686" w:rsidRPr="001510E9">
          <w:rPr>
            <w:rStyle w:val="Hyperlink"/>
            <w:rFonts w:ascii="Arial" w:hAnsi="Arial" w:cs="Arial"/>
            <w:noProof/>
          </w:rPr>
          <w:t>Figure 14 - Bridge Condition (Unplanned Re-active)</w:t>
        </w:r>
        <w:r w:rsidR="00394686" w:rsidRPr="001510E9">
          <w:rPr>
            <w:rFonts w:ascii="Arial" w:hAnsi="Arial" w:cs="Arial"/>
            <w:noProof/>
            <w:webHidden/>
          </w:rPr>
          <w:tab/>
        </w:r>
        <w:r w:rsidR="00394686" w:rsidRPr="001510E9">
          <w:rPr>
            <w:rFonts w:ascii="Arial" w:hAnsi="Arial" w:cs="Arial"/>
            <w:noProof/>
            <w:webHidden/>
          </w:rPr>
          <w:fldChar w:fldCharType="begin"/>
        </w:r>
        <w:r w:rsidR="00394686" w:rsidRPr="001510E9">
          <w:rPr>
            <w:rFonts w:ascii="Arial" w:hAnsi="Arial" w:cs="Arial"/>
            <w:noProof/>
            <w:webHidden/>
          </w:rPr>
          <w:instrText xml:space="preserve"> PAGEREF _Toc66868966 \h </w:instrText>
        </w:r>
        <w:r w:rsidR="00394686" w:rsidRPr="001510E9">
          <w:rPr>
            <w:rFonts w:ascii="Arial" w:hAnsi="Arial" w:cs="Arial"/>
            <w:noProof/>
            <w:webHidden/>
          </w:rPr>
        </w:r>
        <w:r w:rsidR="00394686" w:rsidRPr="001510E9">
          <w:rPr>
            <w:rFonts w:ascii="Arial" w:hAnsi="Arial" w:cs="Arial"/>
            <w:noProof/>
            <w:webHidden/>
          </w:rPr>
          <w:fldChar w:fldCharType="separate"/>
        </w:r>
        <w:r w:rsidR="00394686" w:rsidRPr="001510E9">
          <w:rPr>
            <w:rFonts w:ascii="Arial" w:hAnsi="Arial" w:cs="Arial"/>
            <w:noProof/>
            <w:webHidden/>
          </w:rPr>
          <w:t>35</w:t>
        </w:r>
        <w:r w:rsidR="00394686" w:rsidRPr="001510E9">
          <w:rPr>
            <w:rFonts w:ascii="Arial" w:hAnsi="Arial" w:cs="Arial"/>
            <w:noProof/>
            <w:webHidden/>
          </w:rPr>
          <w:fldChar w:fldCharType="end"/>
        </w:r>
      </w:hyperlink>
    </w:p>
    <w:p w14:paraId="33B5650B" w14:textId="272C0E38" w:rsidR="003A5250" w:rsidRPr="001510E9" w:rsidRDefault="003A5250" w:rsidP="003A5250">
      <w:pPr>
        <w:ind w:left="720"/>
        <w:rPr>
          <w:rFonts w:ascii="Arial" w:hAnsi="Arial" w:cs="Arial"/>
          <w:b/>
          <w:bCs/>
        </w:rPr>
      </w:pPr>
      <w:r w:rsidRPr="001510E9">
        <w:rPr>
          <w:rFonts w:ascii="Arial" w:hAnsi="Arial" w:cs="Arial"/>
          <w:b/>
          <w:bCs/>
        </w:rPr>
        <w:fldChar w:fldCharType="end"/>
      </w:r>
    </w:p>
    <w:p w14:paraId="4FBAD749" w14:textId="3466FDB7" w:rsidR="001510E9" w:rsidRDefault="00517620">
      <w:pPr>
        <w:pStyle w:val="TableofFigures"/>
        <w:tabs>
          <w:tab w:val="right" w:leader="dot" w:pos="9016"/>
        </w:tabs>
        <w:rPr>
          <w:rFonts w:eastAsiaTheme="minorEastAsia"/>
          <w:noProof/>
          <w:lang w:eastAsia="en-GB"/>
        </w:rPr>
      </w:pPr>
      <w:r>
        <w:fldChar w:fldCharType="begin"/>
      </w:r>
      <w:r>
        <w:instrText xml:space="preserve"> TOC \h \z \c "Table" </w:instrText>
      </w:r>
      <w:r>
        <w:fldChar w:fldCharType="separate"/>
      </w:r>
      <w:hyperlink w:anchor="_Toc66868985" w:history="1">
        <w:r w:rsidR="001510E9" w:rsidRPr="00072774">
          <w:rPr>
            <w:rStyle w:val="Hyperlink"/>
            <w:rFonts w:ascii="Arial" w:hAnsi="Arial" w:cs="Arial"/>
            <w:noProof/>
          </w:rPr>
          <w:t>Table 1- Characterised environmental impact categories and monetary weighting factors</w:t>
        </w:r>
        <w:r w:rsidR="001510E9">
          <w:rPr>
            <w:noProof/>
            <w:webHidden/>
          </w:rPr>
          <w:tab/>
        </w:r>
        <w:r w:rsidR="001510E9">
          <w:rPr>
            <w:noProof/>
            <w:webHidden/>
          </w:rPr>
          <w:fldChar w:fldCharType="begin"/>
        </w:r>
        <w:r w:rsidR="001510E9">
          <w:rPr>
            <w:noProof/>
            <w:webHidden/>
          </w:rPr>
          <w:instrText xml:space="preserve"> PAGEREF _Toc66868985 \h </w:instrText>
        </w:r>
        <w:r w:rsidR="001510E9">
          <w:rPr>
            <w:noProof/>
            <w:webHidden/>
          </w:rPr>
        </w:r>
        <w:r w:rsidR="001510E9">
          <w:rPr>
            <w:noProof/>
            <w:webHidden/>
          </w:rPr>
          <w:fldChar w:fldCharType="separate"/>
        </w:r>
        <w:r w:rsidR="001510E9">
          <w:rPr>
            <w:noProof/>
            <w:webHidden/>
          </w:rPr>
          <w:t>10</w:t>
        </w:r>
        <w:r w:rsidR="001510E9">
          <w:rPr>
            <w:noProof/>
            <w:webHidden/>
          </w:rPr>
          <w:fldChar w:fldCharType="end"/>
        </w:r>
      </w:hyperlink>
    </w:p>
    <w:p w14:paraId="4DE1E00A" w14:textId="14B7FF0D" w:rsidR="001510E9" w:rsidRDefault="00000000">
      <w:pPr>
        <w:pStyle w:val="TableofFigures"/>
        <w:tabs>
          <w:tab w:val="right" w:leader="dot" w:pos="9016"/>
        </w:tabs>
        <w:rPr>
          <w:rFonts w:eastAsiaTheme="minorEastAsia"/>
          <w:noProof/>
          <w:lang w:eastAsia="en-GB"/>
        </w:rPr>
      </w:pPr>
      <w:hyperlink w:anchor="_Toc66868986" w:history="1">
        <w:r w:rsidR="001510E9" w:rsidRPr="00072774">
          <w:rPr>
            <w:rStyle w:val="Hyperlink"/>
            <w:rFonts w:ascii="Arial" w:hAnsi="Arial" w:cs="Arial"/>
            <w:noProof/>
          </w:rPr>
          <w:t>Table 2 - UK social values of carbon (£/tCO2e at 2009 prices)</w:t>
        </w:r>
        <w:r w:rsidR="001510E9">
          <w:rPr>
            <w:noProof/>
            <w:webHidden/>
          </w:rPr>
          <w:tab/>
        </w:r>
        <w:r w:rsidR="001510E9">
          <w:rPr>
            <w:noProof/>
            <w:webHidden/>
          </w:rPr>
          <w:fldChar w:fldCharType="begin"/>
        </w:r>
        <w:r w:rsidR="001510E9">
          <w:rPr>
            <w:noProof/>
            <w:webHidden/>
          </w:rPr>
          <w:instrText xml:space="preserve"> PAGEREF _Toc66868986 \h </w:instrText>
        </w:r>
        <w:r w:rsidR="001510E9">
          <w:rPr>
            <w:noProof/>
            <w:webHidden/>
          </w:rPr>
        </w:r>
        <w:r w:rsidR="001510E9">
          <w:rPr>
            <w:noProof/>
            <w:webHidden/>
          </w:rPr>
          <w:fldChar w:fldCharType="separate"/>
        </w:r>
        <w:r w:rsidR="001510E9">
          <w:rPr>
            <w:noProof/>
            <w:webHidden/>
          </w:rPr>
          <w:t>11</w:t>
        </w:r>
        <w:r w:rsidR="001510E9">
          <w:rPr>
            <w:noProof/>
            <w:webHidden/>
          </w:rPr>
          <w:fldChar w:fldCharType="end"/>
        </w:r>
      </w:hyperlink>
    </w:p>
    <w:p w14:paraId="6D5CB546" w14:textId="588DB777" w:rsidR="001510E9" w:rsidRDefault="00000000">
      <w:pPr>
        <w:pStyle w:val="TableofFigures"/>
        <w:tabs>
          <w:tab w:val="right" w:leader="dot" w:pos="9016"/>
        </w:tabs>
        <w:rPr>
          <w:rFonts w:eastAsiaTheme="minorEastAsia"/>
          <w:noProof/>
          <w:lang w:eastAsia="en-GB"/>
        </w:rPr>
      </w:pPr>
      <w:hyperlink w:anchor="_Toc66868987" w:history="1">
        <w:r w:rsidR="001510E9" w:rsidRPr="00072774">
          <w:rPr>
            <w:rStyle w:val="Hyperlink"/>
            <w:rFonts w:ascii="Arial" w:hAnsi="Arial" w:cs="Arial"/>
            <w:noProof/>
          </w:rPr>
          <w:t>Table 3 - Key Assumptions</w:t>
        </w:r>
        <w:r w:rsidR="001510E9">
          <w:rPr>
            <w:noProof/>
            <w:webHidden/>
          </w:rPr>
          <w:tab/>
        </w:r>
        <w:r w:rsidR="001510E9">
          <w:rPr>
            <w:noProof/>
            <w:webHidden/>
          </w:rPr>
          <w:fldChar w:fldCharType="begin"/>
        </w:r>
        <w:r w:rsidR="001510E9">
          <w:rPr>
            <w:noProof/>
            <w:webHidden/>
          </w:rPr>
          <w:instrText xml:space="preserve"> PAGEREF _Toc66868987 \h </w:instrText>
        </w:r>
        <w:r w:rsidR="001510E9">
          <w:rPr>
            <w:noProof/>
            <w:webHidden/>
          </w:rPr>
        </w:r>
        <w:r w:rsidR="001510E9">
          <w:rPr>
            <w:noProof/>
            <w:webHidden/>
          </w:rPr>
          <w:fldChar w:fldCharType="separate"/>
        </w:r>
        <w:r w:rsidR="001510E9">
          <w:rPr>
            <w:noProof/>
            <w:webHidden/>
          </w:rPr>
          <w:t>14</w:t>
        </w:r>
        <w:r w:rsidR="001510E9">
          <w:rPr>
            <w:noProof/>
            <w:webHidden/>
          </w:rPr>
          <w:fldChar w:fldCharType="end"/>
        </w:r>
      </w:hyperlink>
    </w:p>
    <w:p w14:paraId="18A32FE0" w14:textId="34E99422" w:rsidR="001510E9" w:rsidRDefault="00000000">
      <w:pPr>
        <w:pStyle w:val="TableofFigures"/>
        <w:tabs>
          <w:tab w:val="right" w:leader="dot" w:pos="9016"/>
        </w:tabs>
        <w:rPr>
          <w:rFonts w:eastAsiaTheme="minorEastAsia"/>
          <w:noProof/>
          <w:lang w:eastAsia="en-GB"/>
        </w:rPr>
      </w:pPr>
      <w:hyperlink w:anchor="_Toc66868988" w:history="1">
        <w:r w:rsidR="001510E9" w:rsidRPr="00072774">
          <w:rPr>
            <w:rStyle w:val="Hyperlink"/>
            <w:rFonts w:ascii="Arial" w:hAnsi="Arial" w:cs="Arial"/>
            <w:noProof/>
          </w:rPr>
          <w:t>Table 4 – Element Condition and Proximity to Traffic Spray Zone</w:t>
        </w:r>
        <w:r w:rsidR="001510E9">
          <w:rPr>
            <w:noProof/>
            <w:webHidden/>
          </w:rPr>
          <w:tab/>
        </w:r>
        <w:r w:rsidR="001510E9">
          <w:rPr>
            <w:noProof/>
            <w:webHidden/>
          </w:rPr>
          <w:fldChar w:fldCharType="begin"/>
        </w:r>
        <w:r w:rsidR="001510E9">
          <w:rPr>
            <w:noProof/>
            <w:webHidden/>
          </w:rPr>
          <w:instrText xml:space="preserve"> PAGEREF _Toc66868988 \h </w:instrText>
        </w:r>
        <w:r w:rsidR="001510E9">
          <w:rPr>
            <w:noProof/>
            <w:webHidden/>
          </w:rPr>
        </w:r>
        <w:r w:rsidR="001510E9">
          <w:rPr>
            <w:noProof/>
            <w:webHidden/>
          </w:rPr>
          <w:fldChar w:fldCharType="separate"/>
        </w:r>
        <w:r w:rsidR="001510E9">
          <w:rPr>
            <w:noProof/>
            <w:webHidden/>
          </w:rPr>
          <w:t>16</w:t>
        </w:r>
        <w:r w:rsidR="001510E9">
          <w:rPr>
            <w:noProof/>
            <w:webHidden/>
          </w:rPr>
          <w:fldChar w:fldCharType="end"/>
        </w:r>
      </w:hyperlink>
    </w:p>
    <w:p w14:paraId="47705826" w14:textId="2E25A963" w:rsidR="001510E9" w:rsidRDefault="00000000">
      <w:pPr>
        <w:pStyle w:val="TableofFigures"/>
        <w:tabs>
          <w:tab w:val="right" w:leader="dot" w:pos="9016"/>
        </w:tabs>
        <w:rPr>
          <w:rFonts w:eastAsiaTheme="minorEastAsia"/>
          <w:noProof/>
          <w:lang w:eastAsia="en-GB"/>
        </w:rPr>
      </w:pPr>
      <w:hyperlink w:anchor="_Toc66868989" w:history="1">
        <w:r w:rsidR="001510E9" w:rsidRPr="00072774">
          <w:rPr>
            <w:rStyle w:val="Hyperlink"/>
            <w:rFonts w:ascii="Arial" w:hAnsi="Arial" w:cs="Arial"/>
            <w:noProof/>
          </w:rPr>
          <w:t>Table 5 – Extent Codes</w:t>
        </w:r>
        <w:r w:rsidR="001510E9">
          <w:rPr>
            <w:noProof/>
            <w:webHidden/>
          </w:rPr>
          <w:tab/>
        </w:r>
        <w:r w:rsidR="001510E9">
          <w:rPr>
            <w:noProof/>
            <w:webHidden/>
          </w:rPr>
          <w:fldChar w:fldCharType="begin"/>
        </w:r>
        <w:r w:rsidR="001510E9">
          <w:rPr>
            <w:noProof/>
            <w:webHidden/>
          </w:rPr>
          <w:instrText xml:space="preserve"> PAGEREF _Toc66868989 \h </w:instrText>
        </w:r>
        <w:r w:rsidR="001510E9">
          <w:rPr>
            <w:noProof/>
            <w:webHidden/>
          </w:rPr>
        </w:r>
        <w:r w:rsidR="001510E9">
          <w:rPr>
            <w:noProof/>
            <w:webHidden/>
          </w:rPr>
          <w:fldChar w:fldCharType="separate"/>
        </w:r>
        <w:r w:rsidR="001510E9">
          <w:rPr>
            <w:noProof/>
            <w:webHidden/>
          </w:rPr>
          <w:t>17</w:t>
        </w:r>
        <w:r w:rsidR="001510E9">
          <w:rPr>
            <w:noProof/>
            <w:webHidden/>
          </w:rPr>
          <w:fldChar w:fldCharType="end"/>
        </w:r>
      </w:hyperlink>
    </w:p>
    <w:p w14:paraId="3BF2975A" w14:textId="66BADA95" w:rsidR="001510E9" w:rsidRDefault="00000000">
      <w:pPr>
        <w:pStyle w:val="TableofFigures"/>
        <w:tabs>
          <w:tab w:val="right" w:leader="dot" w:pos="9016"/>
        </w:tabs>
        <w:rPr>
          <w:rFonts w:eastAsiaTheme="minorEastAsia"/>
          <w:noProof/>
          <w:lang w:eastAsia="en-GB"/>
        </w:rPr>
      </w:pPr>
      <w:hyperlink w:anchor="_Toc66868990" w:history="1">
        <w:r w:rsidR="001510E9" w:rsidRPr="00072774">
          <w:rPr>
            <w:rStyle w:val="Hyperlink"/>
            <w:rFonts w:ascii="Arial" w:hAnsi="Arial" w:cs="Arial"/>
            <w:noProof/>
          </w:rPr>
          <w:t>Table 6 – Severity Descriptions</w:t>
        </w:r>
        <w:r w:rsidR="001510E9">
          <w:rPr>
            <w:noProof/>
            <w:webHidden/>
          </w:rPr>
          <w:tab/>
        </w:r>
        <w:r w:rsidR="001510E9">
          <w:rPr>
            <w:noProof/>
            <w:webHidden/>
          </w:rPr>
          <w:fldChar w:fldCharType="begin"/>
        </w:r>
        <w:r w:rsidR="001510E9">
          <w:rPr>
            <w:noProof/>
            <w:webHidden/>
          </w:rPr>
          <w:instrText xml:space="preserve"> PAGEREF _Toc66868990 \h </w:instrText>
        </w:r>
        <w:r w:rsidR="001510E9">
          <w:rPr>
            <w:noProof/>
            <w:webHidden/>
          </w:rPr>
        </w:r>
        <w:r w:rsidR="001510E9">
          <w:rPr>
            <w:noProof/>
            <w:webHidden/>
          </w:rPr>
          <w:fldChar w:fldCharType="separate"/>
        </w:r>
        <w:r w:rsidR="001510E9">
          <w:rPr>
            <w:noProof/>
            <w:webHidden/>
          </w:rPr>
          <w:t>17</w:t>
        </w:r>
        <w:r w:rsidR="001510E9">
          <w:rPr>
            <w:noProof/>
            <w:webHidden/>
          </w:rPr>
          <w:fldChar w:fldCharType="end"/>
        </w:r>
      </w:hyperlink>
    </w:p>
    <w:p w14:paraId="64A52099" w14:textId="32FF3C5F" w:rsidR="001510E9" w:rsidRDefault="00000000">
      <w:pPr>
        <w:pStyle w:val="TableofFigures"/>
        <w:tabs>
          <w:tab w:val="right" w:leader="dot" w:pos="9016"/>
        </w:tabs>
        <w:rPr>
          <w:rFonts w:eastAsiaTheme="minorEastAsia"/>
          <w:noProof/>
          <w:lang w:eastAsia="en-GB"/>
        </w:rPr>
      </w:pPr>
      <w:hyperlink w:anchor="_Toc66868991" w:history="1">
        <w:r w:rsidR="001510E9" w:rsidRPr="00072774">
          <w:rPr>
            <w:rStyle w:val="Hyperlink"/>
            <w:rFonts w:ascii="Arial" w:hAnsi="Arial" w:cs="Arial"/>
            <w:noProof/>
          </w:rPr>
          <w:t>Table 7 - Traffic Category</w:t>
        </w:r>
        <w:r w:rsidR="001510E9">
          <w:rPr>
            <w:noProof/>
            <w:webHidden/>
          </w:rPr>
          <w:tab/>
        </w:r>
        <w:r w:rsidR="001510E9">
          <w:rPr>
            <w:noProof/>
            <w:webHidden/>
          </w:rPr>
          <w:fldChar w:fldCharType="begin"/>
        </w:r>
        <w:r w:rsidR="001510E9">
          <w:rPr>
            <w:noProof/>
            <w:webHidden/>
          </w:rPr>
          <w:instrText xml:space="preserve"> PAGEREF _Toc66868991 \h </w:instrText>
        </w:r>
        <w:r w:rsidR="001510E9">
          <w:rPr>
            <w:noProof/>
            <w:webHidden/>
          </w:rPr>
        </w:r>
        <w:r w:rsidR="001510E9">
          <w:rPr>
            <w:noProof/>
            <w:webHidden/>
          </w:rPr>
          <w:fldChar w:fldCharType="separate"/>
        </w:r>
        <w:r w:rsidR="001510E9">
          <w:rPr>
            <w:noProof/>
            <w:webHidden/>
          </w:rPr>
          <w:t>18</w:t>
        </w:r>
        <w:r w:rsidR="001510E9">
          <w:rPr>
            <w:noProof/>
            <w:webHidden/>
          </w:rPr>
          <w:fldChar w:fldCharType="end"/>
        </w:r>
      </w:hyperlink>
    </w:p>
    <w:p w14:paraId="2DE083AC" w14:textId="0D380E09" w:rsidR="001510E9" w:rsidRDefault="00000000">
      <w:pPr>
        <w:pStyle w:val="TableofFigures"/>
        <w:tabs>
          <w:tab w:val="right" w:leader="dot" w:pos="9016"/>
        </w:tabs>
        <w:rPr>
          <w:rFonts w:eastAsiaTheme="minorEastAsia"/>
          <w:noProof/>
          <w:lang w:eastAsia="en-GB"/>
        </w:rPr>
      </w:pPr>
      <w:hyperlink w:anchor="_Toc66868992" w:history="1">
        <w:r w:rsidR="001510E9" w:rsidRPr="00072774">
          <w:rPr>
            <w:rStyle w:val="Hyperlink"/>
            <w:rFonts w:ascii="Arial" w:hAnsi="Arial" w:cs="Arial"/>
            <w:noProof/>
          </w:rPr>
          <w:t>Table 8 – Traffic Data (Year 2020)</w:t>
        </w:r>
        <w:r w:rsidR="001510E9">
          <w:rPr>
            <w:noProof/>
            <w:webHidden/>
          </w:rPr>
          <w:tab/>
        </w:r>
        <w:r w:rsidR="001510E9">
          <w:rPr>
            <w:noProof/>
            <w:webHidden/>
          </w:rPr>
          <w:fldChar w:fldCharType="begin"/>
        </w:r>
        <w:r w:rsidR="001510E9">
          <w:rPr>
            <w:noProof/>
            <w:webHidden/>
          </w:rPr>
          <w:instrText xml:space="preserve"> PAGEREF _Toc66868992 \h </w:instrText>
        </w:r>
        <w:r w:rsidR="001510E9">
          <w:rPr>
            <w:noProof/>
            <w:webHidden/>
          </w:rPr>
        </w:r>
        <w:r w:rsidR="001510E9">
          <w:rPr>
            <w:noProof/>
            <w:webHidden/>
          </w:rPr>
          <w:fldChar w:fldCharType="separate"/>
        </w:r>
        <w:r w:rsidR="001510E9">
          <w:rPr>
            <w:noProof/>
            <w:webHidden/>
          </w:rPr>
          <w:t>18</w:t>
        </w:r>
        <w:r w:rsidR="001510E9">
          <w:rPr>
            <w:noProof/>
            <w:webHidden/>
          </w:rPr>
          <w:fldChar w:fldCharType="end"/>
        </w:r>
      </w:hyperlink>
    </w:p>
    <w:p w14:paraId="19281B27" w14:textId="7A856D72" w:rsidR="001510E9" w:rsidRDefault="00000000">
      <w:pPr>
        <w:pStyle w:val="TableofFigures"/>
        <w:tabs>
          <w:tab w:val="right" w:leader="dot" w:pos="9016"/>
        </w:tabs>
        <w:rPr>
          <w:rFonts w:eastAsiaTheme="minorEastAsia"/>
          <w:noProof/>
          <w:lang w:eastAsia="en-GB"/>
        </w:rPr>
      </w:pPr>
      <w:hyperlink w:anchor="_Toc66868993" w:history="1">
        <w:r w:rsidR="001510E9" w:rsidRPr="00072774">
          <w:rPr>
            <w:rStyle w:val="Hyperlink"/>
            <w:rFonts w:ascii="Arial" w:hAnsi="Arial" w:cs="Arial"/>
            <w:noProof/>
          </w:rPr>
          <w:t>Table 9 - Total Extent of Defects (%)</w:t>
        </w:r>
        <w:r w:rsidR="001510E9">
          <w:rPr>
            <w:noProof/>
            <w:webHidden/>
          </w:rPr>
          <w:tab/>
        </w:r>
        <w:r w:rsidR="001510E9">
          <w:rPr>
            <w:noProof/>
            <w:webHidden/>
          </w:rPr>
          <w:fldChar w:fldCharType="begin"/>
        </w:r>
        <w:r w:rsidR="001510E9">
          <w:rPr>
            <w:noProof/>
            <w:webHidden/>
          </w:rPr>
          <w:instrText xml:space="preserve"> PAGEREF _Toc66868993 \h </w:instrText>
        </w:r>
        <w:r w:rsidR="001510E9">
          <w:rPr>
            <w:noProof/>
            <w:webHidden/>
          </w:rPr>
        </w:r>
        <w:r w:rsidR="001510E9">
          <w:rPr>
            <w:noProof/>
            <w:webHidden/>
          </w:rPr>
          <w:fldChar w:fldCharType="separate"/>
        </w:r>
        <w:r w:rsidR="001510E9">
          <w:rPr>
            <w:noProof/>
            <w:webHidden/>
          </w:rPr>
          <w:t>20</w:t>
        </w:r>
        <w:r w:rsidR="001510E9">
          <w:rPr>
            <w:noProof/>
            <w:webHidden/>
          </w:rPr>
          <w:fldChar w:fldCharType="end"/>
        </w:r>
      </w:hyperlink>
    </w:p>
    <w:p w14:paraId="32A66D74" w14:textId="65A80A25" w:rsidR="001510E9" w:rsidRDefault="00000000">
      <w:pPr>
        <w:pStyle w:val="TableofFigures"/>
        <w:tabs>
          <w:tab w:val="right" w:leader="dot" w:pos="9016"/>
        </w:tabs>
        <w:rPr>
          <w:rFonts w:eastAsiaTheme="minorEastAsia"/>
          <w:noProof/>
          <w:lang w:eastAsia="en-GB"/>
        </w:rPr>
      </w:pPr>
      <w:hyperlink w:anchor="_Toc66868994" w:history="1">
        <w:r w:rsidR="001510E9" w:rsidRPr="00072774">
          <w:rPr>
            <w:rStyle w:val="Hyperlink"/>
            <w:rFonts w:ascii="Arial" w:hAnsi="Arial" w:cs="Arial"/>
            <w:noProof/>
          </w:rPr>
          <w:t>Table 10 - Traffic Restrictions</w:t>
        </w:r>
        <w:r w:rsidR="001510E9">
          <w:rPr>
            <w:noProof/>
            <w:webHidden/>
          </w:rPr>
          <w:tab/>
        </w:r>
        <w:r w:rsidR="001510E9">
          <w:rPr>
            <w:noProof/>
            <w:webHidden/>
          </w:rPr>
          <w:fldChar w:fldCharType="begin"/>
        </w:r>
        <w:r w:rsidR="001510E9">
          <w:rPr>
            <w:noProof/>
            <w:webHidden/>
          </w:rPr>
          <w:instrText xml:space="preserve"> PAGEREF _Toc66868994 \h </w:instrText>
        </w:r>
        <w:r w:rsidR="001510E9">
          <w:rPr>
            <w:noProof/>
            <w:webHidden/>
          </w:rPr>
        </w:r>
        <w:r w:rsidR="001510E9">
          <w:rPr>
            <w:noProof/>
            <w:webHidden/>
          </w:rPr>
          <w:fldChar w:fldCharType="separate"/>
        </w:r>
        <w:r w:rsidR="001510E9">
          <w:rPr>
            <w:noProof/>
            <w:webHidden/>
          </w:rPr>
          <w:t>20</w:t>
        </w:r>
        <w:r w:rsidR="001510E9">
          <w:rPr>
            <w:noProof/>
            <w:webHidden/>
          </w:rPr>
          <w:fldChar w:fldCharType="end"/>
        </w:r>
      </w:hyperlink>
    </w:p>
    <w:p w14:paraId="35C1BD27" w14:textId="1B5C3263" w:rsidR="001510E9" w:rsidRDefault="00000000">
      <w:pPr>
        <w:pStyle w:val="TableofFigures"/>
        <w:tabs>
          <w:tab w:val="right" w:leader="dot" w:pos="9016"/>
        </w:tabs>
        <w:rPr>
          <w:rFonts w:eastAsiaTheme="minorEastAsia"/>
          <w:noProof/>
          <w:lang w:eastAsia="en-GB"/>
        </w:rPr>
      </w:pPr>
      <w:hyperlink w:anchor="_Toc66868995" w:history="1">
        <w:r w:rsidR="001510E9" w:rsidRPr="00072774">
          <w:rPr>
            <w:rStyle w:val="Hyperlink"/>
            <w:rFonts w:ascii="Arial" w:hAnsi="Arial" w:cs="Arial"/>
            <w:noProof/>
          </w:rPr>
          <w:t>Table 11 - Traffic Delay Costs (2014/2015 prices)</w:t>
        </w:r>
        <w:r w:rsidR="001510E9">
          <w:rPr>
            <w:noProof/>
            <w:webHidden/>
          </w:rPr>
          <w:tab/>
        </w:r>
        <w:r w:rsidR="001510E9">
          <w:rPr>
            <w:noProof/>
            <w:webHidden/>
          </w:rPr>
          <w:fldChar w:fldCharType="begin"/>
        </w:r>
        <w:r w:rsidR="001510E9">
          <w:rPr>
            <w:noProof/>
            <w:webHidden/>
          </w:rPr>
          <w:instrText xml:space="preserve"> PAGEREF _Toc66868995 \h </w:instrText>
        </w:r>
        <w:r w:rsidR="001510E9">
          <w:rPr>
            <w:noProof/>
            <w:webHidden/>
          </w:rPr>
        </w:r>
        <w:r w:rsidR="001510E9">
          <w:rPr>
            <w:noProof/>
            <w:webHidden/>
          </w:rPr>
          <w:fldChar w:fldCharType="separate"/>
        </w:r>
        <w:r w:rsidR="001510E9">
          <w:rPr>
            <w:noProof/>
            <w:webHidden/>
          </w:rPr>
          <w:t>20</w:t>
        </w:r>
        <w:r w:rsidR="001510E9">
          <w:rPr>
            <w:noProof/>
            <w:webHidden/>
          </w:rPr>
          <w:fldChar w:fldCharType="end"/>
        </w:r>
      </w:hyperlink>
    </w:p>
    <w:p w14:paraId="64825BFB" w14:textId="5BDE48F0" w:rsidR="001510E9" w:rsidRDefault="00000000">
      <w:pPr>
        <w:pStyle w:val="TableofFigures"/>
        <w:tabs>
          <w:tab w:val="right" w:leader="dot" w:pos="9016"/>
        </w:tabs>
        <w:rPr>
          <w:rFonts w:eastAsiaTheme="minorEastAsia"/>
          <w:noProof/>
          <w:lang w:eastAsia="en-GB"/>
        </w:rPr>
      </w:pPr>
      <w:hyperlink w:anchor="_Toc66868996" w:history="1">
        <w:r w:rsidR="001510E9" w:rsidRPr="00072774">
          <w:rPr>
            <w:rStyle w:val="Hyperlink"/>
            <w:rFonts w:ascii="Arial" w:hAnsi="Arial" w:cs="Arial"/>
            <w:noProof/>
          </w:rPr>
          <w:t>Table 12 - Volumes of Materials</w:t>
        </w:r>
        <w:r w:rsidR="001510E9">
          <w:rPr>
            <w:noProof/>
            <w:webHidden/>
          </w:rPr>
          <w:tab/>
        </w:r>
        <w:r w:rsidR="001510E9">
          <w:rPr>
            <w:noProof/>
            <w:webHidden/>
          </w:rPr>
          <w:fldChar w:fldCharType="begin"/>
        </w:r>
        <w:r w:rsidR="001510E9">
          <w:rPr>
            <w:noProof/>
            <w:webHidden/>
          </w:rPr>
          <w:instrText xml:space="preserve"> PAGEREF _Toc66868996 \h </w:instrText>
        </w:r>
        <w:r w:rsidR="001510E9">
          <w:rPr>
            <w:noProof/>
            <w:webHidden/>
          </w:rPr>
        </w:r>
        <w:r w:rsidR="001510E9">
          <w:rPr>
            <w:noProof/>
            <w:webHidden/>
          </w:rPr>
          <w:fldChar w:fldCharType="separate"/>
        </w:r>
        <w:r w:rsidR="001510E9">
          <w:rPr>
            <w:noProof/>
            <w:webHidden/>
          </w:rPr>
          <w:t>21</w:t>
        </w:r>
        <w:r w:rsidR="001510E9">
          <w:rPr>
            <w:noProof/>
            <w:webHidden/>
          </w:rPr>
          <w:fldChar w:fldCharType="end"/>
        </w:r>
      </w:hyperlink>
    </w:p>
    <w:p w14:paraId="780F8BB7" w14:textId="0949B19B" w:rsidR="001510E9" w:rsidRDefault="00000000">
      <w:pPr>
        <w:pStyle w:val="TableofFigures"/>
        <w:tabs>
          <w:tab w:val="right" w:leader="dot" w:pos="9016"/>
        </w:tabs>
        <w:rPr>
          <w:rFonts w:eastAsiaTheme="minorEastAsia"/>
          <w:noProof/>
          <w:lang w:eastAsia="en-GB"/>
        </w:rPr>
      </w:pPr>
      <w:hyperlink w:anchor="_Toc66868997" w:history="1">
        <w:r w:rsidR="001510E9" w:rsidRPr="00072774">
          <w:rPr>
            <w:rStyle w:val="Hyperlink"/>
            <w:rFonts w:ascii="Arial" w:hAnsi="Arial" w:cs="Arial"/>
            <w:noProof/>
          </w:rPr>
          <w:t>Table 13 - Road Traffic Forecast</w:t>
        </w:r>
        <w:r w:rsidR="001510E9">
          <w:rPr>
            <w:noProof/>
            <w:webHidden/>
          </w:rPr>
          <w:tab/>
        </w:r>
        <w:r w:rsidR="001510E9">
          <w:rPr>
            <w:noProof/>
            <w:webHidden/>
          </w:rPr>
          <w:fldChar w:fldCharType="begin"/>
        </w:r>
        <w:r w:rsidR="001510E9">
          <w:rPr>
            <w:noProof/>
            <w:webHidden/>
          </w:rPr>
          <w:instrText xml:space="preserve"> PAGEREF _Toc66868997 \h </w:instrText>
        </w:r>
        <w:r w:rsidR="001510E9">
          <w:rPr>
            <w:noProof/>
            <w:webHidden/>
          </w:rPr>
        </w:r>
        <w:r w:rsidR="001510E9">
          <w:rPr>
            <w:noProof/>
            <w:webHidden/>
          </w:rPr>
          <w:fldChar w:fldCharType="separate"/>
        </w:r>
        <w:r w:rsidR="001510E9">
          <w:rPr>
            <w:noProof/>
            <w:webHidden/>
          </w:rPr>
          <w:t>23</w:t>
        </w:r>
        <w:r w:rsidR="001510E9">
          <w:rPr>
            <w:noProof/>
            <w:webHidden/>
          </w:rPr>
          <w:fldChar w:fldCharType="end"/>
        </w:r>
      </w:hyperlink>
    </w:p>
    <w:p w14:paraId="076FDC07" w14:textId="346FE636" w:rsidR="001510E9" w:rsidRDefault="00000000">
      <w:pPr>
        <w:pStyle w:val="TableofFigures"/>
        <w:tabs>
          <w:tab w:val="right" w:leader="dot" w:pos="9016"/>
        </w:tabs>
        <w:rPr>
          <w:rFonts w:eastAsiaTheme="minorEastAsia"/>
          <w:noProof/>
          <w:lang w:eastAsia="en-GB"/>
        </w:rPr>
      </w:pPr>
      <w:hyperlink w:anchor="_Toc66868998" w:history="1">
        <w:r w:rsidR="001510E9" w:rsidRPr="00072774">
          <w:rPr>
            <w:rStyle w:val="Hyperlink"/>
            <w:rFonts w:ascii="Arial" w:hAnsi="Arial" w:cs="Arial"/>
            <w:noProof/>
          </w:rPr>
          <w:t>Table 14 - UK Carbon Values (£)</w:t>
        </w:r>
        <w:r w:rsidR="001510E9">
          <w:rPr>
            <w:noProof/>
            <w:webHidden/>
          </w:rPr>
          <w:tab/>
        </w:r>
        <w:r w:rsidR="001510E9">
          <w:rPr>
            <w:noProof/>
            <w:webHidden/>
          </w:rPr>
          <w:fldChar w:fldCharType="begin"/>
        </w:r>
        <w:r w:rsidR="001510E9">
          <w:rPr>
            <w:noProof/>
            <w:webHidden/>
          </w:rPr>
          <w:instrText xml:space="preserve"> PAGEREF _Toc66868998 \h </w:instrText>
        </w:r>
        <w:r w:rsidR="001510E9">
          <w:rPr>
            <w:noProof/>
            <w:webHidden/>
          </w:rPr>
        </w:r>
        <w:r w:rsidR="001510E9">
          <w:rPr>
            <w:noProof/>
            <w:webHidden/>
          </w:rPr>
          <w:fldChar w:fldCharType="separate"/>
        </w:r>
        <w:r w:rsidR="001510E9">
          <w:rPr>
            <w:noProof/>
            <w:webHidden/>
          </w:rPr>
          <w:t>24</w:t>
        </w:r>
        <w:r w:rsidR="001510E9">
          <w:rPr>
            <w:noProof/>
            <w:webHidden/>
          </w:rPr>
          <w:fldChar w:fldCharType="end"/>
        </w:r>
      </w:hyperlink>
    </w:p>
    <w:p w14:paraId="6958A56C" w14:textId="77903EAE" w:rsidR="001510E9" w:rsidRDefault="00000000">
      <w:pPr>
        <w:pStyle w:val="TableofFigures"/>
        <w:tabs>
          <w:tab w:val="right" w:leader="dot" w:pos="9016"/>
        </w:tabs>
        <w:rPr>
          <w:rFonts w:eastAsiaTheme="minorEastAsia"/>
          <w:noProof/>
          <w:lang w:eastAsia="en-GB"/>
        </w:rPr>
      </w:pPr>
      <w:hyperlink w:anchor="_Toc66868999" w:history="1">
        <w:r w:rsidR="001510E9" w:rsidRPr="00072774">
          <w:rPr>
            <w:rStyle w:val="Hyperlink"/>
            <w:rFonts w:ascii="Arial" w:hAnsi="Arial" w:cs="Arial"/>
            <w:noProof/>
          </w:rPr>
          <w:t>Table 15 - Discount Rates</w:t>
        </w:r>
        <w:r w:rsidR="001510E9">
          <w:rPr>
            <w:noProof/>
            <w:webHidden/>
          </w:rPr>
          <w:tab/>
        </w:r>
        <w:r w:rsidR="001510E9">
          <w:rPr>
            <w:noProof/>
            <w:webHidden/>
          </w:rPr>
          <w:fldChar w:fldCharType="begin"/>
        </w:r>
        <w:r w:rsidR="001510E9">
          <w:rPr>
            <w:noProof/>
            <w:webHidden/>
          </w:rPr>
          <w:instrText xml:space="preserve"> PAGEREF _Toc66868999 \h </w:instrText>
        </w:r>
        <w:r w:rsidR="001510E9">
          <w:rPr>
            <w:noProof/>
            <w:webHidden/>
          </w:rPr>
        </w:r>
        <w:r w:rsidR="001510E9">
          <w:rPr>
            <w:noProof/>
            <w:webHidden/>
          </w:rPr>
          <w:fldChar w:fldCharType="separate"/>
        </w:r>
        <w:r w:rsidR="001510E9">
          <w:rPr>
            <w:noProof/>
            <w:webHidden/>
          </w:rPr>
          <w:t>25</w:t>
        </w:r>
        <w:r w:rsidR="001510E9">
          <w:rPr>
            <w:noProof/>
            <w:webHidden/>
          </w:rPr>
          <w:fldChar w:fldCharType="end"/>
        </w:r>
      </w:hyperlink>
    </w:p>
    <w:p w14:paraId="08CF18DF" w14:textId="47BAF552" w:rsidR="001510E9" w:rsidRDefault="00000000">
      <w:pPr>
        <w:pStyle w:val="TableofFigures"/>
        <w:tabs>
          <w:tab w:val="right" w:leader="dot" w:pos="9016"/>
        </w:tabs>
        <w:rPr>
          <w:rFonts w:eastAsiaTheme="minorEastAsia"/>
          <w:noProof/>
          <w:lang w:eastAsia="en-GB"/>
        </w:rPr>
      </w:pPr>
      <w:hyperlink w:anchor="_Toc66869000" w:history="1">
        <w:r w:rsidR="001510E9" w:rsidRPr="00072774">
          <w:rPr>
            <w:rStyle w:val="Hyperlink"/>
            <w:rFonts w:ascii="Arial" w:hAnsi="Arial" w:cs="Arial"/>
            <w:noProof/>
          </w:rPr>
          <w:t>Table 17 - Results Summary</w:t>
        </w:r>
        <w:r w:rsidR="001510E9">
          <w:rPr>
            <w:noProof/>
            <w:webHidden/>
          </w:rPr>
          <w:tab/>
        </w:r>
        <w:r w:rsidR="001510E9">
          <w:rPr>
            <w:noProof/>
            <w:webHidden/>
          </w:rPr>
          <w:fldChar w:fldCharType="begin"/>
        </w:r>
        <w:r w:rsidR="001510E9">
          <w:rPr>
            <w:noProof/>
            <w:webHidden/>
          </w:rPr>
          <w:instrText xml:space="preserve"> PAGEREF _Toc66869000 \h </w:instrText>
        </w:r>
        <w:r w:rsidR="001510E9">
          <w:rPr>
            <w:noProof/>
            <w:webHidden/>
          </w:rPr>
        </w:r>
        <w:r w:rsidR="001510E9">
          <w:rPr>
            <w:noProof/>
            <w:webHidden/>
          </w:rPr>
          <w:fldChar w:fldCharType="separate"/>
        </w:r>
        <w:r w:rsidR="001510E9">
          <w:rPr>
            <w:noProof/>
            <w:webHidden/>
          </w:rPr>
          <w:t>26</w:t>
        </w:r>
        <w:r w:rsidR="001510E9">
          <w:rPr>
            <w:noProof/>
            <w:webHidden/>
          </w:rPr>
          <w:fldChar w:fldCharType="end"/>
        </w:r>
      </w:hyperlink>
    </w:p>
    <w:p w14:paraId="0BF9E76D" w14:textId="32DAF5A8" w:rsidR="001510E9" w:rsidRDefault="00000000">
      <w:pPr>
        <w:pStyle w:val="TableofFigures"/>
        <w:tabs>
          <w:tab w:val="right" w:leader="dot" w:pos="9016"/>
        </w:tabs>
        <w:rPr>
          <w:rFonts w:eastAsiaTheme="minorEastAsia"/>
          <w:noProof/>
          <w:lang w:eastAsia="en-GB"/>
        </w:rPr>
      </w:pPr>
      <w:hyperlink w:anchor="_Toc66869001" w:history="1">
        <w:r w:rsidR="001510E9" w:rsidRPr="00072774">
          <w:rPr>
            <w:rStyle w:val="Hyperlink"/>
            <w:rFonts w:ascii="Arial" w:hAnsi="Arial" w:cs="Arial"/>
            <w:noProof/>
          </w:rPr>
          <w:t>Table 16 - CO</w:t>
        </w:r>
        <w:r w:rsidR="001510E9" w:rsidRPr="00072774">
          <w:rPr>
            <w:rStyle w:val="Hyperlink"/>
            <w:rFonts w:ascii="Arial" w:hAnsi="Arial" w:cs="Arial"/>
            <w:noProof/>
            <w:vertAlign w:val="subscript"/>
          </w:rPr>
          <w:t>2</w:t>
        </w:r>
        <w:r w:rsidR="001510E9" w:rsidRPr="00072774">
          <w:rPr>
            <w:rStyle w:val="Hyperlink"/>
            <w:rFonts w:ascii="Arial" w:hAnsi="Arial" w:cs="Arial"/>
            <w:noProof/>
          </w:rPr>
          <w:t xml:space="preserve"> Costs from Traffic Management</w:t>
        </w:r>
        <w:r w:rsidR="001510E9">
          <w:rPr>
            <w:noProof/>
            <w:webHidden/>
          </w:rPr>
          <w:tab/>
        </w:r>
        <w:r w:rsidR="001510E9">
          <w:rPr>
            <w:noProof/>
            <w:webHidden/>
          </w:rPr>
          <w:fldChar w:fldCharType="begin"/>
        </w:r>
        <w:r w:rsidR="001510E9">
          <w:rPr>
            <w:noProof/>
            <w:webHidden/>
          </w:rPr>
          <w:instrText xml:space="preserve"> PAGEREF _Toc66869001 \h </w:instrText>
        </w:r>
        <w:r w:rsidR="001510E9">
          <w:rPr>
            <w:noProof/>
            <w:webHidden/>
          </w:rPr>
        </w:r>
        <w:r w:rsidR="001510E9">
          <w:rPr>
            <w:noProof/>
            <w:webHidden/>
          </w:rPr>
          <w:fldChar w:fldCharType="separate"/>
        </w:r>
        <w:r w:rsidR="001510E9">
          <w:rPr>
            <w:noProof/>
            <w:webHidden/>
          </w:rPr>
          <w:t>31</w:t>
        </w:r>
        <w:r w:rsidR="001510E9">
          <w:rPr>
            <w:noProof/>
            <w:webHidden/>
          </w:rPr>
          <w:fldChar w:fldCharType="end"/>
        </w:r>
      </w:hyperlink>
    </w:p>
    <w:p w14:paraId="0D2FEDDC" w14:textId="49E78492" w:rsidR="001510E9" w:rsidRDefault="00000000">
      <w:pPr>
        <w:pStyle w:val="TableofFigures"/>
        <w:tabs>
          <w:tab w:val="right" w:leader="dot" w:pos="9016"/>
        </w:tabs>
        <w:rPr>
          <w:rFonts w:eastAsiaTheme="minorEastAsia"/>
          <w:noProof/>
          <w:lang w:eastAsia="en-GB"/>
        </w:rPr>
      </w:pPr>
      <w:hyperlink w:anchor="_Toc66869002" w:history="1">
        <w:r w:rsidR="001510E9" w:rsidRPr="00072774">
          <w:rPr>
            <w:rStyle w:val="Hyperlink"/>
            <w:rFonts w:ascii="Arial" w:hAnsi="Arial" w:cs="Arial"/>
            <w:noProof/>
          </w:rPr>
          <w:t>Table 18 – Bridge Condition Indicators</w:t>
        </w:r>
        <w:r w:rsidR="001510E9">
          <w:rPr>
            <w:noProof/>
            <w:webHidden/>
          </w:rPr>
          <w:tab/>
        </w:r>
        <w:r w:rsidR="001510E9">
          <w:rPr>
            <w:noProof/>
            <w:webHidden/>
          </w:rPr>
          <w:fldChar w:fldCharType="begin"/>
        </w:r>
        <w:r w:rsidR="001510E9">
          <w:rPr>
            <w:noProof/>
            <w:webHidden/>
          </w:rPr>
          <w:instrText xml:space="preserve"> PAGEREF _Toc66869002 \h </w:instrText>
        </w:r>
        <w:r w:rsidR="001510E9">
          <w:rPr>
            <w:noProof/>
            <w:webHidden/>
          </w:rPr>
        </w:r>
        <w:r w:rsidR="001510E9">
          <w:rPr>
            <w:noProof/>
            <w:webHidden/>
          </w:rPr>
          <w:fldChar w:fldCharType="separate"/>
        </w:r>
        <w:r w:rsidR="001510E9">
          <w:rPr>
            <w:noProof/>
            <w:webHidden/>
          </w:rPr>
          <w:t>34</w:t>
        </w:r>
        <w:r w:rsidR="001510E9">
          <w:rPr>
            <w:noProof/>
            <w:webHidden/>
          </w:rPr>
          <w:fldChar w:fldCharType="end"/>
        </w:r>
      </w:hyperlink>
    </w:p>
    <w:p w14:paraId="19802F77" w14:textId="02C4B950" w:rsidR="00687186" w:rsidRDefault="00517620" w:rsidP="00DB5810">
      <w:pPr>
        <w:pStyle w:val="Heading1"/>
        <w:numPr>
          <w:ilvl w:val="0"/>
          <w:numId w:val="0"/>
        </w:numPr>
        <w:ind w:left="432"/>
        <w:sectPr w:rsidR="00687186" w:rsidSect="00CC2460">
          <w:pgSz w:w="11906" w:h="16838"/>
          <w:pgMar w:top="1440" w:right="1440" w:bottom="1440" w:left="1440" w:header="708" w:footer="708" w:gutter="0"/>
          <w:pgNumType w:fmt="lowerRoman"/>
          <w:cols w:space="708"/>
          <w:titlePg/>
          <w:docGrid w:linePitch="360"/>
        </w:sectPr>
      </w:pPr>
      <w:r>
        <w:fldChar w:fldCharType="end"/>
      </w:r>
    </w:p>
    <w:p w14:paraId="1648FE24" w14:textId="7AD8043B" w:rsidR="00C512F8" w:rsidRPr="00777A8E" w:rsidRDefault="009139C7" w:rsidP="00D45537">
      <w:pPr>
        <w:pStyle w:val="Heading1"/>
        <w:numPr>
          <w:ilvl w:val="0"/>
          <w:numId w:val="0"/>
        </w:numPr>
        <w:spacing w:after="240"/>
        <w:ind w:left="432" w:hanging="432"/>
        <w:rPr>
          <w:rFonts w:ascii="Arial" w:hAnsi="Arial" w:cs="Arial"/>
          <w:b/>
          <w:bCs/>
          <w:color w:val="auto"/>
          <w:sz w:val="28"/>
          <w:szCs w:val="28"/>
        </w:rPr>
      </w:pPr>
      <w:bookmarkStart w:id="1" w:name="_Toc66868877"/>
      <w:r w:rsidRPr="00777A8E">
        <w:rPr>
          <w:rFonts w:ascii="Arial" w:eastAsia="Times New Roman" w:hAnsi="Arial" w:cs="Arial"/>
          <w:b/>
          <w:bCs/>
          <w:color w:val="auto"/>
          <w:sz w:val="28"/>
          <w:szCs w:val="28"/>
          <w:lang w:eastAsia="en-GB"/>
        </w:rPr>
        <w:t xml:space="preserve">Chapter 1: </w:t>
      </w:r>
      <w:r w:rsidR="00432B6A" w:rsidRPr="00777A8E">
        <w:rPr>
          <w:rFonts w:ascii="Arial" w:eastAsia="Times New Roman" w:hAnsi="Arial" w:cs="Arial"/>
          <w:b/>
          <w:bCs/>
          <w:color w:val="auto"/>
          <w:sz w:val="28"/>
          <w:szCs w:val="28"/>
          <w:lang w:eastAsia="en-GB"/>
        </w:rPr>
        <w:t>Introduction</w:t>
      </w:r>
      <w:bookmarkEnd w:id="1"/>
      <w:r w:rsidR="00432B6A" w:rsidRPr="00777A8E">
        <w:rPr>
          <w:rFonts w:ascii="Arial" w:hAnsi="Arial" w:cs="Arial"/>
          <w:b/>
          <w:bCs/>
          <w:color w:val="auto"/>
          <w:sz w:val="28"/>
          <w:szCs w:val="28"/>
        </w:rPr>
        <w:t xml:space="preserve"> </w:t>
      </w:r>
    </w:p>
    <w:p w14:paraId="408C6B5F" w14:textId="58DA2C0D" w:rsidR="003E27F8" w:rsidRPr="00EB148F" w:rsidRDefault="003E27F8" w:rsidP="00D45537">
      <w:pPr>
        <w:pStyle w:val="Heading2"/>
        <w:spacing w:after="240"/>
        <w:rPr>
          <w:rFonts w:ascii="Arial" w:eastAsia="Times New Roman" w:hAnsi="Arial" w:cs="Arial"/>
          <w:b/>
          <w:bCs/>
          <w:color w:val="auto"/>
          <w:sz w:val="24"/>
          <w:szCs w:val="24"/>
          <w:lang w:eastAsia="en-GB"/>
        </w:rPr>
      </w:pPr>
      <w:bookmarkStart w:id="2" w:name="_Toc66868878"/>
      <w:r w:rsidRPr="00EB148F">
        <w:rPr>
          <w:rFonts w:ascii="Arial" w:eastAsia="Times New Roman" w:hAnsi="Arial" w:cs="Arial"/>
          <w:b/>
          <w:bCs/>
          <w:color w:val="auto"/>
          <w:sz w:val="24"/>
          <w:szCs w:val="24"/>
          <w:lang w:eastAsia="en-GB"/>
        </w:rPr>
        <w:t>Overview</w:t>
      </w:r>
      <w:bookmarkEnd w:id="2"/>
    </w:p>
    <w:p w14:paraId="74A54D01" w14:textId="3794981D" w:rsidR="00A3702F" w:rsidRPr="001F5E1D" w:rsidRDefault="00322525" w:rsidP="004A2DD4">
      <w:pPr>
        <w:shd w:val="clear" w:color="auto" w:fill="FFFFFF"/>
        <w:spacing w:line="360" w:lineRule="auto"/>
        <w:jc w:val="both"/>
        <w:textAlignment w:val="baseline"/>
        <w:rPr>
          <w:rFonts w:ascii="Arial" w:hAnsi="Arial" w:cs="Arial"/>
        </w:rPr>
      </w:pPr>
      <w:r w:rsidRPr="001F5E1D">
        <w:rPr>
          <w:rFonts w:ascii="Arial" w:hAnsi="Arial" w:cs="Arial"/>
          <w:lang w:val="en-US"/>
        </w:rPr>
        <w:t xml:space="preserve">The UK local </w:t>
      </w:r>
      <w:r w:rsidR="00902AE0" w:rsidRPr="001F5E1D">
        <w:rPr>
          <w:rFonts w:ascii="Arial" w:hAnsi="Arial" w:cs="Arial"/>
          <w:lang w:val="en-US"/>
        </w:rPr>
        <w:t xml:space="preserve">highway network includes </w:t>
      </w:r>
      <w:r w:rsidR="009761CC">
        <w:rPr>
          <w:rFonts w:ascii="Arial" w:hAnsi="Arial" w:cs="Arial"/>
          <w:lang w:val="en-US"/>
        </w:rPr>
        <w:t>over 70,000</w:t>
      </w:r>
      <w:r w:rsidR="00902AE0" w:rsidRPr="001F5E1D">
        <w:rPr>
          <w:rFonts w:ascii="Arial" w:hAnsi="Arial" w:cs="Arial"/>
          <w:lang w:val="en-US"/>
        </w:rPr>
        <w:t xml:space="preserve"> bridges</w:t>
      </w:r>
      <w:r w:rsidR="00632008" w:rsidRPr="001F5E1D">
        <w:rPr>
          <w:rFonts w:ascii="Arial" w:hAnsi="Arial" w:cs="Arial"/>
          <w:lang w:val="en-US"/>
        </w:rPr>
        <w:t xml:space="preserve">, </w:t>
      </w:r>
      <w:r w:rsidR="00E414CA" w:rsidRPr="001F5E1D">
        <w:rPr>
          <w:rFonts w:ascii="Arial" w:hAnsi="Arial" w:cs="Arial"/>
        </w:rPr>
        <w:t>with a</w:t>
      </w:r>
      <w:r w:rsidR="003973B9">
        <w:rPr>
          <w:rFonts w:ascii="Arial" w:hAnsi="Arial" w:cs="Arial"/>
        </w:rPr>
        <w:t>n</w:t>
      </w:r>
      <w:r w:rsidR="00E414CA" w:rsidRPr="001F5E1D">
        <w:rPr>
          <w:rFonts w:ascii="Arial" w:hAnsi="Arial" w:cs="Arial"/>
        </w:rPr>
        <w:t xml:space="preserve"> </w:t>
      </w:r>
      <w:r w:rsidR="003973B9">
        <w:rPr>
          <w:rFonts w:ascii="Arial" w:hAnsi="Arial" w:cs="Arial"/>
        </w:rPr>
        <w:t>estimated</w:t>
      </w:r>
      <w:r w:rsidR="003973B9" w:rsidRPr="001F5E1D">
        <w:rPr>
          <w:rFonts w:ascii="Arial" w:hAnsi="Arial" w:cs="Arial"/>
        </w:rPr>
        <w:t xml:space="preserve"> </w:t>
      </w:r>
      <w:r w:rsidR="00E414CA" w:rsidRPr="001F5E1D">
        <w:rPr>
          <w:rFonts w:ascii="Arial" w:hAnsi="Arial" w:cs="Arial"/>
        </w:rPr>
        <w:t>maintenance backlog of</w:t>
      </w:r>
      <w:r w:rsidR="00657AA8">
        <w:rPr>
          <w:rFonts w:ascii="Arial" w:hAnsi="Arial" w:cs="Arial"/>
        </w:rPr>
        <w:t xml:space="preserve"> </w:t>
      </w:r>
      <w:r w:rsidR="00F10CD2" w:rsidRPr="001F5E1D">
        <w:rPr>
          <w:rFonts w:ascii="Arial" w:hAnsi="Arial" w:cs="Arial"/>
        </w:rPr>
        <w:t>£6.7</w:t>
      </w:r>
      <w:r w:rsidR="00FA25BB" w:rsidRPr="001F5E1D">
        <w:rPr>
          <w:rFonts w:ascii="Arial" w:hAnsi="Arial" w:cs="Arial"/>
        </w:rPr>
        <w:t>bn</w:t>
      </w:r>
      <w:r w:rsidR="005D4CC5">
        <w:rPr>
          <w:rFonts w:ascii="Arial" w:hAnsi="Arial" w:cs="Arial"/>
        </w:rPr>
        <w:t xml:space="preserve"> </w:t>
      </w:r>
      <w:r w:rsidR="005C2725">
        <w:rPr>
          <w:rFonts w:ascii="Arial" w:hAnsi="Arial" w:cs="Arial"/>
        </w:rPr>
        <w:t>identified</w:t>
      </w:r>
      <w:r w:rsidR="00AD03D5">
        <w:rPr>
          <w:rFonts w:ascii="Arial" w:hAnsi="Arial" w:cs="Arial"/>
        </w:rPr>
        <w:t xml:space="preserve"> in</w:t>
      </w:r>
      <w:r w:rsidR="003973B9">
        <w:rPr>
          <w:rFonts w:ascii="Arial" w:hAnsi="Arial" w:cs="Arial"/>
        </w:rPr>
        <w:t xml:space="preserve"> the</w:t>
      </w:r>
      <w:r w:rsidR="004111CF">
        <w:rPr>
          <w:rFonts w:ascii="Arial" w:hAnsi="Arial" w:cs="Arial"/>
        </w:rPr>
        <w:t xml:space="preserve"> 2017-18 financial year</w:t>
      </w:r>
      <w:r w:rsidR="00AC693F" w:rsidRPr="001F5E1D">
        <w:rPr>
          <w:rFonts w:ascii="Arial" w:hAnsi="Arial" w:cs="Arial"/>
        </w:rPr>
        <w:t>.</w:t>
      </w:r>
      <w:r w:rsidR="00FA25BB" w:rsidRPr="001F5E1D">
        <w:rPr>
          <w:rFonts w:ascii="Arial" w:hAnsi="Arial" w:cs="Arial"/>
        </w:rPr>
        <w:t xml:space="preserve"> </w:t>
      </w:r>
      <w:r w:rsidR="00AC693F" w:rsidRPr="001F5E1D">
        <w:rPr>
          <w:rFonts w:ascii="Arial" w:hAnsi="Arial" w:cs="Arial"/>
        </w:rPr>
        <w:t>O</w:t>
      </w:r>
      <w:r w:rsidR="00FA25BB" w:rsidRPr="001F5E1D">
        <w:rPr>
          <w:rFonts w:ascii="Arial" w:hAnsi="Arial" w:cs="Arial"/>
        </w:rPr>
        <w:t>ver 3,</w:t>
      </w:r>
      <w:r w:rsidR="00AD03D5">
        <w:rPr>
          <w:rFonts w:ascii="Arial" w:hAnsi="Arial" w:cs="Arial"/>
        </w:rPr>
        <w:t>000</w:t>
      </w:r>
      <w:r w:rsidR="00CF5CF5" w:rsidRPr="001F5E1D">
        <w:rPr>
          <w:rFonts w:ascii="Arial" w:hAnsi="Arial" w:cs="Arial"/>
        </w:rPr>
        <w:t xml:space="preserve"> </w:t>
      </w:r>
      <w:r w:rsidR="00760840" w:rsidRPr="001F5E1D">
        <w:rPr>
          <w:rFonts w:ascii="Arial" w:hAnsi="Arial" w:cs="Arial"/>
        </w:rPr>
        <w:t xml:space="preserve">bridges are considered to be </w:t>
      </w:r>
      <w:r w:rsidR="006C14CB" w:rsidRPr="001F5E1D">
        <w:rPr>
          <w:rFonts w:ascii="Arial" w:hAnsi="Arial" w:cs="Arial"/>
        </w:rPr>
        <w:t xml:space="preserve">sub-standard </w:t>
      </w:r>
      <w:r w:rsidR="00C20AFE" w:rsidRPr="001F5E1D">
        <w:rPr>
          <w:rFonts w:ascii="Arial" w:hAnsi="Arial" w:cs="Arial"/>
        </w:rPr>
        <w:t xml:space="preserve">and </w:t>
      </w:r>
      <w:r w:rsidR="00CF5CF5" w:rsidRPr="001F5E1D">
        <w:rPr>
          <w:rFonts w:ascii="Arial" w:hAnsi="Arial" w:cs="Arial"/>
        </w:rPr>
        <w:t>unable to carry</w:t>
      </w:r>
      <w:r w:rsidR="008B51BF" w:rsidRPr="001F5E1D">
        <w:rPr>
          <w:rFonts w:ascii="Arial" w:hAnsi="Arial" w:cs="Arial"/>
        </w:rPr>
        <w:t xml:space="preserve"> 44 tonne highway loading</w:t>
      </w:r>
      <w:r w:rsidR="00C20AFE" w:rsidRPr="001F5E1D">
        <w:rPr>
          <w:rFonts w:ascii="Arial" w:hAnsi="Arial" w:cs="Arial"/>
        </w:rPr>
        <w:t>,</w:t>
      </w:r>
      <w:r w:rsidR="00AC693F" w:rsidRPr="001F5E1D">
        <w:rPr>
          <w:rFonts w:ascii="Arial" w:hAnsi="Arial" w:cs="Arial"/>
        </w:rPr>
        <w:t xml:space="preserve"> indicating a </w:t>
      </w:r>
      <w:r w:rsidR="00C20AFE" w:rsidRPr="001F5E1D">
        <w:rPr>
          <w:rFonts w:ascii="Arial" w:hAnsi="Arial" w:cs="Arial"/>
        </w:rPr>
        <w:t>funding shortfall</w:t>
      </w:r>
      <w:r w:rsidR="00303EBC" w:rsidRPr="001F5E1D">
        <w:rPr>
          <w:rFonts w:ascii="Arial" w:hAnsi="Arial" w:cs="Arial"/>
        </w:rPr>
        <w:t xml:space="preserve"> (RAC Foundation, 2019)</w:t>
      </w:r>
      <w:r w:rsidR="008B51BF" w:rsidRPr="001F5E1D">
        <w:rPr>
          <w:rFonts w:ascii="Arial" w:hAnsi="Arial" w:cs="Arial"/>
        </w:rPr>
        <w:t>.</w:t>
      </w:r>
      <w:r w:rsidR="00EB3E61" w:rsidRPr="001F5E1D">
        <w:rPr>
          <w:rFonts w:ascii="Arial" w:hAnsi="Arial" w:cs="Arial"/>
        </w:rPr>
        <w:t xml:space="preserve"> </w:t>
      </w:r>
      <w:r w:rsidR="00A60B08" w:rsidRPr="001F5E1D">
        <w:rPr>
          <w:rFonts w:ascii="Arial" w:hAnsi="Arial" w:cs="Arial"/>
        </w:rPr>
        <w:t xml:space="preserve"> </w:t>
      </w:r>
      <w:r w:rsidR="00F619F1" w:rsidRPr="001F5E1D">
        <w:rPr>
          <w:rFonts w:ascii="Arial" w:hAnsi="Arial" w:cs="Arial"/>
        </w:rPr>
        <w:t>Budget constraints and m</w:t>
      </w:r>
      <w:r w:rsidR="00A53F34" w:rsidRPr="001F5E1D">
        <w:rPr>
          <w:rFonts w:ascii="Arial" w:hAnsi="Arial" w:cs="Arial"/>
        </w:rPr>
        <w:t xml:space="preserve">aintenance decisions </w:t>
      </w:r>
      <w:r w:rsidR="00535B75" w:rsidRPr="001F5E1D">
        <w:rPr>
          <w:rFonts w:ascii="Arial" w:hAnsi="Arial" w:cs="Arial"/>
        </w:rPr>
        <w:t>through</w:t>
      </w:r>
      <w:r w:rsidR="00182527" w:rsidRPr="001F5E1D">
        <w:rPr>
          <w:rFonts w:ascii="Arial" w:hAnsi="Arial" w:cs="Arial"/>
        </w:rPr>
        <w:t>out</w:t>
      </w:r>
      <w:r w:rsidR="00535B75" w:rsidRPr="001F5E1D">
        <w:rPr>
          <w:rFonts w:ascii="Arial" w:hAnsi="Arial" w:cs="Arial"/>
        </w:rPr>
        <w:t xml:space="preserve"> the life cycle of bridges </w:t>
      </w:r>
      <w:r w:rsidR="00A53F34" w:rsidRPr="001F5E1D">
        <w:rPr>
          <w:rFonts w:ascii="Arial" w:hAnsi="Arial" w:cs="Arial"/>
        </w:rPr>
        <w:t>can ha</w:t>
      </w:r>
      <w:r w:rsidR="00F937AE" w:rsidRPr="001F5E1D">
        <w:rPr>
          <w:rFonts w:ascii="Arial" w:hAnsi="Arial" w:cs="Arial"/>
        </w:rPr>
        <w:t>ve a</w:t>
      </w:r>
      <w:r w:rsidR="00A53F34" w:rsidRPr="001F5E1D">
        <w:rPr>
          <w:rFonts w:ascii="Arial" w:hAnsi="Arial" w:cs="Arial"/>
        </w:rPr>
        <w:t xml:space="preserve"> </w:t>
      </w:r>
      <w:r w:rsidR="00F937AE" w:rsidRPr="001F5E1D">
        <w:rPr>
          <w:rFonts w:ascii="Arial" w:hAnsi="Arial" w:cs="Arial"/>
        </w:rPr>
        <w:t>significan</w:t>
      </w:r>
      <w:r w:rsidR="00535B75" w:rsidRPr="001F5E1D">
        <w:rPr>
          <w:rFonts w:ascii="Arial" w:hAnsi="Arial" w:cs="Arial"/>
        </w:rPr>
        <w:t>t</w:t>
      </w:r>
      <w:r w:rsidR="00A53F34" w:rsidRPr="001F5E1D">
        <w:rPr>
          <w:rFonts w:ascii="Arial" w:hAnsi="Arial" w:cs="Arial"/>
        </w:rPr>
        <w:t xml:space="preserve"> </w:t>
      </w:r>
      <w:r w:rsidR="0007047F">
        <w:rPr>
          <w:rFonts w:ascii="Arial" w:hAnsi="Arial" w:cs="Arial"/>
        </w:rPr>
        <w:t>impact</w:t>
      </w:r>
      <w:r w:rsidR="00A53F34" w:rsidRPr="001F5E1D">
        <w:rPr>
          <w:rFonts w:ascii="Arial" w:hAnsi="Arial" w:cs="Arial"/>
        </w:rPr>
        <w:t xml:space="preserve"> on </w:t>
      </w:r>
      <w:r w:rsidR="00CE29F7">
        <w:rPr>
          <w:rFonts w:ascii="Arial" w:hAnsi="Arial" w:cs="Arial"/>
        </w:rPr>
        <w:t xml:space="preserve">their </w:t>
      </w:r>
      <w:r w:rsidR="00F937AE" w:rsidRPr="001F5E1D">
        <w:rPr>
          <w:rFonts w:ascii="Arial" w:hAnsi="Arial" w:cs="Arial"/>
        </w:rPr>
        <w:t>whole life cost</w:t>
      </w:r>
      <w:r w:rsidR="00CD7656" w:rsidRPr="001F5E1D">
        <w:rPr>
          <w:rFonts w:ascii="Arial" w:hAnsi="Arial" w:cs="Arial"/>
        </w:rPr>
        <w:t xml:space="preserve"> </w:t>
      </w:r>
      <w:r w:rsidR="00947120" w:rsidRPr="001F5E1D">
        <w:rPr>
          <w:rFonts w:ascii="Arial" w:hAnsi="Arial" w:cs="Arial"/>
        </w:rPr>
        <w:t xml:space="preserve">and </w:t>
      </w:r>
      <w:r w:rsidR="00535B75" w:rsidRPr="001F5E1D">
        <w:rPr>
          <w:rFonts w:ascii="Arial" w:hAnsi="Arial" w:cs="Arial"/>
        </w:rPr>
        <w:t>sustainability</w:t>
      </w:r>
      <w:r w:rsidR="00CD7656" w:rsidRPr="001F5E1D">
        <w:rPr>
          <w:rFonts w:ascii="Arial" w:hAnsi="Arial" w:cs="Arial"/>
        </w:rPr>
        <w:t xml:space="preserve"> </w:t>
      </w:r>
      <w:r w:rsidR="00360393" w:rsidRPr="001F5E1D">
        <w:rPr>
          <w:rFonts w:ascii="Arial" w:hAnsi="Arial" w:cs="Arial"/>
        </w:rPr>
        <w:t>(Teslim et al.,</w:t>
      </w:r>
      <w:r w:rsidR="00977110">
        <w:rPr>
          <w:rFonts w:ascii="Arial" w:hAnsi="Arial" w:cs="Arial"/>
        </w:rPr>
        <w:t xml:space="preserve"> </w:t>
      </w:r>
      <w:r w:rsidR="00360393" w:rsidRPr="001F5E1D">
        <w:rPr>
          <w:rFonts w:ascii="Arial" w:hAnsi="Arial" w:cs="Arial"/>
        </w:rPr>
        <w:t>2019)</w:t>
      </w:r>
      <w:r w:rsidR="001B2070" w:rsidRPr="001F5E1D">
        <w:rPr>
          <w:rFonts w:ascii="Arial" w:hAnsi="Arial" w:cs="Arial"/>
        </w:rPr>
        <w:t xml:space="preserve">. </w:t>
      </w:r>
      <w:r w:rsidR="007B28A6" w:rsidRPr="001F5E1D">
        <w:rPr>
          <w:rFonts w:ascii="Arial" w:hAnsi="Arial" w:cs="Arial"/>
        </w:rPr>
        <w:t xml:space="preserve"> </w:t>
      </w:r>
      <w:r w:rsidR="00917EA1">
        <w:rPr>
          <w:rFonts w:ascii="Arial" w:hAnsi="Arial" w:cs="Arial"/>
        </w:rPr>
        <w:t xml:space="preserve">There has been a </w:t>
      </w:r>
      <w:r w:rsidR="00A366B2">
        <w:rPr>
          <w:rFonts w:ascii="Arial" w:hAnsi="Arial" w:cs="Arial"/>
        </w:rPr>
        <w:t xml:space="preserve">25% </w:t>
      </w:r>
      <w:r w:rsidR="00917EA1">
        <w:rPr>
          <w:rFonts w:ascii="Arial" w:hAnsi="Arial" w:cs="Arial"/>
        </w:rPr>
        <w:t xml:space="preserve">reduction in </w:t>
      </w:r>
      <w:r w:rsidR="00A366B2">
        <w:rPr>
          <w:rFonts w:ascii="Arial" w:hAnsi="Arial" w:cs="Arial"/>
        </w:rPr>
        <w:t>l</w:t>
      </w:r>
      <w:r w:rsidR="00834373">
        <w:rPr>
          <w:rFonts w:ascii="Arial" w:hAnsi="Arial" w:cs="Arial"/>
        </w:rPr>
        <w:t xml:space="preserve">ocal government funding </w:t>
      </w:r>
      <w:r w:rsidR="00AF4B88">
        <w:rPr>
          <w:rFonts w:ascii="Arial" w:hAnsi="Arial" w:cs="Arial"/>
        </w:rPr>
        <w:t>since 2010</w:t>
      </w:r>
      <w:r w:rsidR="00B32B12">
        <w:rPr>
          <w:rFonts w:ascii="Arial" w:hAnsi="Arial" w:cs="Arial"/>
        </w:rPr>
        <w:t xml:space="preserve"> (</w:t>
      </w:r>
      <w:r w:rsidR="00C524FA">
        <w:rPr>
          <w:rFonts w:ascii="Arial" w:hAnsi="Arial" w:cs="Arial"/>
        </w:rPr>
        <w:t>Transportation</w:t>
      </w:r>
      <w:r w:rsidR="00B32B12">
        <w:rPr>
          <w:rFonts w:ascii="Arial" w:hAnsi="Arial" w:cs="Arial"/>
        </w:rPr>
        <w:t xml:space="preserve"> C</w:t>
      </w:r>
      <w:r w:rsidR="00F608C0">
        <w:rPr>
          <w:rFonts w:ascii="Arial" w:hAnsi="Arial" w:cs="Arial"/>
        </w:rPr>
        <w:t>ommi</w:t>
      </w:r>
      <w:r w:rsidR="000F123F">
        <w:rPr>
          <w:rFonts w:ascii="Arial" w:hAnsi="Arial" w:cs="Arial"/>
        </w:rPr>
        <w:t>t</w:t>
      </w:r>
      <w:r w:rsidR="00F608C0">
        <w:rPr>
          <w:rFonts w:ascii="Arial" w:hAnsi="Arial" w:cs="Arial"/>
        </w:rPr>
        <w:t>te</w:t>
      </w:r>
      <w:r w:rsidR="00C524FA">
        <w:rPr>
          <w:rFonts w:ascii="Arial" w:hAnsi="Arial" w:cs="Arial"/>
        </w:rPr>
        <w:t>e</w:t>
      </w:r>
      <w:r w:rsidR="00F608C0">
        <w:rPr>
          <w:rFonts w:ascii="Arial" w:hAnsi="Arial" w:cs="Arial"/>
        </w:rPr>
        <w:t xml:space="preserve">, </w:t>
      </w:r>
      <w:r w:rsidR="00677220">
        <w:rPr>
          <w:rFonts w:ascii="Arial" w:hAnsi="Arial" w:cs="Arial"/>
        </w:rPr>
        <w:t>2019</w:t>
      </w:r>
      <w:r w:rsidR="00F608C0">
        <w:rPr>
          <w:rFonts w:ascii="Arial" w:hAnsi="Arial" w:cs="Arial"/>
        </w:rPr>
        <w:t>)</w:t>
      </w:r>
      <w:r w:rsidR="00AF4B88">
        <w:rPr>
          <w:rFonts w:ascii="Arial" w:hAnsi="Arial" w:cs="Arial"/>
        </w:rPr>
        <w:t>.</w:t>
      </w:r>
      <w:r w:rsidR="00917EA1">
        <w:rPr>
          <w:rFonts w:ascii="Arial" w:hAnsi="Arial" w:cs="Arial"/>
        </w:rPr>
        <w:t xml:space="preserve"> </w:t>
      </w:r>
    </w:p>
    <w:p w14:paraId="046A5714" w14:textId="3B623C44" w:rsidR="00DB2DA4" w:rsidRPr="001F5E1D" w:rsidRDefault="00460D03" w:rsidP="004A2DD4">
      <w:pPr>
        <w:shd w:val="clear" w:color="auto" w:fill="FFFFFF"/>
        <w:spacing w:line="360" w:lineRule="auto"/>
        <w:jc w:val="both"/>
        <w:textAlignment w:val="baseline"/>
        <w:rPr>
          <w:rFonts w:ascii="Arial" w:hAnsi="Arial" w:cs="Arial"/>
          <w:shd w:val="clear" w:color="auto" w:fill="FFFFFF"/>
        </w:rPr>
      </w:pPr>
      <w:r>
        <w:rPr>
          <w:rFonts w:ascii="Arial" w:hAnsi="Arial" w:cs="Arial"/>
          <w:shd w:val="clear" w:color="auto" w:fill="FFFFFF"/>
        </w:rPr>
        <w:t>The short fall in funding and subsequent b</w:t>
      </w:r>
      <w:r w:rsidR="00DB2DA4" w:rsidRPr="001F5E1D">
        <w:rPr>
          <w:rFonts w:ascii="Arial" w:hAnsi="Arial" w:cs="Arial"/>
          <w:shd w:val="clear" w:color="auto" w:fill="FFFFFF"/>
        </w:rPr>
        <w:t xml:space="preserve">udget constraints have increased the requirement to optimise maintenance and minimise whole life costs. Adopting a life cycle management strategy for bridges will extend their service life and subsequently alleviate financial burdens associated with bridge replacements and refurbishments. </w:t>
      </w:r>
      <w:r w:rsidR="005E71D2" w:rsidRPr="001F5E1D">
        <w:rPr>
          <w:rFonts w:ascii="Arial" w:hAnsi="Arial" w:cs="Arial"/>
          <w:shd w:val="clear" w:color="auto" w:fill="FFFFFF"/>
        </w:rPr>
        <w:t>(</w:t>
      </w:r>
      <w:r w:rsidR="005E71D2" w:rsidRPr="001F5E1D">
        <w:rPr>
          <w:rFonts w:ascii="Arial" w:hAnsi="Arial" w:cs="Arial"/>
        </w:rPr>
        <w:t>Kevin</w:t>
      </w:r>
      <w:r w:rsidR="008C48C0">
        <w:rPr>
          <w:rFonts w:ascii="Arial" w:hAnsi="Arial" w:cs="Arial"/>
        </w:rPr>
        <w:t xml:space="preserve"> et al</w:t>
      </w:r>
      <w:r w:rsidR="005E71D2" w:rsidRPr="001F5E1D">
        <w:rPr>
          <w:rFonts w:ascii="Arial" w:hAnsi="Arial" w:cs="Arial"/>
        </w:rPr>
        <w:t>, 2012)</w:t>
      </w:r>
    </w:p>
    <w:p w14:paraId="6C20A53C" w14:textId="1064CE51" w:rsidR="005F226A" w:rsidRPr="00B77989" w:rsidRDefault="005F226A" w:rsidP="00E811C8">
      <w:pPr>
        <w:pStyle w:val="Heading2"/>
        <w:spacing w:after="240"/>
        <w:rPr>
          <w:rFonts w:ascii="Arial" w:eastAsia="Times New Roman" w:hAnsi="Arial" w:cs="Arial"/>
          <w:b/>
          <w:bCs/>
          <w:color w:val="auto"/>
          <w:lang w:eastAsia="en-GB"/>
        </w:rPr>
      </w:pPr>
      <w:bookmarkStart w:id="3" w:name="_Toc66868879"/>
      <w:r w:rsidRPr="00EB148F">
        <w:rPr>
          <w:rFonts w:ascii="Arial" w:eastAsia="Times New Roman" w:hAnsi="Arial" w:cs="Arial"/>
          <w:b/>
          <w:bCs/>
          <w:color w:val="auto"/>
          <w:sz w:val="24"/>
          <w:szCs w:val="24"/>
          <w:lang w:eastAsia="en-GB"/>
        </w:rPr>
        <w:t>Background</w:t>
      </w:r>
      <w:bookmarkEnd w:id="3"/>
      <w:r w:rsidR="009D3C9F" w:rsidRPr="00EB148F">
        <w:rPr>
          <w:rFonts w:ascii="Arial" w:eastAsia="Times New Roman" w:hAnsi="Arial" w:cs="Arial"/>
          <w:b/>
          <w:bCs/>
          <w:color w:val="auto"/>
          <w:sz w:val="24"/>
          <w:szCs w:val="24"/>
          <w:lang w:eastAsia="en-GB"/>
        </w:rPr>
        <w:t xml:space="preserve"> </w:t>
      </w:r>
      <w:r w:rsidRPr="00B77989">
        <w:rPr>
          <w:rFonts w:ascii="Arial" w:eastAsia="Times New Roman" w:hAnsi="Arial" w:cs="Arial"/>
          <w:b/>
          <w:bCs/>
          <w:color w:val="auto"/>
          <w:lang w:eastAsia="en-GB"/>
        </w:rPr>
        <w:t xml:space="preserve"> </w:t>
      </w:r>
    </w:p>
    <w:p w14:paraId="3C5EB2DD" w14:textId="4607FF96" w:rsidR="00B510F6" w:rsidRPr="002C7C5C" w:rsidRDefault="00B10AD9" w:rsidP="004A2DD4">
      <w:pPr>
        <w:shd w:val="clear" w:color="auto" w:fill="FFFFFF"/>
        <w:spacing w:line="360" w:lineRule="auto"/>
        <w:jc w:val="both"/>
        <w:textAlignment w:val="baseline"/>
        <w:rPr>
          <w:rFonts w:ascii="Arial" w:hAnsi="Arial" w:cs="Arial"/>
        </w:rPr>
      </w:pPr>
      <w:r w:rsidRPr="002C7C5C">
        <w:rPr>
          <w:rFonts w:ascii="Arial" w:hAnsi="Arial" w:cs="Arial"/>
        </w:rPr>
        <w:t>Life cycle analysis has been recognised as a</w:t>
      </w:r>
      <w:r w:rsidR="009F6046" w:rsidRPr="002C7C5C">
        <w:rPr>
          <w:rFonts w:ascii="Arial" w:hAnsi="Arial" w:cs="Arial"/>
        </w:rPr>
        <w:t>n</w:t>
      </w:r>
      <w:r w:rsidRPr="002C7C5C">
        <w:rPr>
          <w:rFonts w:ascii="Arial" w:hAnsi="Arial" w:cs="Arial"/>
        </w:rPr>
        <w:t xml:space="preserve"> </w:t>
      </w:r>
      <w:r w:rsidR="00AA1946" w:rsidRPr="002C7C5C">
        <w:rPr>
          <w:rFonts w:ascii="Arial" w:hAnsi="Arial" w:cs="Arial"/>
        </w:rPr>
        <w:t>important</w:t>
      </w:r>
      <w:r w:rsidR="00BF02DD" w:rsidRPr="002C7C5C">
        <w:rPr>
          <w:rFonts w:ascii="Arial" w:hAnsi="Arial" w:cs="Arial"/>
        </w:rPr>
        <w:t xml:space="preserve"> tool</w:t>
      </w:r>
      <w:r w:rsidRPr="002C7C5C">
        <w:rPr>
          <w:rFonts w:ascii="Arial" w:hAnsi="Arial" w:cs="Arial"/>
        </w:rPr>
        <w:t xml:space="preserve"> </w:t>
      </w:r>
      <w:r w:rsidR="00B37F7E" w:rsidRPr="002C7C5C">
        <w:rPr>
          <w:rFonts w:ascii="Arial" w:hAnsi="Arial" w:cs="Arial"/>
        </w:rPr>
        <w:t>in the management of bridges</w:t>
      </w:r>
      <w:r w:rsidR="00A54CF0">
        <w:rPr>
          <w:rFonts w:ascii="Arial" w:hAnsi="Arial" w:cs="Arial"/>
        </w:rPr>
        <w:t xml:space="preserve"> to</w:t>
      </w:r>
      <w:r w:rsidR="00AF19D3" w:rsidRPr="002C7C5C">
        <w:rPr>
          <w:rFonts w:ascii="Arial" w:hAnsi="Arial" w:cs="Arial"/>
        </w:rPr>
        <w:t xml:space="preserve"> determine the optimal </w:t>
      </w:r>
      <w:r w:rsidR="00747567" w:rsidRPr="002C7C5C">
        <w:rPr>
          <w:rFonts w:ascii="Arial" w:hAnsi="Arial" w:cs="Arial"/>
        </w:rPr>
        <w:t>resource</w:t>
      </w:r>
      <w:r w:rsidR="00AF19D3" w:rsidRPr="002C7C5C">
        <w:rPr>
          <w:rFonts w:ascii="Arial" w:hAnsi="Arial" w:cs="Arial"/>
        </w:rPr>
        <w:t xml:space="preserve"> allocation</w:t>
      </w:r>
      <w:r w:rsidR="00747567" w:rsidRPr="002C7C5C">
        <w:rPr>
          <w:rFonts w:ascii="Arial" w:hAnsi="Arial" w:cs="Arial"/>
        </w:rPr>
        <w:t xml:space="preserve"> (funding) to </w:t>
      </w:r>
      <w:r w:rsidR="001C54F6" w:rsidRPr="002C7C5C">
        <w:rPr>
          <w:rFonts w:ascii="Arial" w:hAnsi="Arial" w:cs="Arial"/>
        </w:rPr>
        <w:t>maintain bridges in a serviceable and safe condition</w:t>
      </w:r>
      <w:r w:rsidR="006178FE" w:rsidRPr="002C7C5C">
        <w:rPr>
          <w:rFonts w:ascii="Arial" w:hAnsi="Arial" w:cs="Arial"/>
        </w:rPr>
        <w:t>. It is also a useful tool to quantify the benefits</w:t>
      </w:r>
      <w:r w:rsidR="00547895" w:rsidRPr="002C7C5C">
        <w:rPr>
          <w:rFonts w:ascii="Arial" w:hAnsi="Arial" w:cs="Arial"/>
        </w:rPr>
        <w:t xml:space="preserve"> and </w:t>
      </w:r>
      <w:r w:rsidR="00F516B1">
        <w:rPr>
          <w:rFonts w:ascii="Arial" w:hAnsi="Arial" w:cs="Arial"/>
        </w:rPr>
        <w:t xml:space="preserve">drawbacks </w:t>
      </w:r>
      <w:r w:rsidR="006178FE" w:rsidRPr="002C7C5C">
        <w:rPr>
          <w:rFonts w:ascii="Arial" w:hAnsi="Arial" w:cs="Arial"/>
        </w:rPr>
        <w:t xml:space="preserve">of </w:t>
      </w:r>
      <w:r w:rsidR="00415549">
        <w:rPr>
          <w:rFonts w:ascii="Arial" w:hAnsi="Arial" w:cs="Arial"/>
        </w:rPr>
        <w:t xml:space="preserve">a proposed </w:t>
      </w:r>
      <w:r w:rsidR="006178FE" w:rsidRPr="002C7C5C">
        <w:rPr>
          <w:rFonts w:ascii="Arial" w:hAnsi="Arial" w:cs="Arial"/>
        </w:rPr>
        <w:t>maintenance</w:t>
      </w:r>
      <w:r w:rsidR="00AB0BF1" w:rsidRPr="002C7C5C">
        <w:rPr>
          <w:rFonts w:ascii="Arial" w:hAnsi="Arial" w:cs="Arial"/>
        </w:rPr>
        <w:t xml:space="preserve"> </w:t>
      </w:r>
      <w:r w:rsidR="00415549">
        <w:rPr>
          <w:rFonts w:ascii="Arial" w:hAnsi="Arial" w:cs="Arial"/>
        </w:rPr>
        <w:t xml:space="preserve">programme </w:t>
      </w:r>
      <w:r w:rsidR="00AB0BF1" w:rsidRPr="002C7C5C">
        <w:rPr>
          <w:rFonts w:ascii="Arial" w:hAnsi="Arial" w:cs="Arial"/>
        </w:rPr>
        <w:t xml:space="preserve">and </w:t>
      </w:r>
      <w:r w:rsidR="009F0DD8">
        <w:rPr>
          <w:rFonts w:ascii="Arial" w:hAnsi="Arial" w:cs="Arial"/>
        </w:rPr>
        <w:t xml:space="preserve">to aid in </w:t>
      </w:r>
      <w:r w:rsidR="00AB0BF1" w:rsidRPr="002C7C5C">
        <w:rPr>
          <w:rFonts w:ascii="Arial" w:hAnsi="Arial" w:cs="Arial"/>
        </w:rPr>
        <w:t>putting a case forward for</w:t>
      </w:r>
      <w:r w:rsidR="00A54CF0">
        <w:rPr>
          <w:rFonts w:ascii="Arial" w:hAnsi="Arial" w:cs="Arial"/>
        </w:rPr>
        <w:t xml:space="preserve"> future</w:t>
      </w:r>
      <w:r w:rsidR="00AB0BF1" w:rsidRPr="002C7C5C">
        <w:rPr>
          <w:rFonts w:ascii="Arial" w:hAnsi="Arial" w:cs="Arial"/>
        </w:rPr>
        <w:t xml:space="preserve"> funding</w:t>
      </w:r>
      <w:r w:rsidR="00187C56" w:rsidRPr="002C7C5C">
        <w:rPr>
          <w:rFonts w:ascii="Arial" w:hAnsi="Arial" w:cs="Arial"/>
        </w:rPr>
        <w:t xml:space="preserve"> allocations</w:t>
      </w:r>
      <w:r w:rsidR="005B1477" w:rsidRPr="002C7C5C">
        <w:rPr>
          <w:rFonts w:ascii="Arial" w:hAnsi="Arial" w:cs="Arial"/>
        </w:rPr>
        <w:t>. (Frango</w:t>
      </w:r>
      <w:r w:rsidR="008C2733" w:rsidRPr="002C7C5C">
        <w:rPr>
          <w:rFonts w:ascii="Arial" w:hAnsi="Arial" w:cs="Arial"/>
        </w:rPr>
        <w:t xml:space="preserve">pol &amp; Kim, </w:t>
      </w:r>
      <w:r w:rsidR="00E43540" w:rsidRPr="002C7C5C">
        <w:rPr>
          <w:rFonts w:ascii="Arial" w:hAnsi="Arial" w:cs="Arial"/>
        </w:rPr>
        <w:t>2014)</w:t>
      </w:r>
    </w:p>
    <w:p w14:paraId="186E9F8E" w14:textId="58929954" w:rsidR="009C6EEC" w:rsidRDefault="00F1413E" w:rsidP="004A2DD4">
      <w:pPr>
        <w:shd w:val="clear" w:color="auto" w:fill="FFFFFF"/>
        <w:spacing w:line="360" w:lineRule="auto"/>
        <w:jc w:val="both"/>
        <w:textAlignment w:val="baseline"/>
        <w:rPr>
          <w:rFonts w:ascii="Arial" w:hAnsi="Arial" w:cs="Arial"/>
        </w:rPr>
      </w:pPr>
      <w:r w:rsidRPr="008E3357">
        <w:rPr>
          <w:rFonts w:ascii="Arial" w:hAnsi="Arial" w:cs="Arial"/>
        </w:rPr>
        <w:t xml:space="preserve">The main </w:t>
      </w:r>
      <w:r w:rsidR="00E52FE3">
        <w:rPr>
          <w:rFonts w:ascii="Arial" w:hAnsi="Arial" w:cs="Arial"/>
        </w:rPr>
        <w:t>outputs</w:t>
      </w:r>
      <w:r w:rsidR="007C18A2">
        <w:rPr>
          <w:rFonts w:ascii="Arial" w:hAnsi="Arial" w:cs="Arial"/>
        </w:rPr>
        <w:t xml:space="preserve"> </w:t>
      </w:r>
      <w:r w:rsidRPr="008E3357">
        <w:rPr>
          <w:rFonts w:ascii="Arial" w:hAnsi="Arial" w:cs="Arial"/>
        </w:rPr>
        <w:t xml:space="preserve">from </w:t>
      </w:r>
      <w:r w:rsidR="00521138" w:rsidRPr="008E3357">
        <w:rPr>
          <w:rFonts w:ascii="Arial" w:hAnsi="Arial" w:cs="Arial"/>
        </w:rPr>
        <w:t>life cycle</w:t>
      </w:r>
      <w:r w:rsidR="00A26654" w:rsidRPr="008E3357">
        <w:rPr>
          <w:rFonts w:ascii="Arial" w:hAnsi="Arial" w:cs="Arial"/>
        </w:rPr>
        <w:t xml:space="preserve"> </w:t>
      </w:r>
      <w:r w:rsidR="00521138" w:rsidRPr="008E3357">
        <w:rPr>
          <w:rFonts w:ascii="Arial" w:hAnsi="Arial" w:cs="Arial"/>
        </w:rPr>
        <w:t>planning include</w:t>
      </w:r>
      <w:r w:rsidR="004C1702">
        <w:rPr>
          <w:rFonts w:ascii="Arial" w:hAnsi="Arial" w:cs="Arial"/>
        </w:rPr>
        <w:t>,</w:t>
      </w:r>
      <w:r w:rsidR="00521138" w:rsidRPr="008E3357">
        <w:rPr>
          <w:rFonts w:ascii="Arial" w:hAnsi="Arial" w:cs="Arial"/>
        </w:rPr>
        <w:t xml:space="preserve"> </w:t>
      </w:r>
      <w:r w:rsidR="00356963" w:rsidRPr="008E3357">
        <w:rPr>
          <w:rFonts w:ascii="Arial" w:hAnsi="Arial" w:cs="Arial"/>
        </w:rPr>
        <w:t xml:space="preserve">expected total expenditure </w:t>
      </w:r>
      <w:r w:rsidR="00A83588" w:rsidRPr="008E3357">
        <w:rPr>
          <w:rFonts w:ascii="Arial" w:hAnsi="Arial" w:cs="Arial"/>
        </w:rPr>
        <w:t xml:space="preserve">required for bridge maintenance and repairs </w:t>
      </w:r>
      <w:r w:rsidR="00A26654" w:rsidRPr="008E3357">
        <w:rPr>
          <w:rFonts w:ascii="Arial" w:hAnsi="Arial" w:cs="Arial"/>
        </w:rPr>
        <w:t xml:space="preserve">for the </w:t>
      </w:r>
      <w:r w:rsidR="00A54CF0">
        <w:rPr>
          <w:rFonts w:ascii="Arial" w:hAnsi="Arial" w:cs="Arial"/>
        </w:rPr>
        <w:t xml:space="preserve">remaining </w:t>
      </w:r>
      <w:r w:rsidR="00A26654" w:rsidRPr="008E3357">
        <w:rPr>
          <w:rFonts w:ascii="Arial" w:hAnsi="Arial" w:cs="Arial"/>
        </w:rPr>
        <w:t xml:space="preserve">life of the asset; </w:t>
      </w:r>
      <w:r w:rsidR="008D4C5B" w:rsidRPr="008E3357">
        <w:rPr>
          <w:rFonts w:ascii="Arial" w:hAnsi="Arial" w:cs="Arial"/>
        </w:rPr>
        <w:t>identif</w:t>
      </w:r>
      <w:r w:rsidR="003560DD">
        <w:rPr>
          <w:rFonts w:ascii="Arial" w:hAnsi="Arial" w:cs="Arial"/>
        </w:rPr>
        <w:t>ication</w:t>
      </w:r>
      <w:r w:rsidR="008D4C5B" w:rsidRPr="008E3357">
        <w:rPr>
          <w:rFonts w:ascii="Arial" w:hAnsi="Arial" w:cs="Arial"/>
        </w:rPr>
        <w:t xml:space="preserve"> </w:t>
      </w:r>
      <w:r w:rsidR="00AC264A">
        <w:rPr>
          <w:rFonts w:ascii="Arial" w:hAnsi="Arial" w:cs="Arial"/>
        </w:rPr>
        <w:t xml:space="preserve">of </w:t>
      </w:r>
      <w:r w:rsidR="008D4C5B" w:rsidRPr="008E3357">
        <w:rPr>
          <w:rFonts w:ascii="Arial" w:hAnsi="Arial" w:cs="Arial"/>
        </w:rPr>
        <w:t>the most cost</w:t>
      </w:r>
      <w:r w:rsidR="00483905" w:rsidRPr="008E3357">
        <w:rPr>
          <w:rFonts w:ascii="Arial" w:hAnsi="Arial" w:cs="Arial"/>
        </w:rPr>
        <w:t>-</w:t>
      </w:r>
      <w:r w:rsidR="008D4C5B" w:rsidRPr="008E3357">
        <w:rPr>
          <w:rFonts w:ascii="Arial" w:hAnsi="Arial" w:cs="Arial"/>
        </w:rPr>
        <w:t>effect</w:t>
      </w:r>
      <w:r w:rsidR="007C0807" w:rsidRPr="008E3357">
        <w:rPr>
          <w:rFonts w:ascii="Arial" w:hAnsi="Arial" w:cs="Arial"/>
        </w:rPr>
        <w:t>ive</w:t>
      </w:r>
      <w:r w:rsidR="008D4C5B" w:rsidRPr="008E3357">
        <w:rPr>
          <w:rFonts w:ascii="Arial" w:hAnsi="Arial" w:cs="Arial"/>
        </w:rPr>
        <w:t xml:space="preserve"> </w:t>
      </w:r>
      <w:r w:rsidR="00D10463" w:rsidRPr="008E3357">
        <w:rPr>
          <w:rFonts w:ascii="Arial" w:hAnsi="Arial" w:cs="Arial"/>
        </w:rPr>
        <w:t>type of maintenance</w:t>
      </w:r>
      <w:r w:rsidR="00794353">
        <w:rPr>
          <w:rFonts w:ascii="Arial" w:hAnsi="Arial" w:cs="Arial"/>
        </w:rPr>
        <w:t>,</w:t>
      </w:r>
      <w:r w:rsidR="00D10463" w:rsidRPr="008E3357">
        <w:rPr>
          <w:rFonts w:ascii="Arial" w:hAnsi="Arial" w:cs="Arial"/>
        </w:rPr>
        <w:t xml:space="preserve"> and period </w:t>
      </w:r>
      <w:r w:rsidR="00C461F6" w:rsidRPr="008E3357">
        <w:rPr>
          <w:rFonts w:ascii="Arial" w:hAnsi="Arial" w:cs="Arial"/>
        </w:rPr>
        <w:t>to undertake</w:t>
      </w:r>
      <w:r w:rsidR="007C0FFD" w:rsidRPr="008E3357">
        <w:rPr>
          <w:rFonts w:ascii="Arial" w:hAnsi="Arial" w:cs="Arial"/>
        </w:rPr>
        <w:t xml:space="preserve"> </w:t>
      </w:r>
      <w:r w:rsidR="00C461F6" w:rsidRPr="008E3357">
        <w:rPr>
          <w:rFonts w:ascii="Arial" w:hAnsi="Arial" w:cs="Arial"/>
        </w:rPr>
        <w:t>maintenance</w:t>
      </w:r>
      <w:r w:rsidR="007A4C0F" w:rsidRPr="008E3357">
        <w:rPr>
          <w:rFonts w:ascii="Arial" w:hAnsi="Arial" w:cs="Arial"/>
        </w:rPr>
        <w:t>;</w:t>
      </w:r>
      <w:r w:rsidR="00E2469B">
        <w:rPr>
          <w:rFonts w:ascii="Arial" w:hAnsi="Arial" w:cs="Arial"/>
        </w:rPr>
        <w:t xml:space="preserve"> </w:t>
      </w:r>
      <w:r w:rsidR="000B18AC" w:rsidRPr="008E3357">
        <w:rPr>
          <w:rFonts w:ascii="Arial" w:hAnsi="Arial" w:cs="Arial"/>
        </w:rPr>
        <w:t xml:space="preserve">and remaining service life of the </w:t>
      </w:r>
      <w:r w:rsidR="004C1702">
        <w:rPr>
          <w:rFonts w:ascii="Arial" w:hAnsi="Arial" w:cs="Arial"/>
        </w:rPr>
        <w:t>structure</w:t>
      </w:r>
      <w:r w:rsidR="009C6EEC">
        <w:rPr>
          <w:rFonts w:ascii="Arial" w:hAnsi="Arial" w:cs="Arial"/>
        </w:rPr>
        <w:t>.</w:t>
      </w:r>
      <w:r w:rsidR="000B18AC" w:rsidRPr="008E3357">
        <w:rPr>
          <w:rFonts w:ascii="Arial" w:hAnsi="Arial" w:cs="Arial"/>
        </w:rPr>
        <w:t xml:space="preserve"> </w:t>
      </w:r>
      <w:r w:rsidR="009C6EEC" w:rsidRPr="002C7C5C">
        <w:rPr>
          <w:rFonts w:ascii="Arial" w:hAnsi="Arial" w:cs="Arial"/>
        </w:rPr>
        <w:t>(Frangopol &amp; Kim, 2014)</w:t>
      </w:r>
    </w:p>
    <w:p w14:paraId="691BAEED" w14:textId="27913F86" w:rsidR="008A5752" w:rsidRPr="002C7C5C" w:rsidRDefault="00E2469B" w:rsidP="004A2DD4">
      <w:pPr>
        <w:shd w:val="clear" w:color="auto" w:fill="FFFFFF"/>
        <w:spacing w:line="360" w:lineRule="auto"/>
        <w:jc w:val="both"/>
        <w:textAlignment w:val="baseline"/>
        <w:rPr>
          <w:rFonts w:ascii="Arial" w:hAnsi="Arial" w:cs="Arial"/>
        </w:rPr>
      </w:pPr>
      <w:r>
        <w:rPr>
          <w:rFonts w:ascii="Arial" w:hAnsi="Arial" w:cs="Arial"/>
        </w:rPr>
        <w:t xml:space="preserve">Maintenance can </w:t>
      </w:r>
      <w:r w:rsidR="0045772F">
        <w:rPr>
          <w:rFonts w:ascii="Arial" w:hAnsi="Arial" w:cs="Arial"/>
        </w:rPr>
        <w:t xml:space="preserve">be </w:t>
      </w:r>
      <w:r>
        <w:rPr>
          <w:rFonts w:ascii="Arial" w:hAnsi="Arial" w:cs="Arial"/>
        </w:rPr>
        <w:t xml:space="preserve">categorised as either preventative or </w:t>
      </w:r>
      <w:r w:rsidR="004D3813">
        <w:rPr>
          <w:rFonts w:ascii="Arial" w:hAnsi="Arial" w:cs="Arial"/>
        </w:rPr>
        <w:t>essential.</w:t>
      </w:r>
      <w:r w:rsidR="002A2CD2">
        <w:rPr>
          <w:rFonts w:ascii="Arial" w:hAnsi="Arial" w:cs="Arial"/>
        </w:rPr>
        <w:t xml:space="preserve"> Essential maintenance is the minimum maintenance </w:t>
      </w:r>
      <w:r w:rsidR="00FD56C6">
        <w:rPr>
          <w:rFonts w:ascii="Arial" w:hAnsi="Arial" w:cs="Arial"/>
        </w:rPr>
        <w:t>required</w:t>
      </w:r>
      <w:r w:rsidR="002A2CD2">
        <w:rPr>
          <w:rFonts w:ascii="Arial" w:hAnsi="Arial" w:cs="Arial"/>
        </w:rPr>
        <w:t xml:space="preserve"> to </w:t>
      </w:r>
      <w:r w:rsidR="006930B5">
        <w:rPr>
          <w:rFonts w:ascii="Arial" w:hAnsi="Arial" w:cs="Arial"/>
        </w:rPr>
        <w:t xml:space="preserve">ensure the bridge remains safe and serviceable for the life of the asset. Preventative maintenance </w:t>
      </w:r>
      <w:r w:rsidR="00646870">
        <w:rPr>
          <w:rFonts w:ascii="Arial" w:hAnsi="Arial" w:cs="Arial"/>
        </w:rPr>
        <w:t xml:space="preserve">is </w:t>
      </w:r>
      <w:r w:rsidR="00E7304A">
        <w:rPr>
          <w:rFonts w:ascii="Arial" w:hAnsi="Arial" w:cs="Arial"/>
        </w:rPr>
        <w:t>intended to delay on-set deterioration</w:t>
      </w:r>
      <w:r w:rsidR="00B41FEA">
        <w:rPr>
          <w:rFonts w:ascii="Arial" w:hAnsi="Arial" w:cs="Arial"/>
        </w:rPr>
        <w:t xml:space="preserve"> for example</w:t>
      </w:r>
      <w:r w:rsidR="004D431F">
        <w:rPr>
          <w:rFonts w:ascii="Arial" w:hAnsi="Arial" w:cs="Arial"/>
        </w:rPr>
        <w:t xml:space="preserve"> through</w:t>
      </w:r>
      <w:r w:rsidR="00B41FEA">
        <w:rPr>
          <w:rFonts w:ascii="Arial" w:hAnsi="Arial" w:cs="Arial"/>
        </w:rPr>
        <w:t xml:space="preserve"> the application of </w:t>
      </w:r>
      <w:r w:rsidR="00497E75">
        <w:rPr>
          <w:rFonts w:ascii="Arial" w:hAnsi="Arial" w:cs="Arial"/>
        </w:rPr>
        <w:t>silane</w:t>
      </w:r>
      <w:r w:rsidR="007A6746">
        <w:rPr>
          <w:rFonts w:ascii="Arial" w:hAnsi="Arial" w:cs="Arial"/>
        </w:rPr>
        <w:t>s</w:t>
      </w:r>
      <w:r w:rsidR="00497E75">
        <w:rPr>
          <w:rFonts w:ascii="Arial" w:hAnsi="Arial" w:cs="Arial"/>
        </w:rPr>
        <w:t xml:space="preserve"> or sealers </w:t>
      </w:r>
      <w:r w:rsidR="007A6746">
        <w:rPr>
          <w:rFonts w:ascii="Arial" w:hAnsi="Arial" w:cs="Arial"/>
        </w:rPr>
        <w:t>on the surface of</w:t>
      </w:r>
      <w:r w:rsidR="00497E75">
        <w:rPr>
          <w:rFonts w:ascii="Arial" w:hAnsi="Arial" w:cs="Arial"/>
        </w:rPr>
        <w:t xml:space="preserve"> reinforced concrete </w:t>
      </w:r>
      <w:r w:rsidR="00E17585">
        <w:rPr>
          <w:rFonts w:ascii="Arial" w:hAnsi="Arial" w:cs="Arial"/>
        </w:rPr>
        <w:t>structures</w:t>
      </w:r>
      <w:r w:rsidR="00794353">
        <w:rPr>
          <w:rFonts w:ascii="Arial" w:hAnsi="Arial" w:cs="Arial"/>
        </w:rPr>
        <w:t>,</w:t>
      </w:r>
      <w:r w:rsidR="00E17585">
        <w:rPr>
          <w:rFonts w:ascii="Arial" w:hAnsi="Arial" w:cs="Arial"/>
        </w:rPr>
        <w:t xml:space="preserve"> </w:t>
      </w:r>
      <w:r w:rsidR="004D431F">
        <w:rPr>
          <w:rFonts w:ascii="Arial" w:hAnsi="Arial" w:cs="Arial"/>
        </w:rPr>
        <w:t xml:space="preserve">or </w:t>
      </w:r>
      <w:r w:rsidR="00DF14DE">
        <w:rPr>
          <w:rFonts w:ascii="Arial" w:hAnsi="Arial" w:cs="Arial"/>
        </w:rPr>
        <w:t xml:space="preserve">the </w:t>
      </w:r>
      <w:r w:rsidR="007A6746">
        <w:rPr>
          <w:rFonts w:ascii="Arial" w:hAnsi="Arial" w:cs="Arial"/>
        </w:rPr>
        <w:t xml:space="preserve">installation of </w:t>
      </w:r>
      <w:r w:rsidR="004D431F">
        <w:rPr>
          <w:rFonts w:ascii="Arial" w:hAnsi="Arial" w:cs="Arial"/>
        </w:rPr>
        <w:t>cathodic protection</w:t>
      </w:r>
      <w:r w:rsidR="00F60B73">
        <w:rPr>
          <w:rFonts w:ascii="Arial" w:hAnsi="Arial" w:cs="Arial"/>
        </w:rPr>
        <w:t xml:space="preserve"> systems</w:t>
      </w:r>
      <w:r w:rsidR="00E7304A">
        <w:rPr>
          <w:rFonts w:ascii="Arial" w:hAnsi="Arial" w:cs="Arial"/>
        </w:rPr>
        <w:t xml:space="preserve">. </w:t>
      </w:r>
      <w:r w:rsidR="00E4677F">
        <w:rPr>
          <w:rFonts w:ascii="Arial" w:hAnsi="Arial" w:cs="Arial"/>
        </w:rPr>
        <w:t>(Tantele</w:t>
      </w:r>
      <w:r w:rsidR="00F27D9E">
        <w:rPr>
          <w:rFonts w:ascii="Arial" w:hAnsi="Arial" w:cs="Arial"/>
        </w:rPr>
        <w:t xml:space="preserve"> et al</w:t>
      </w:r>
      <w:r w:rsidR="00BA5F5D">
        <w:rPr>
          <w:rFonts w:ascii="Arial" w:hAnsi="Arial" w:cs="Arial"/>
        </w:rPr>
        <w:t>.</w:t>
      </w:r>
      <w:r w:rsidR="00F60B73">
        <w:rPr>
          <w:rFonts w:ascii="Arial" w:hAnsi="Arial" w:cs="Arial"/>
        </w:rPr>
        <w:t>, 2005)</w:t>
      </w:r>
    </w:p>
    <w:p w14:paraId="6677976B" w14:textId="66EBBE49" w:rsidR="007A4C0F" w:rsidRPr="008E3357" w:rsidRDefault="007A4C0F" w:rsidP="00580398">
      <w:pPr>
        <w:shd w:val="clear" w:color="auto" w:fill="FFFFFF"/>
        <w:spacing w:line="360" w:lineRule="auto"/>
        <w:textAlignment w:val="baseline"/>
        <w:rPr>
          <w:rFonts w:ascii="Arial" w:hAnsi="Arial" w:cs="Arial"/>
        </w:rPr>
      </w:pPr>
    </w:p>
    <w:p w14:paraId="0E4A8A40" w14:textId="3BB44655" w:rsidR="00886359" w:rsidRPr="00777A8E" w:rsidRDefault="006E5174" w:rsidP="00D45537">
      <w:pPr>
        <w:pStyle w:val="Heading1"/>
        <w:numPr>
          <w:ilvl w:val="0"/>
          <w:numId w:val="0"/>
        </w:numPr>
        <w:spacing w:after="240"/>
        <w:ind w:left="432" w:hanging="432"/>
        <w:rPr>
          <w:rFonts w:ascii="Arial" w:eastAsia="Times New Roman" w:hAnsi="Arial" w:cs="Arial"/>
          <w:b/>
          <w:bCs/>
          <w:color w:val="auto"/>
          <w:sz w:val="28"/>
          <w:szCs w:val="28"/>
          <w:lang w:eastAsia="en-GB"/>
        </w:rPr>
      </w:pPr>
      <w:bookmarkStart w:id="4" w:name="_Toc66868880"/>
      <w:r w:rsidRPr="00777A8E">
        <w:rPr>
          <w:rFonts w:ascii="Arial" w:eastAsia="Times New Roman" w:hAnsi="Arial" w:cs="Arial"/>
          <w:b/>
          <w:bCs/>
          <w:color w:val="auto"/>
          <w:sz w:val="28"/>
          <w:szCs w:val="28"/>
          <w:lang w:eastAsia="en-GB"/>
        </w:rPr>
        <w:t xml:space="preserve">Chapter 2: </w:t>
      </w:r>
      <w:r w:rsidR="0024047C" w:rsidRPr="00777A8E">
        <w:rPr>
          <w:rFonts w:ascii="Arial" w:eastAsia="Times New Roman" w:hAnsi="Arial" w:cs="Arial"/>
          <w:b/>
          <w:bCs/>
          <w:color w:val="auto"/>
          <w:sz w:val="28"/>
          <w:szCs w:val="28"/>
          <w:lang w:eastAsia="en-GB"/>
        </w:rPr>
        <w:t>Research</w:t>
      </w:r>
      <w:r w:rsidR="003F621E" w:rsidRPr="00777A8E">
        <w:rPr>
          <w:rFonts w:ascii="Arial" w:eastAsia="Times New Roman" w:hAnsi="Arial" w:cs="Arial"/>
          <w:b/>
          <w:bCs/>
          <w:color w:val="auto"/>
          <w:sz w:val="28"/>
          <w:szCs w:val="28"/>
          <w:lang w:eastAsia="en-GB"/>
        </w:rPr>
        <w:t xml:space="preserve"> Overview</w:t>
      </w:r>
      <w:bookmarkEnd w:id="4"/>
      <w:r w:rsidR="0024047C" w:rsidRPr="00777A8E">
        <w:rPr>
          <w:rFonts w:ascii="Arial" w:eastAsia="Times New Roman" w:hAnsi="Arial" w:cs="Arial"/>
          <w:b/>
          <w:bCs/>
          <w:color w:val="auto"/>
          <w:sz w:val="28"/>
          <w:szCs w:val="28"/>
          <w:lang w:eastAsia="en-GB"/>
        </w:rPr>
        <w:t xml:space="preserve"> </w:t>
      </w:r>
    </w:p>
    <w:p w14:paraId="2BE1DF0C" w14:textId="77777777" w:rsidR="00A675F5" w:rsidRPr="00A675F5" w:rsidRDefault="00A675F5" w:rsidP="00D45537">
      <w:pPr>
        <w:pStyle w:val="ListParagraph"/>
        <w:keepNext/>
        <w:keepLines/>
        <w:numPr>
          <w:ilvl w:val="0"/>
          <w:numId w:val="3"/>
        </w:numPr>
        <w:spacing w:before="240" w:after="240"/>
        <w:contextualSpacing w:val="0"/>
        <w:outlineLvl w:val="0"/>
        <w:rPr>
          <w:rFonts w:asciiTheme="majorHAnsi" w:eastAsia="Times New Roman" w:hAnsiTheme="majorHAnsi" w:cstheme="majorBidi"/>
          <w:vanish/>
          <w:color w:val="1A0FA4" w:themeColor="accent1" w:themeShade="BF"/>
          <w:sz w:val="32"/>
          <w:szCs w:val="32"/>
          <w:lang w:eastAsia="en-GB"/>
        </w:rPr>
      </w:pPr>
      <w:bookmarkStart w:id="5" w:name="_Toc65785438"/>
      <w:bookmarkStart w:id="6" w:name="_Toc65785521"/>
      <w:bookmarkStart w:id="7" w:name="_Toc66002688"/>
      <w:bookmarkStart w:id="8" w:name="_Toc66002965"/>
      <w:bookmarkStart w:id="9" w:name="_Toc66007656"/>
      <w:bookmarkStart w:id="10" w:name="_Toc66007838"/>
      <w:bookmarkStart w:id="11" w:name="_Toc66007943"/>
      <w:bookmarkStart w:id="12" w:name="_Toc66015440"/>
      <w:bookmarkStart w:id="13" w:name="_Toc66034086"/>
      <w:bookmarkStart w:id="14" w:name="_Toc66636351"/>
      <w:bookmarkStart w:id="15" w:name="_Toc66868881"/>
      <w:bookmarkEnd w:id="5"/>
      <w:bookmarkEnd w:id="6"/>
      <w:bookmarkEnd w:id="7"/>
      <w:bookmarkEnd w:id="8"/>
      <w:bookmarkEnd w:id="9"/>
      <w:bookmarkEnd w:id="10"/>
      <w:bookmarkEnd w:id="11"/>
      <w:bookmarkEnd w:id="12"/>
      <w:bookmarkEnd w:id="13"/>
      <w:bookmarkEnd w:id="14"/>
      <w:bookmarkEnd w:id="15"/>
    </w:p>
    <w:p w14:paraId="1AEA0355" w14:textId="388D9D8C" w:rsidR="0024047C" w:rsidRPr="00E6059A" w:rsidRDefault="0024047C" w:rsidP="00D45537">
      <w:pPr>
        <w:pStyle w:val="Heading2"/>
        <w:spacing w:after="240"/>
        <w:rPr>
          <w:rFonts w:ascii="Arial" w:eastAsia="Times New Roman" w:hAnsi="Arial" w:cs="Arial"/>
          <w:b/>
          <w:bCs/>
          <w:color w:val="auto"/>
          <w:sz w:val="24"/>
          <w:szCs w:val="24"/>
          <w:lang w:eastAsia="en-GB"/>
        </w:rPr>
      </w:pPr>
      <w:bookmarkStart w:id="16" w:name="_Toc66868882"/>
      <w:r w:rsidRPr="00E6059A">
        <w:rPr>
          <w:rFonts w:ascii="Arial" w:eastAsia="Times New Roman" w:hAnsi="Arial" w:cs="Arial"/>
          <w:b/>
          <w:bCs/>
          <w:color w:val="auto"/>
          <w:sz w:val="24"/>
          <w:szCs w:val="24"/>
          <w:lang w:eastAsia="en-GB"/>
        </w:rPr>
        <w:t>Aim</w:t>
      </w:r>
      <w:bookmarkEnd w:id="16"/>
    </w:p>
    <w:p w14:paraId="1E8EA3E8" w14:textId="1EFDCC78" w:rsidR="0024047C" w:rsidRDefault="0024047C" w:rsidP="004A2DD4">
      <w:pPr>
        <w:spacing w:line="360" w:lineRule="auto"/>
        <w:jc w:val="both"/>
        <w:rPr>
          <w:rFonts w:ascii="Arial" w:hAnsi="Arial" w:cs="Arial"/>
        </w:rPr>
      </w:pPr>
      <w:r w:rsidRPr="003E6A7E">
        <w:rPr>
          <w:rFonts w:ascii="Arial" w:hAnsi="Arial" w:cs="Arial"/>
        </w:rPr>
        <w:t xml:space="preserve">The aim of this study is to </w:t>
      </w:r>
      <w:r w:rsidR="00804C83">
        <w:rPr>
          <w:rFonts w:ascii="Arial" w:hAnsi="Arial" w:cs="Arial"/>
        </w:rPr>
        <w:t>propose</w:t>
      </w:r>
      <w:r w:rsidR="00804C83" w:rsidRPr="003E6A7E">
        <w:rPr>
          <w:rFonts w:ascii="Arial" w:hAnsi="Arial" w:cs="Arial"/>
        </w:rPr>
        <w:t xml:space="preserve"> </w:t>
      </w:r>
      <w:r w:rsidRPr="003E6A7E">
        <w:rPr>
          <w:rFonts w:ascii="Arial" w:hAnsi="Arial" w:cs="Arial"/>
        </w:rPr>
        <w:t xml:space="preserve">a new methodology to inform maintenance decisions and budget requirements for bridges considering whole life costs and carbon emissions. </w:t>
      </w:r>
    </w:p>
    <w:p w14:paraId="6132AE75" w14:textId="77777777" w:rsidR="0024047C" w:rsidRPr="00EB148F" w:rsidRDefault="0024047C" w:rsidP="00E811C8">
      <w:pPr>
        <w:pStyle w:val="Heading2"/>
        <w:spacing w:after="240"/>
        <w:rPr>
          <w:rFonts w:ascii="Arial" w:eastAsia="Times New Roman" w:hAnsi="Arial" w:cs="Arial"/>
          <w:b/>
          <w:bCs/>
          <w:color w:val="auto"/>
          <w:sz w:val="24"/>
          <w:szCs w:val="24"/>
          <w:lang w:eastAsia="en-GB"/>
        </w:rPr>
      </w:pPr>
      <w:bookmarkStart w:id="17" w:name="_Toc66868883"/>
      <w:r w:rsidRPr="00EB148F">
        <w:rPr>
          <w:rFonts w:ascii="Arial" w:eastAsia="Times New Roman" w:hAnsi="Arial" w:cs="Arial"/>
          <w:b/>
          <w:bCs/>
          <w:color w:val="auto"/>
          <w:sz w:val="24"/>
          <w:szCs w:val="24"/>
          <w:lang w:eastAsia="en-GB"/>
        </w:rPr>
        <w:t>Purpose</w:t>
      </w:r>
      <w:bookmarkEnd w:id="17"/>
    </w:p>
    <w:p w14:paraId="705B9AAA" w14:textId="0A3ECB14" w:rsidR="0024047C" w:rsidRPr="00100040" w:rsidRDefault="0024047C" w:rsidP="004A2DD4">
      <w:pPr>
        <w:spacing w:line="360" w:lineRule="auto"/>
        <w:jc w:val="both"/>
        <w:rPr>
          <w:rFonts w:ascii="Arial" w:hAnsi="Arial" w:cs="Arial"/>
        </w:rPr>
      </w:pPr>
      <w:r w:rsidRPr="00100040">
        <w:rPr>
          <w:rFonts w:ascii="Arial" w:hAnsi="Arial" w:cs="Arial"/>
        </w:rPr>
        <w:t>The</w:t>
      </w:r>
      <w:r>
        <w:rPr>
          <w:rFonts w:ascii="Arial" w:hAnsi="Arial" w:cs="Arial"/>
        </w:rPr>
        <w:t>re</w:t>
      </w:r>
      <w:r w:rsidRPr="00100040">
        <w:rPr>
          <w:rFonts w:ascii="Arial" w:hAnsi="Arial" w:cs="Arial"/>
        </w:rPr>
        <w:t xml:space="preserve"> is a common theme within the literature that urgent action is </w:t>
      </w:r>
      <w:r w:rsidR="00B34B73">
        <w:rPr>
          <w:rFonts w:ascii="Arial" w:hAnsi="Arial" w:cs="Arial"/>
        </w:rPr>
        <w:t>required</w:t>
      </w:r>
      <w:r w:rsidRPr="00100040">
        <w:rPr>
          <w:rFonts w:ascii="Arial" w:hAnsi="Arial" w:cs="Arial"/>
        </w:rPr>
        <w:t xml:space="preserve"> to </w:t>
      </w:r>
      <w:r>
        <w:rPr>
          <w:rFonts w:ascii="Arial" w:hAnsi="Arial" w:cs="Arial"/>
        </w:rPr>
        <w:t xml:space="preserve">tackle </w:t>
      </w:r>
      <w:r w:rsidRPr="00100040">
        <w:rPr>
          <w:rFonts w:ascii="Arial" w:hAnsi="Arial" w:cs="Arial"/>
        </w:rPr>
        <w:t xml:space="preserve">climate change. It is also </w:t>
      </w:r>
      <w:r>
        <w:rPr>
          <w:rFonts w:ascii="Arial" w:hAnsi="Arial" w:cs="Arial"/>
        </w:rPr>
        <w:t>evident</w:t>
      </w:r>
      <w:r w:rsidRPr="00100040">
        <w:rPr>
          <w:rFonts w:ascii="Arial" w:hAnsi="Arial" w:cs="Arial"/>
        </w:rPr>
        <w:t xml:space="preserve"> that there is also a lack of guidance and good practise guides </w:t>
      </w:r>
      <w:r w:rsidR="00860D85">
        <w:rPr>
          <w:rFonts w:ascii="Arial" w:hAnsi="Arial" w:cs="Arial"/>
        </w:rPr>
        <w:t>for</w:t>
      </w:r>
      <w:r w:rsidR="00860D85" w:rsidRPr="00100040">
        <w:rPr>
          <w:rFonts w:ascii="Arial" w:hAnsi="Arial" w:cs="Arial"/>
        </w:rPr>
        <w:t xml:space="preserve"> </w:t>
      </w:r>
      <w:r w:rsidRPr="00100040">
        <w:rPr>
          <w:rFonts w:ascii="Arial" w:hAnsi="Arial" w:cs="Arial"/>
        </w:rPr>
        <w:t>delivering sustainable bridge management</w:t>
      </w:r>
      <w:r>
        <w:rPr>
          <w:rFonts w:ascii="Arial" w:hAnsi="Arial" w:cs="Arial"/>
        </w:rPr>
        <w:t xml:space="preserve"> and a subsequent lack of consensus within the industry</w:t>
      </w:r>
      <w:r w:rsidRPr="00100040">
        <w:rPr>
          <w:rFonts w:ascii="Arial" w:hAnsi="Arial" w:cs="Arial"/>
        </w:rPr>
        <w:t>. A paper undertaken by Zhang (20</w:t>
      </w:r>
      <w:r>
        <w:rPr>
          <w:rFonts w:ascii="Arial" w:hAnsi="Arial" w:cs="Arial"/>
        </w:rPr>
        <w:t>1</w:t>
      </w:r>
      <w:r w:rsidRPr="00100040">
        <w:rPr>
          <w:rFonts w:ascii="Arial" w:hAnsi="Arial" w:cs="Arial"/>
        </w:rPr>
        <w:t xml:space="preserve">0) concluded that ‘’application-oriented research is required to develop best practise guides’’. This study will aim to </w:t>
      </w:r>
      <w:r w:rsidR="00753579">
        <w:rPr>
          <w:rFonts w:ascii="Arial" w:hAnsi="Arial" w:cs="Arial"/>
        </w:rPr>
        <w:t>utilise</w:t>
      </w:r>
      <w:r w:rsidR="00753579" w:rsidRPr="00100040">
        <w:rPr>
          <w:rFonts w:ascii="Arial" w:hAnsi="Arial" w:cs="Arial"/>
        </w:rPr>
        <w:t xml:space="preserve"> </w:t>
      </w:r>
      <w:r w:rsidRPr="00100040">
        <w:rPr>
          <w:rFonts w:ascii="Arial" w:hAnsi="Arial" w:cs="Arial"/>
        </w:rPr>
        <w:t xml:space="preserve">current tools (applications) available and develop a new methodology to support bridge management </w:t>
      </w:r>
      <w:r>
        <w:rPr>
          <w:rFonts w:ascii="Arial" w:hAnsi="Arial" w:cs="Arial"/>
        </w:rPr>
        <w:t xml:space="preserve">and maintenance </w:t>
      </w:r>
      <w:r w:rsidRPr="00100040">
        <w:rPr>
          <w:rFonts w:ascii="Arial" w:hAnsi="Arial" w:cs="Arial"/>
        </w:rPr>
        <w:t>decisions</w:t>
      </w:r>
      <w:r w:rsidR="005717D4">
        <w:rPr>
          <w:rFonts w:ascii="Arial" w:hAnsi="Arial" w:cs="Arial"/>
        </w:rPr>
        <w:t xml:space="preserve"> and inform budget requirements</w:t>
      </w:r>
      <w:r w:rsidRPr="00100040">
        <w:rPr>
          <w:rFonts w:ascii="Arial" w:hAnsi="Arial" w:cs="Arial"/>
        </w:rPr>
        <w:t>.</w:t>
      </w:r>
    </w:p>
    <w:p w14:paraId="054955A3" w14:textId="77777777" w:rsidR="0024047C" w:rsidRPr="00EB148F" w:rsidRDefault="0024047C" w:rsidP="00E811C8">
      <w:pPr>
        <w:pStyle w:val="Heading2"/>
        <w:spacing w:after="240"/>
        <w:rPr>
          <w:rFonts w:ascii="Arial" w:eastAsia="Times New Roman" w:hAnsi="Arial" w:cs="Arial"/>
          <w:b/>
          <w:bCs/>
          <w:color w:val="auto"/>
          <w:sz w:val="24"/>
          <w:szCs w:val="24"/>
          <w:lang w:eastAsia="en-GB"/>
        </w:rPr>
      </w:pPr>
      <w:bookmarkStart w:id="18" w:name="_Toc66868884"/>
      <w:r w:rsidRPr="00EB148F">
        <w:rPr>
          <w:rFonts w:ascii="Arial" w:eastAsia="Times New Roman" w:hAnsi="Arial" w:cs="Arial"/>
          <w:b/>
          <w:bCs/>
          <w:color w:val="auto"/>
          <w:sz w:val="24"/>
          <w:szCs w:val="24"/>
          <w:lang w:eastAsia="en-GB"/>
        </w:rPr>
        <w:t>Objectives</w:t>
      </w:r>
      <w:bookmarkEnd w:id="18"/>
    </w:p>
    <w:p w14:paraId="74CA890B" w14:textId="2EA5D51C" w:rsidR="004F207A" w:rsidRDefault="0024047C" w:rsidP="004A2DD4">
      <w:pPr>
        <w:tabs>
          <w:tab w:val="num" w:pos="720"/>
        </w:tabs>
        <w:spacing w:line="360" w:lineRule="auto"/>
        <w:jc w:val="both"/>
        <w:rPr>
          <w:rFonts w:ascii="Arial" w:hAnsi="Arial" w:cs="Arial"/>
        </w:rPr>
      </w:pPr>
      <w:r w:rsidRPr="003E6A7E">
        <w:rPr>
          <w:rFonts w:ascii="Arial" w:hAnsi="Arial" w:cs="Arial"/>
        </w:rPr>
        <w:t xml:space="preserve">The objective of this study is to </w:t>
      </w:r>
      <w:r w:rsidR="00801166">
        <w:rPr>
          <w:rFonts w:ascii="Arial" w:hAnsi="Arial" w:cs="Arial"/>
        </w:rPr>
        <w:t xml:space="preserve">appraise a local authority </w:t>
      </w:r>
      <w:r w:rsidR="00B91CA5" w:rsidRPr="00BD21DC">
        <w:rPr>
          <w:rFonts w:ascii="Arial" w:hAnsi="Arial" w:cs="Arial"/>
        </w:rPr>
        <w:t>managed bridge</w:t>
      </w:r>
      <w:r w:rsidR="00801166">
        <w:rPr>
          <w:rFonts w:ascii="Arial" w:hAnsi="Arial" w:cs="Arial"/>
        </w:rPr>
        <w:t xml:space="preserve"> </w:t>
      </w:r>
      <w:r w:rsidR="00DA0E5A">
        <w:rPr>
          <w:rFonts w:ascii="Arial" w:hAnsi="Arial" w:cs="Arial"/>
        </w:rPr>
        <w:t>and</w:t>
      </w:r>
      <w:r w:rsidR="00801166">
        <w:rPr>
          <w:rFonts w:ascii="Arial" w:hAnsi="Arial" w:cs="Arial"/>
        </w:rPr>
        <w:t xml:space="preserve"> </w:t>
      </w:r>
      <w:r w:rsidR="00F06240">
        <w:rPr>
          <w:rFonts w:ascii="Arial" w:hAnsi="Arial" w:cs="Arial"/>
        </w:rPr>
        <w:t xml:space="preserve">identify </w:t>
      </w:r>
      <w:r w:rsidR="00312C24">
        <w:rPr>
          <w:rFonts w:ascii="Arial" w:hAnsi="Arial" w:cs="Arial"/>
        </w:rPr>
        <w:t>and</w:t>
      </w:r>
      <w:r w:rsidR="00F06240">
        <w:rPr>
          <w:rFonts w:ascii="Arial" w:hAnsi="Arial" w:cs="Arial"/>
        </w:rPr>
        <w:t xml:space="preserve"> evaluate the following:</w:t>
      </w:r>
    </w:p>
    <w:p w14:paraId="0DD08E4B" w14:textId="3164B1D3" w:rsidR="004F207A" w:rsidRPr="00C02C8F" w:rsidRDefault="00312C24" w:rsidP="00C02C8F">
      <w:pPr>
        <w:pStyle w:val="ListParagraph"/>
        <w:numPr>
          <w:ilvl w:val="0"/>
          <w:numId w:val="53"/>
        </w:numPr>
        <w:spacing w:line="360" w:lineRule="auto"/>
        <w:jc w:val="both"/>
        <w:rPr>
          <w:rFonts w:ascii="Arial" w:hAnsi="Arial" w:cs="Arial"/>
        </w:rPr>
      </w:pPr>
      <w:r>
        <w:rPr>
          <w:rFonts w:ascii="Arial" w:hAnsi="Arial" w:cs="Arial"/>
        </w:rPr>
        <w:t>Determine the o</w:t>
      </w:r>
      <w:r w:rsidR="00F84C72">
        <w:rPr>
          <w:rFonts w:ascii="Arial" w:hAnsi="Arial" w:cs="Arial"/>
        </w:rPr>
        <w:t>p</w:t>
      </w:r>
      <w:r w:rsidR="0024047C" w:rsidRPr="00C02C8F">
        <w:rPr>
          <w:rFonts w:ascii="Arial" w:hAnsi="Arial" w:cs="Arial"/>
        </w:rPr>
        <w:t xml:space="preserve">timal maintenance strategy considering </w:t>
      </w:r>
      <w:r w:rsidR="00F84C72">
        <w:rPr>
          <w:rFonts w:ascii="Arial" w:hAnsi="Arial" w:cs="Arial"/>
        </w:rPr>
        <w:t>whole life costs</w:t>
      </w:r>
      <w:r w:rsidR="00320316">
        <w:rPr>
          <w:rFonts w:ascii="Arial" w:hAnsi="Arial" w:cs="Arial"/>
        </w:rPr>
        <w:t>, traffic delays</w:t>
      </w:r>
      <w:r w:rsidR="00F84C72">
        <w:rPr>
          <w:rFonts w:ascii="Arial" w:hAnsi="Arial" w:cs="Arial"/>
        </w:rPr>
        <w:t xml:space="preserve"> and </w:t>
      </w:r>
      <w:r>
        <w:rPr>
          <w:rFonts w:ascii="Arial" w:hAnsi="Arial" w:cs="Arial"/>
        </w:rPr>
        <w:t xml:space="preserve">the </w:t>
      </w:r>
      <w:r w:rsidR="00F84C72">
        <w:rPr>
          <w:rFonts w:ascii="Arial" w:hAnsi="Arial" w:cs="Arial"/>
        </w:rPr>
        <w:t>carbon footprint of the bridge</w:t>
      </w:r>
      <w:r w:rsidR="00C01F34" w:rsidRPr="00C02C8F">
        <w:rPr>
          <w:rFonts w:ascii="Arial" w:hAnsi="Arial" w:cs="Arial"/>
        </w:rPr>
        <w:t>;</w:t>
      </w:r>
      <w:r w:rsidR="0024047C" w:rsidRPr="00C02C8F">
        <w:rPr>
          <w:rFonts w:ascii="Arial" w:hAnsi="Arial" w:cs="Arial"/>
        </w:rPr>
        <w:t xml:space="preserve"> </w:t>
      </w:r>
    </w:p>
    <w:p w14:paraId="275F1677" w14:textId="25F51754" w:rsidR="004F207A" w:rsidRPr="00C02C8F" w:rsidRDefault="00A0736E" w:rsidP="00C02C8F">
      <w:pPr>
        <w:pStyle w:val="ListParagraph"/>
        <w:numPr>
          <w:ilvl w:val="0"/>
          <w:numId w:val="53"/>
        </w:numPr>
        <w:spacing w:line="360" w:lineRule="auto"/>
        <w:jc w:val="both"/>
        <w:rPr>
          <w:rFonts w:ascii="Arial" w:hAnsi="Arial" w:cs="Arial"/>
        </w:rPr>
      </w:pPr>
      <w:r>
        <w:rPr>
          <w:rFonts w:ascii="Arial" w:hAnsi="Arial" w:cs="Arial"/>
        </w:rPr>
        <w:t>D</w:t>
      </w:r>
      <w:r w:rsidR="00FB405E" w:rsidRPr="00C02C8F">
        <w:rPr>
          <w:rFonts w:ascii="Arial" w:hAnsi="Arial" w:cs="Arial"/>
        </w:rPr>
        <w:t>etermin</w:t>
      </w:r>
      <w:r w:rsidR="00C01F34" w:rsidRPr="00C02C8F">
        <w:rPr>
          <w:rFonts w:ascii="Arial" w:hAnsi="Arial" w:cs="Arial"/>
        </w:rPr>
        <w:t>e</w:t>
      </w:r>
      <w:r w:rsidR="00FB405E" w:rsidRPr="00C02C8F">
        <w:rPr>
          <w:rFonts w:ascii="Arial" w:hAnsi="Arial" w:cs="Arial"/>
        </w:rPr>
        <w:t xml:space="preserve"> </w:t>
      </w:r>
      <w:r w:rsidR="0024047C" w:rsidRPr="00C02C8F">
        <w:rPr>
          <w:rFonts w:ascii="Arial" w:hAnsi="Arial" w:cs="Arial"/>
        </w:rPr>
        <w:t>the budget requirements</w:t>
      </w:r>
      <w:r w:rsidR="00BF014E">
        <w:rPr>
          <w:rFonts w:ascii="Arial" w:hAnsi="Arial" w:cs="Arial"/>
        </w:rPr>
        <w:t xml:space="preserve"> for the bridge;</w:t>
      </w:r>
      <w:r w:rsidR="0024047C" w:rsidRPr="00C02C8F">
        <w:rPr>
          <w:rFonts w:ascii="Arial" w:hAnsi="Arial" w:cs="Arial"/>
        </w:rPr>
        <w:t xml:space="preserve">  </w:t>
      </w:r>
    </w:p>
    <w:p w14:paraId="33B696AA" w14:textId="5FEB7ECD" w:rsidR="00A0736E" w:rsidRPr="00C02C8F" w:rsidRDefault="004F207A" w:rsidP="00C02C8F">
      <w:pPr>
        <w:pStyle w:val="ListParagraph"/>
        <w:numPr>
          <w:ilvl w:val="0"/>
          <w:numId w:val="53"/>
        </w:numPr>
        <w:spacing w:line="360" w:lineRule="auto"/>
        <w:jc w:val="both"/>
        <w:rPr>
          <w:rFonts w:ascii="Arial" w:hAnsi="Arial" w:cs="Arial"/>
        </w:rPr>
      </w:pPr>
      <w:r w:rsidRPr="00C02C8F">
        <w:rPr>
          <w:rFonts w:ascii="Arial" w:hAnsi="Arial" w:cs="Arial"/>
        </w:rPr>
        <w:t>Evaluate t</w:t>
      </w:r>
      <w:r w:rsidR="0024047C" w:rsidRPr="00C02C8F">
        <w:rPr>
          <w:rFonts w:ascii="Arial" w:hAnsi="Arial" w:cs="Arial"/>
        </w:rPr>
        <w:t xml:space="preserve">he consequences of underfunding, </w:t>
      </w:r>
      <w:r w:rsidR="003F537A" w:rsidRPr="00C02C8F">
        <w:rPr>
          <w:rFonts w:ascii="Arial" w:hAnsi="Arial" w:cs="Arial"/>
        </w:rPr>
        <w:t>by</w:t>
      </w:r>
      <w:r w:rsidR="00637356" w:rsidRPr="00C02C8F">
        <w:rPr>
          <w:rFonts w:ascii="Arial" w:hAnsi="Arial" w:cs="Arial"/>
        </w:rPr>
        <w:t xml:space="preserve"> </w:t>
      </w:r>
      <w:r w:rsidR="0024047C" w:rsidRPr="00C02C8F">
        <w:rPr>
          <w:rFonts w:ascii="Arial" w:hAnsi="Arial" w:cs="Arial"/>
        </w:rPr>
        <w:t>examining the impact on whole life costs and carbon emissions.</w:t>
      </w:r>
      <w:r w:rsidR="00725615" w:rsidRPr="00C02C8F">
        <w:rPr>
          <w:rFonts w:ascii="Arial" w:hAnsi="Arial" w:cs="Arial"/>
        </w:rPr>
        <w:t xml:space="preserve"> </w:t>
      </w:r>
    </w:p>
    <w:p w14:paraId="6966F4A7" w14:textId="0652DB60" w:rsidR="0024047C" w:rsidRPr="003E6A7E" w:rsidRDefault="00E85CE7" w:rsidP="004A2DD4">
      <w:pPr>
        <w:tabs>
          <w:tab w:val="num" w:pos="720"/>
        </w:tabs>
        <w:spacing w:line="360" w:lineRule="auto"/>
        <w:jc w:val="both"/>
        <w:rPr>
          <w:rFonts w:ascii="Arial" w:hAnsi="Arial" w:cs="Arial"/>
          <w:color w:val="0070C0"/>
        </w:rPr>
      </w:pPr>
      <w:r>
        <w:rPr>
          <w:rFonts w:ascii="Arial" w:hAnsi="Arial" w:cs="Arial"/>
        </w:rPr>
        <w:t>Th</w:t>
      </w:r>
      <w:r w:rsidR="00C0016C">
        <w:rPr>
          <w:rFonts w:ascii="Arial" w:hAnsi="Arial" w:cs="Arial"/>
        </w:rPr>
        <w:t>e approach</w:t>
      </w:r>
      <w:r>
        <w:rPr>
          <w:rFonts w:ascii="Arial" w:hAnsi="Arial" w:cs="Arial"/>
        </w:rPr>
        <w:t xml:space="preserve"> </w:t>
      </w:r>
      <w:r w:rsidR="00C0016C">
        <w:rPr>
          <w:rFonts w:ascii="Arial" w:hAnsi="Arial" w:cs="Arial"/>
        </w:rPr>
        <w:t>used in thi</w:t>
      </w:r>
      <w:r w:rsidR="00DA44DF">
        <w:rPr>
          <w:rFonts w:ascii="Arial" w:hAnsi="Arial" w:cs="Arial"/>
        </w:rPr>
        <w:t>s study</w:t>
      </w:r>
      <w:r>
        <w:rPr>
          <w:rFonts w:ascii="Arial" w:hAnsi="Arial" w:cs="Arial"/>
        </w:rPr>
        <w:t xml:space="preserve"> </w:t>
      </w:r>
      <w:r w:rsidR="00D25422">
        <w:rPr>
          <w:rFonts w:ascii="Arial" w:hAnsi="Arial" w:cs="Arial"/>
        </w:rPr>
        <w:t xml:space="preserve">could be used </w:t>
      </w:r>
      <w:r w:rsidR="002E4D19">
        <w:rPr>
          <w:rFonts w:ascii="Arial" w:hAnsi="Arial" w:cs="Arial"/>
        </w:rPr>
        <w:t>as the basis</w:t>
      </w:r>
      <w:r w:rsidR="003E1740">
        <w:rPr>
          <w:rFonts w:ascii="Arial" w:hAnsi="Arial" w:cs="Arial"/>
        </w:rPr>
        <w:t xml:space="preserve"> </w:t>
      </w:r>
      <w:r w:rsidR="00C75D64">
        <w:rPr>
          <w:rFonts w:ascii="Arial" w:hAnsi="Arial" w:cs="Arial"/>
        </w:rPr>
        <w:t>to develop</w:t>
      </w:r>
      <w:r w:rsidR="00D25422">
        <w:rPr>
          <w:rFonts w:ascii="Arial" w:hAnsi="Arial" w:cs="Arial"/>
        </w:rPr>
        <w:t xml:space="preserve"> best </w:t>
      </w:r>
      <w:r w:rsidR="005C5F25">
        <w:rPr>
          <w:rFonts w:ascii="Arial" w:hAnsi="Arial" w:cs="Arial"/>
        </w:rPr>
        <w:t xml:space="preserve">practice </w:t>
      </w:r>
      <w:r w:rsidR="00D25422">
        <w:rPr>
          <w:rFonts w:ascii="Arial" w:hAnsi="Arial" w:cs="Arial"/>
        </w:rPr>
        <w:t>guide</w:t>
      </w:r>
      <w:r w:rsidR="00C75D64">
        <w:rPr>
          <w:rFonts w:ascii="Arial" w:hAnsi="Arial" w:cs="Arial"/>
        </w:rPr>
        <w:t>s</w:t>
      </w:r>
      <w:r w:rsidR="00D25422">
        <w:rPr>
          <w:rFonts w:ascii="Arial" w:hAnsi="Arial" w:cs="Arial"/>
        </w:rPr>
        <w:t xml:space="preserve"> and inform improvements </w:t>
      </w:r>
      <w:r w:rsidR="002E4D19">
        <w:rPr>
          <w:rFonts w:ascii="Arial" w:hAnsi="Arial" w:cs="Arial"/>
        </w:rPr>
        <w:t xml:space="preserve">to existing </w:t>
      </w:r>
      <w:r w:rsidR="00C75D64">
        <w:rPr>
          <w:rFonts w:ascii="Arial" w:hAnsi="Arial" w:cs="Arial"/>
        </w:rPr>
        <w:t xml:space="preserve">software </w:t>
      </w:r>
      <w:r w:rsidR="002E4D19">
        <w:rPr>
          <w:rFonts w:ascii="Arial" w:hAnsi="Arial" w:cs="Arial"/>
        </w:rPr>
        <w:t>applications (tools) used by bridge engineers.</w:t>
      </w:r>
    </w:p>
    <w:p w14:paraId="0B82A59C" w14:textId="600EC780" w:rsidR="00D26BFE" w:rsidRDefault="00D26BFE" w:rsidP="00580398">
      <w:pPr>
        <w:shd w:val="clear" w:color="auto" w:fill="FFFFFF"/>
        <w:spacing w:line="360" w:lineRule="auto"/>
        <w:textAlignment w:val="baseline"/>
      </w:pPr>
    </w:p>
    <w:p w14:paraId="22E7531F" w14:textId="5A0597EA" w:rsidR="00D26BFE" w:rsidRDefault="00D26BFE" w:rsidP="00580398">
      <w:pPr>
        <w:shd w:val="clear" w:color="auto" w:fill="FFFFFF"/>
        <w:spacing w:line="360" w:lineRule="auto"/>
        <w:textAlignment w:val="baseline"/>
      </w:pPr>
    </w:p>
    <w:p w14:paraId="23A1D62F" w14:textId="12A28B50" w:rsidR="00D26BFE" w:rsidRDefault="00D26BFE" w:rsidP="00580398">
      <w:pPr>
        <w:shd w:val="clear" w:color="auto" w:fill="FFFFFF"/>
        <w:spacing w:line="360" w:lineRule="auto"/>
        <w:textAlignment w:val="baseline"/>
      </w:pPr>
    </w:p>
    <w:p w14:paraId="00C7456C" w14:textId="77BEED0A" w:rsidR="00D26BFE" w:rsidRDefault="00D26BFE" w:rsidP="00580398">
      <w:pPr>
        <w:shd w:val="clear" w:color="auto" w:fill="FFFFFF"/>
        <w:spacing w:line="360" w:lineRule="auto"/>
        <w:textAlignment w:val="baseline"/>
      </w:pPr>
    </w:p>
    <w:p w14:paraId="72988A4C" w14:textId="5ACDF172" w:rsidR="00D26BFE" w:rsidRDefault="00D26BFE" w:rsidP="00580398">
      <w:pPr>
        <w:shd w:val="clear" w:color="auto" w:fill="FFFFFF"/>
        <w:spacing w:line="360" w:lineRule="auto"/>
        <w:textAlignment w:val="baseline"/>
      </w:pPr>
    </w:p>
    <w:p w14:paraId="29B49189" w14:textId="46026A75" w:rsidR="00071307" w:rsidRDefault="00071307" w:rsidP="00580398">
      <w:pPr>
        <w:shd w:val="clear" w:color="auto" w:fill="FFFFFF"/>
        <w:spacing w:line="360" w:lineRule="auto"/>
        <w:textAlignment w:val="baseline"/>
      </w:pPr>
    </w:p>
    <w:p w14:paraId="65BAD38F" w14:textId="77777777" w:rsidR="00071307" w:rsidRDefault="00071307" w:rsidP="00580398">
      <w:pPr>
        <w:shd w:val="clear" w:color="auto" w:fill="FFFFFF"/>
        <w:spacing w:line="360" w:lineRule="auto"/>
        <w:textAlignment w:val="baseline"/>
      </w:pPr>
    </w:p>
    <w:p w14:paraId="65924873" w14:textId="77777777" w:rsidR="00C46C92" w:rsidRDefault="00C46C92" w:rsidP="00580398">
      <w:pPr>
        <w:shd w:val="clear" w:color="auto" w:fill="FFFFFF"/>
        <w:spacing w:line="360" w:lineRule="auto"/>
        <w:textAlignment w:val="baseline"/>
      </w:pPr>
    </w:p>
    <w:p w14:paraId="54963AC6" w14:textId="6498D66B" w:rsidR="00CF4D43" w:rsidRPr="001A72D9" w:rsidRDefault="00A51396" w:rsidP="001D1539">
      <w:pPr>
        <w:pStyle w:val="Heading1"/>
        <w:numPr>
          <w:ilvl w:val="0"/>
          <w:numId w:val="0"/>
        </w:numPr>
        <w:spacing w:after="240"/>
        <w:ind w:left="432" w:hanging="432"/>
        <w:rPr>
          <w:rFonts w:ascii="Arial" w:eastAsia="Times New Roman" w:hAnsi="Arial" w:cs="Arial"/>
          <w:b/>
          <w:bCs/>
          <w:color w:val="auto"/>
          <w:sz w:val="28"/>
          <w:szCs w:val="28"/>
          <w:lang w:eastAsia="en-GB"/>
        </w:rPr>
      </w:pPr>
      <w:bookmarkStart w:id="19" w:name="_Toc66868885"/>
      <w:r w:rsidRPr="001A72D9">
        <w:rPr>
          <w:rFonts w:ascii="Arial" w:eastAsia="Times New Roman" w:hAnsi="Arial" w:cs="Arial"/>
          <w:b/>
          <w:bCs/>
          <w:color w:val="auto"/>
          <w:sz w:val="28"/>
          <w:szCs w:val="28"/>
          <w:lang w:eastAsia="en-GB"/>
        </w:rPr>
        <w:t xml:space="preserve">Chapter </w:t>
      </w:r>
      <w:r w:rsidR="006E5174" w:rsidRPr="001A72D9">
        <w:rPr>
          <w:rFonts w:ascii="Arial" w:eastAsia="Times New Roman" w:hAnsi="Arial" w:cs="Arial"/>
          <w:b/>
          <w:bCs/>
          <w:color w:val="auto"/>
          <w:sz w:val="28"/>
          <w:szCs w:val="28"/>
          <w:lang w:eastAsia="en-GB"/>
        </w:rPr>
        <w:t>3</w:t>
      </w:r>
      <w:r w:rsidRPr="001A72D9">
        <w:rPr>
          <w:rFonts w:ascii="Arial" w:eastAsia="Times New Roman" w:hAnsi="Arial" w:cs="Arial"/>
          <w:b/>
          <w:bCs/>
          <w:color w:val="auto"/>
          <w:sz w:val="28"/>
          <w:szCs w:val="28"/>
          <w:lang w:eastAsia="en-GB"/>
        </w:rPr>
        <w:t xml:space="preserve">: </w:t>
      </w:r>
      <w:r w:rsidR="00CF4D43" w:rsidRPr="001A72D9">
        <w:rPr>
          <w:rFonts w:ascii="Arial" w:eastAsia="Times New Roman" w:hAnsi="Arial" w:cs="Arial"/>
          <w:b/>
          <w:bCs/>
          <w:color w:val="auto"/>
          <w:sz w:val="28"/>
          <w:szCs w:val="28"/>
          <w:lang w:eastAsia="en-GB"/>
        </w:rPr>
        <w:t>Critical Literature Review</w:t>
      </w:r>
      <w:bookmarkEnd w:id="19"/>
      <w:r w:rsidR="00E76A91" w:rsidRPr="001A72D9">
        <w:rPr>
          <w:rFonts w:ascii="Arial" w:eastAsia="Times New Roman" w:hAnsi="Arial" w:cs="Arial"/>
          <w:b/>
          <w:bCs/>
          <w:color w:val="auto"/>
          <w:sz w:val="28"/>
          <w:szCs w:val="28"/>
          <w:lang w:eastAsia="en-GB"/>
        </w:rPr>
        <w:t xml:space="preserve"> </w:t>
      </w:r>
    </w:p>
    <w:p w14:paraId="3A9E6BBB" w14:textId="77777777" w:rsidR="00A675F5" w:rsidRPr="00A675F5" w:rsidRDefault="00A675F5" w:rsidP="001D1539">
      <w:pPr>
        <w:pStyle w:val="ListParagraph"/>
        <w:keepNext/>
        <w:keepLines/>
        <w:numPr>
          <w:ilvl w:val="0"/>
          <w:numId w:val="3"/>
        </w:numPr>
        <w:spacing w:before="240" w:after="240"/>
        <w:contextualSpacing w:val="0"/>
        <w:outlineLvl w:val="0"/>
        <w:rPr>
          <w:rFonts w:asciiTheme="majorHAnsi" w:eastAsia="Times New Roman" w:hAnsiTheme="majorHAnsi" w:cstheme="majorBidi"/>
          <w:vanish/>
          <w:color w:val="1A0FA4" w:themeColor="accent1" w:themeShade="BF"/>
          <w:sz w:val="32"/>
          <w:szCs w:val="32"/>
          <w:lang w:eastAsia="en-GB"/>
        </w:rPr>
      </w:pPr>
      <w:bookmarkStart w:id="20" w:name="_Toc65785443"/>
      <w:bookmarkStart w:id="21" w:name="_Toc65785526"/>
      <w:bookmarkStart w:id="22" w:name="_Toc66002693"/>
      <w:bookmarkStart w:id="23" w:name="_Toc66002970"/>
      <w:bookmarkStart w:id="24" w:name="_Toc66007661"/>
      <w:bookmarkStart w:id="25" w:name="_Toc66007843"/>
      <w:bookmarkStart w:id="26" w:name="_Toc66007948"/>
      <w:bookmarkStart w:id="27" w:name="_Toc66015445"/>
      <w:bookmarkStart w:id="28" w:name="_Toc66034091"/>
      <w:bookmarkStart w:id="29" w:name="_Toc66636356"/>
      <w:bookmarkStart w:id="30" w:name="_Toc66868886"/>
      <w:bookmarkEnd w:id="20"/>
      <w:bookmarkEnd w:id="21"/>
      <w:bookmarkEnd w:id="22"/>
      <w:bookmarkEnd w:id="23"/>
      <w:bookmarkEnd w:id="24"/>
      <w:bookmarkEnd w:id="25"/>
      <w:bookmarkEnd w:id="26"/>
      <w:bookmarkEnd w:id="27"/>
      <w:bookmarkEnd w:id="28"/>
      <w:bookmarkEnd w:id="29"/>
      <w:bookmarkEnd w:id="30"/>
    </w:p>
    <w:p w14:paraId="75224EC0" w14:textId="302FF388" w:rsidR="001D6324" w:rsidRPr="00E6059A" w:rsidRDefault="001D6324" w:rsidP="001D1539">
      <w:pPr>
        <w:pStyle w:val="Heading2"/>
        <w:spacing w:after="240"/>
        <w:rPr>
          <w:rFonts w:ascii="Arial" w:eastAsia="Times New Roman" w:hAnsi="Arial" w:cs="Arial"/>
          <w:b/>
          <w:bCs/>
          <w:color w:val="auto"/>
          <w:sz w:val="24"/>
          <w:szCs w:val="24"/>
          <w:lang w:eastAsia="en-GB"/>
        </w:rPr>
      </w:pPr>
      <w:bookmarkStart w:id="31" w:name="_Toc66868887"/>
      <w:r w:rsidRPr="00E6059A">
        <w:rPr>
          <w:rFonts w:ascii="Arial" w:eastAsia="Times New Roman" w:hAnsi="Arial" w:cs="Arial"/>
          <w:b/>
          <w:bCs/>
          <w:color w:val="auto"/>
          <w:sz w:val="24"/>
          <w:szCs w:val="24"/>
          <w:lang w:eastAsia="en-GB"/>
        </w:rPr>
        <w:t>Whole Life Costing</w:t>
      </w:r>
      <w:bookmarkEnd w:id="31"/>
    </w:p>
    <w:p w14:paraId="0ADD046F" w14:textId="686C5A1C" w:rsidR="00FC17BD" w:rsidRPr="001F5E1D" w:rsidRDefault="00A3702F" w:rsidP="004A2DD4">
      <w:pPr>
        <w:spacing w:line="360" w:lineRule="auto"/>
        <w:jc w:val="both"/>
        <w:rPr>
          <w:rFonts w:ascii="Arial" w:hAnsi="Arial" w:cs="Arial"/>
        </w:rPr>
      </w:pPr>
      <w:r w:rsidRPr="001F5E1D">
        <w:rPr>
          <w:rFonts w:ascii="Arial" w:hAnsi="Arial" w:cs="Arial"/>
        </w:rPr>
        <w:t>Whole life costing</w:t>
      </w:r>
      <w:r w:rsidR="00FC17BD" w:rsidRPr="001F5E1D">
        <w:rPr>
          <w:rFonts w:ascii="Arial" w:hAnsi="Arial" w:cs="Arial"/>
        </w:rPr>
        <w:t xml:space="preserve"> </w:t>
      </w:r>
      <w:r w:rsidRPr="001F5E1D">
        <w:rPr>
          <w:rFonts w:ascii="Arial" w:hAnsi="Arial" w:cs="Arial"/>
        </w:rPr>
        <w:t>for bridges is the process of calc</w:t>
      </w:r>
      <w:r w:rsidR="007B2CA5" w:rsidRPr="001F5E1D">
        <w:rPr>
          <w:rFonts w:ascii="Arial" w:hAnsi="Arial" w:cs="Arial"/>
        </w:rPr>
        <w:t>ulating</w:t>
      </w:r>
      <w:r w:rsidRPr="001F5E1D">
        <w:rPr>
          <w:rFonts w:ascii="Arial" w:hAnsi="Arial" w:cs="Arial"/>
        </w:rPr>
        <w:t xml:space="preserve"> the total </w:t>
      </w:r>
      <w:r w:rsidR="007B2CA5" w:rsidRPr="001F5E1D">
        <w:rPr>
          <w:rFonts w:ascii="Arial" w:hAnsi="Arial" w:cs="Arial"/>
        </w:rPr>
        <w:t xml:space="preserve">expected </w:t>
      </w:r>
      <w:r w:rsidRPr="001F5E1D">
        <w:rPr>
          <w:rFonts w:ascii="Arial" w:hAnsi="Arial" w:cs="Arial"/>
        </w:rPr>
        <w:t>expenditure</w:t>
      </w:r>
      <w:r w:rsidR="00F074F4" w:rsidRPr="001F5E1D">
        <w:rPr>
          <w:rFonts w:ascii="Arial" w:hAnsi="Arial" w:cs="Arial"/>
        </w:rPr>
        <w:t xml:space="preserve"> </w:t>
      </w:r>
      <w:r w:rsidRPr="001F5E1D">
        <w:rPr>
          <w:rFonts w:ascii="Arial" w:hAnsi="Arial" w:cs="Arial"/>
        </w:rPr>
        <w:t>throughout the</w:t>
      </w:r>
      <w:r w:rsidR="007B2CA5" w:rsidRPr="001F5E1D">
        <w:rPr>
          <w:rFonts w:ascii="Arial" w:hAnsi="Arial" w:cs="Arial"/>
        </w:rPr>
        <w:t>ir</w:t>
      </w:r>
      <w:r w:rsidRPr="001F5E1D">
        <w:rPr>
          <w:rFonts w:ascii="Arial" w:hAnsi="Arial" w:cs="Arial"/>
        </w:rPr>
        <w:t xml:space="preserve"> entire life cycle including construction, maintenance and demolition. Whole life costing </w:t>
      </w:r>
      <w:r w:rsidR="007B2CA5" w:rsidRPr="001F5E1D">
        <w:rPr>
          <w:rFonts w:ascii="Arial" w:hAnsi="Arial" w:cs="Arial"/>
        </w:rPr>
        <w:t>can be</w:t>
      </w:r>
      <w:r w:rsidRPr="001F5E1D">
        <w:rPr>
          <w:rFonts w:ascii="Arial" w:hAnsi="Arial" w:cs="Arial"/>
        </w:rPr>
        <w:t xml:space="preserve"> used to evaluate options for remedial works</w:t>
      </w:r>
      <w:r w:rsidR="007B2CA5" w:rsidRPr="001F5E1D">
        <w:rPr>
          <w:rFonts w:ascii="Arial" w:hAnsi="Arial" w:cs="Arial"/>
        </w:rPr>
        <w:t xml:space="preserve"> and establish the most cost-effective treatments</w:t>
      </w:r>
      <w:r w:rsidR="002C2AE9" w:rsidRPr="001F5E1D">
        <w:rPr>
          <w:rFonts w:ascii="Arial" w:hAnsi="Arial" w:cs="Arial"/>
        </w:rPr>
        <w:t xml:space="preserve"> and</w:t>
      </w:r>
      <w:r w:rsidR="00646137" w:rsidRPr="001F5E1D">
        <w:rPr>
          <w:rFonts w:ascii="Arial" w:hAnsi="Arial" w:cs="Arial"/>
        </w:rPr>
        <w:t xml:space="preserve"> maintenance strategy</w:t>
      </w:r>
      <w:r w:rsidR="00BA12FF" w:rsidRPr="001F5E1D">
        <w:rPr>
          <w:rFonts w:ascii="Arial" w:hAnsi="Arial" w:cs="Arial"/>
        </w:rPr>
        <w:t xml:space="preserve"> </w:t>
      </w:r>
      <w:r w:rsidR="002C2AE9" w:rsidRPr="001F5E1D">
        <w:rPr>
          <w:rFonts w:ascii="Arial" w:hAnsi="Arial" w:cs="Arial"/>
        </w:rPr>
        <w:t>for a structure</w:t>
      </w:r>
      <w:r w:rsidR="007B2CA5" w:rsidRPr="001F5E1D">
        <w:rPr>
          <w:rFonts w:ascii="Arial" w:hAnsi="Arial" w:cs="Arial"/>
        </w:rPr>
        <w:t xml:space="preserve">. </w:t>
      </w:r>
      <w:r w:rsidR="00CD26CC" w:rsidRPr="001F5E1D">
        <w:rPr>
          <w:rFonts w:ascii="Arial" w:hAnsi="Arial" w:cs="Arial"/>
        </w:rPr>
        <w:t>(Atkins, 2011)</w:t>
      </w:r>
    </w:p>
    <w:p w14:paraId="59736483" w14:textId="1FC9C3A2" w:rsidR="00CD26CC" w:rsidRPr="001F5E1D" w:rsidRDefault="007B2CA5" w:rsidP="004A2DD4">
      <w:pPr>
        <w:spacing w:line="360" w:lineRule="auto"/>
        <w:jc w:val="both"/>
        <w:rPr>
          <w:rFonts w:ascii="Arial" w:hAnsi="Arial" w:cs="Arial"/>
        </w:rPr>
      </w:pPr>
      <w:r w:rsidRPr="001F5E1D">
        <w:rPr>
          <w:rFonts w:ascii="Arial" w:hAnsi="Arial" w:cs="Arial"/>
        </w:rPr>
        <w:t xml:space="preserve">When undertaking whole life costing, all costs </w:t>
      </w:r>
      <w:r w:rsidR="002C1F3E" w:rsidRPr="001F5E1D">
        <w:rPr>
          <w:rFonts w:ascii="Arial" w:hAnsi="Arial" w:cs="Arial"/>
        </w:rPr>
        <w:t xml:space="preserve">are generally </w:t>
      </w:r>
      <w:r w:rsidRPr="001F5E1D">
        <w:rPr>
          <w:rFonts w:ascii="Arial" w:hAnsi="Arial" w:cs="Arial"/>
        </w:rPr>
        <w:t xml:space="preserve">discounted to </w:t>
      </w:r>
      <w:r w:rsidR="002B3861" w:rsidRPr="001F5E1D">
        <w:rPr>
          <w:rFonts w:ascii="Arial" w:hAnsi="Arial" w:cs="Arial"/>
        </w:rPr>
        <w:t xml:space="preserve">the </w:t>
      </w:r>
      <w:r w:rsidR="00FC17BD" w:rsidRPr="001F5E1D">
        <w:rPr>
          <w:rFonts w:ascii="Arial" w:hAnsi="Arial" w:cs="Arial"/>
        </w:rPr>
        <w:t>year when the investment decision</w:t>
      </w:r>
      <w:r w:rsidR="002B3861" w:rsidRPr="001F5E1D">
        <w:rPr>
          <w:rFonts w:ascii="Arial" w:hAnsi="Arial" w:cs="Arial"/>
        </w:rPr>
        <w:t>s</w:t>
      </w:r>
      <w:r w:rsidR="00FC17BD" w:rsidRPr="001F5E1D">
        <w:rPr>
          <w:rFonts w:ascii="Arial" w:hAnsi="Arial" w:cs="Arial"/>
        </w:rPr>
        <w:t xml:space="preserve"> </w:t>
      </w:r>
      <w:r w:rsidR="002B3861" w:rsidRPr="001F5E1D">
        <w:rPr>
          <w:rFonts w:ascii="Arial" w:hAnsi="Arial" w:cs="Arial"/>
        </w:rPr>
        <w:t>are</w:t>
      </w:r>
      <w:r w:rsidR="00FC17BD" w:rsidRPr="001F5E1D">
        <w:rPr>
          <w:rFonts w:ascii="Arial" w:hAnsi="Arial" w:cs="Arial"/>
        </w:rPr>
        <w:t xml:space="preserve"> being </w:t>
      </w:r>
      <w:r w:rsidR="002B3861" w:rsidRPr="001F5E1D">
        <w:rPr>
          <w:rFonts w:ascii="Arial" w:hAnsi="Arial" w:cs="Arial"/>
        </w:rPr>
        <w:t>considered</w:t>
      </w:r>
      <w:r w:rsidR="00FC17BD" w:rsidRPr="001F5E1D">
        <w:rPr>
          <w:rFonts w:ascii="Arial" w:hAnsi="Arial" w:cs="Arial"/>
        </w:rPr>
        <w:t xml:space="preserve">. Discounting </w:t>
      </w:r>
      <w:r w:rsidR="002C1F3E" w:rsidRPr="001F5E1D">
        <w:rPr>
          <w:rFonts w:ascii="Arial" w:hAnsi="Arial" w:cs="Arial"/>
        </w:rPr>
        <w:t xml:space="preserve">replicates the ‘time value of money’ and </w:t>
      </w:r>
      <w:r w:rsidR="00FC17BD" w:rsidRPr="001F5E1D">
        <w:rPr>
          <w:rFonts w:ascii="Arial" w:hAnsi="Arial" w:cs="Arial"/>
        </w:rPr>
        <w:t xml:space="preserve">allows options </w:t>
      </w:r>
      <w:r w:rsidR="001344BD" w:rsidRPr="001F5E1D">
        <w:rPr>
          <w:rFonts w:ascii="Arial" w:hAnsi="Arial" w:cs="Arial"/>
        </w:rPr>
        <w:t>undertaken at different stages throughout the analysis period (</w:t>
      </w:r>
      <w:r w:rsidR="002E784E">
        <w:rPr>
          <w:rFonts w:ascii="Arial" w:hAnsi="Arial" w:cs="Arial"/>
        </w:rPr>
        <w:t>known as the ‘</w:t>
      </w:r>
      <w:r w:rsidR="001344BD" w:rsidRPr="001F5E1D">
        <w:rPr>
          <w:rFonts w:ascii="Arial" w:hAnsi="Arial" w:cs="Arial"/>
        </w:rPr>
        <w:t>time horizon</w:t>
      </w:r>
      <w:r w:rsidR="002E784E">
        <w:rPr>
          <w:rFonts w:ascii="Arial" w:hAnsi="Arial" w:cs="Arial"/>
        </w:rPr>
        <w:t>’</w:t>
      </w:r>
      <w:r w:rsidR="001344BD" w:rsidRPr="001F5E1D">
        <w:rPr>
          <w:rFonts w:ascii="Arial" w:hAnsi="Arial" w:cs="Arial"/>
        </w:rPr>
        <w:t xml:space="preserve">) </w:t>
      </w:r>
      <w:r w:rsidR="002C1F3E" w:rsidRPr="001F5E1D">
        <w:rPr>
          <w:rFonts w:ascii="Arial" w:hAnsi="Arial" w:cs="Arial"/>
        </w:rPr>
        <w:t xml:space="preserve">to </w:t>
      </w:r>
      <w:r w:rsidR="00890D4A" w:rsidRPr="001F5E1D">
        <w:rPr>
          <w:rFonts w:ascii="Arial" w:hAnsi="Arial" w:cs="Arial"/>
        </w:rPr>
        <w:t xml:space="preserve">be </w:t>
      </w:r>
      <w:r w:rsidR="002C1F3E" w:rsidRPr="001F5E1D">
        <w:rPr>
          <w:rFonts w:ascii="Arial" w:hAnsi="Arial" w:cs="Arial"/>
        </w:rPr>
        <w:t>accessed on a</w:t>
      </w:r>
      <w:r w:rsidR="002B3861" w:rsidRPr="001F5E1D">
        <w:rPr>
          <w:rFonts w:ascii="Arial" w:hAnsi="Arial" w:cs="Arial"/>
        </w:rPr>
        <w:t>n equivalent basis</w:t>
      </w:r>
      <w:r w:rsidR="001344BD" w:rsidRPr="001F5E1D">
        <w:rPr>
          <w:rFonts w:ascii="Arial" w:hAnsi="Arial" w:cs="Arial"/>
        </w:rPr>
        <w:t xml:space="preserve"> (present value)</w:t>
      </w:r>
      <w:r w:rsidR="002C1F3E" w:rsidRPr="001F5E1D">
        <w:rPr>
          <w:rFonts w:ascii="Arial" w:hAnsi="Arial" w:cs="Arial"/>
        </w:rPr>
        <w:t>. If discounting was not applied</w:t>
      </w:r>
      <w:r w:rsidR="00366E34" w:rsidRPr="001F5E1D">
        <w:rPr>
          <w:rFonts w:ascii="Arial" w:hAnsi="Arial" w:cs="Arial"/>
        </w:rPr>
        <w:t>,</w:t>
      </w:r>
      <w:r w:rsidR="002C1F3E" w:rsidRPr="001F5E1D">
        <w:rPr>
          <w:rFonts w:ascii="Arial" w:hAnsi="Arial" w:cs="Arial"/>
        </w:rPr>
        <w:t xml:space="preserve"> </w:t>
      </w:r>
      <w:r w:rsidR="002B3861" w:rsidRPr="001F5E1D">
        <w:rPr>
          <w:rFonts w:ascii="Arial" w:hAnsi="Arial" w:cs="Arial"/>
        </w:rPr>
        <w:t xml:space="preserve">the </w:t>
      </w:r>
      <w:r w:rsidR="007E5CBF" w:rsidRPr="001F5E1D">
        <w:rPr>
          <w:rFonts w:ascii="Arial" w:hAnsi="Arial" w:cs="Arial"/>
        </w:rPr>
        <w:t>whole life costs</w:t>
      </w:r>
      <w:r w:rsidR="002B3861" w:rsidRPr="001F5E1D">
        <w:rPr>
          <w:rFonts w:ascii="Arial" w:hAnsi="Arial" w:cs="Arial"/>
        </w:rPr>
        <w:t xml:space="preserve"> would not be </w:t>
      </w:r>
      <w:r w:rsidR="00F42146" w:rsidRPr="001F5E1D">
        <w:rPr>
          <w:rFonts w:ascii="Arial" w:hAnsi="Arial" w:cs="Arial"/>
        </w:rPr>
        <w:t>quantifiable</w:t>
      </w:r>
      <w:r w:rsidR="00376E82" w:rsidRPr="001F5E1D">
        <w:rPr>
          <w:rFonts w:ascii="Arial" w:hAnsi="Arial" w:cs="Arial"/>
        </w:rPr>
        <w:t>,</w:t>
      </w:r>
      <w:r w:rsidR="007E5CBF" w:rsidRPr="001F5E1D">
        <w:rPr>
          <w:rFonts w:ascii="Arial" w:hAnsi="Arial" w:cs="Arial"/>
        </w:rPr>
        <w:t xml:space="preserve"> </w:t>
      </w:r>
      <w:r w:rsidR="007E3A9A" w:rsidRPr="001F5E1D">
        <w:rPr>
          <w:rFonts w:ascii="Arial" w:hAnsi="Arial" w:cs="Arial"/>
        </w:rPr>
        <w:t xml:space="preserve">and it would not be possible to </w:t>
      </w:r>
      <w:r w:rsidR="00366E34" w:rsidRPr="001F5E1D">
        <w:rPr>
          <w:rFonts w:ascii="Arial" w:hAnsi="Arial" w:cs="Arial"/>
        </w:rPr>
        <w:t>establish</w:t>
      </w:r>
      <w:r w:rsidR="007E3A9A" w:rsidRPr="001F5E1D">
        <w:rPr>
          <w:rFonts w:ascii="Arial" w:hAnsi="Arial" w:cs="Arial"/>
        </w:rPr>
        <w:t xml:space="preserve"> the most </w:t>
      </w:r>
      <w:r w:rsidR="00783258" w:rsidRPr="001F5E1D">
        <w:rPr>
          <w:rFonts w:ascii="Arial" w:hAnsi="Arial" w:cs="Arial"/>
        </w:rPr>
        <w:t>cost-effective</w:t>
      </w:r>
      <w:r w:rsidR="007E3A9A" w:rsidRPr="001F5E1D">
        <w:rPr>
          <w:rFonts w:ascii="Arial" w:hAnsi="Arial" w:cs="Arial"/>
        </w:rPr>
        <w:t xml:space="preserve"> </w:t>
      </w:r>
      <w:r w:rsidR="003419F2" w:rsidRPr="001F5E1D">
        <w:rPr>
          <w:rFonts w:ascii="Arial" w:hAnsi="Arial" w:cs="Arial"/>
        </w:rPr>
        <w:t>option</w:t>
      </w:r>
      <w:r w:rsidR="00890D4A" w:rsidRPr="001F5E1D">
        <w:rPr>
          <w:rFonts w:ascii="Arial" w:hAnsi="Arial" w:cs="Arial"/>
        </w:rPr>
        <w:t>.</w:t>
      </w:r>
      <w:r w:rsidR="00CD26CC" w:rsidRPr="001F5E1D">
        <w:rPr>
          <w:rFonts w:ascii="Arial" w:hAnsi="Arial" w:cs="Arial"/>
        </w:rPr>
        <w:t xml:space="preserve"> (Atkins, 2011)</w:t>
      </w:r>
      <w:r w:rsidR="000331E1" w:rsidRPr="001F5E1D">
        <w:rPr>
          <w:rFonts w:ascii="Arial" w:hAnsi="Arial" w:cs="Arial"/>
        </w:rPr>
        <w:t xml:space="preserve"> </w:t>
      </w:r>
      <w:r w:rsidR="00783258" w:rsidRPr="001F5E1D">
        <w:rPr>
          <w:rFonts w:ascii="Arial" w:hAnsi="Arial" w:cs="Arial"/>
        </w:rPr>
        <w:t xml:space="preserve"> </w:t>
      </w:r>
    </w:p>
    <w:p w14:paraId="75C548B2" w14:textId="1A62E111" w:rsidR="00A3702F" w:rsidRDefault="00255C53" w:rsidP="00434CE3">
      <w:pPr>
        <w:spacing w:line="360" w:lineRule="auto"/>
        <w:rPr>
          <w:rFonts w:ascii="Arial" w:hAnsi="Arial" w:cs="Arial"/>
        </w:rPr>
      </w:pPr>
      <w:r w:rsidRPr="001F5E1D">
        <w:rPr>
          <w:rFonts w:ascii="Arial" w:hAnsi="Arial" w:cs="Arial"/>
        </w:rPr>
        <w:t xml:space="preserve">The recommended Green Book discount rates are </w:t>
      </w:r>
      <w:r w:rsidR="009240A7">
        <w:rPr>
          <w:rFonts w:ascii="Arial" w:hAnsi="Arial" w:cs="Arial"/>
        </w:rPr>
        <w:t>shown in Figure 1.</w:t>
      </w:r>
      <w:r w:rsidR="00D823BB" w:rsidRPr="001F5E1D">
        <w:rPr>
          <w:rFonts w:ascii="Arial" w:hAnsi="Arial" w:cs="Arial"/>
        </w:rPr>
        <w:t xml:space="preserve"> </w:t>
      </w:r>
    </w:p>
    <w:tbl>
      <w:tblPr>
        <w:tblStyle w:val="TableGrid"/>
        <w:tblW w:w="0" w:type="auto"/>
        <w:tblInd w:w="0" w:type="dxa"/>
        <w:tblLook w:val="04A0" w:firstRow="1" w:lastRow="0" w:firstColumn="1" w:lastColumn="0" w:noHBand="0" w:noVBand="1"/>
      </w:tblPr>
      <w:tblGrid>
        <w:gridCol w:w="2254"/>
        <w:gridCol w:w="2254"/>
        <w:gridCol w:w="2254"/>
        <w:gridCol w:w="2254"/>
      </w:tblGrid>
      <w:tr w:rsidR="00B054E3" w14:paraId="7BE6CD17" w14:textId="77777777" w:rsidTr="00100A5B">
        <w:tc>
          <w:tcPr>
            <w:tcW w:w="9016" w:type="dxa"/>
            <w:gridSpan w:val="4"/>
            <w:shd w:val="clear" w:color="auto" w:fill="1A0FA4" w:themeFill="accent1" w:themeFillShade="BF"/>
          </w:tcPr>
          <w:p w14:paraId="0DF144BD" w14:textId="4DA36B59" w:rsidR="00B054E3" w:rsidRPr="00B054E3" w:rsidRDefault="00B054E3" w:rsidP="0072468A">
            <w:pPr>
              <w:spacing w:line="360" w:lineRule="auto"/>
              <w:jc w:val="center"/>
              <w:rPr>
                <w:rFonts w:ascii="Arial" w:hAnsi="Arial" w:cs="Arial"/>
                <w:b/>
                <w:bCs/>
              </w:rPr>
            </w:pPr>
            <w:r w:rsidRPr="00B054E3">
              <w:rPr>
                <w:rFonts w:ascii="Arial" w:hAnsi="Arial" w:cs="Arial"/>
                <w:b/>
                <w:bCs/>
              </w:rPr>
              <w:t>Declining Long-Term Discount Rates</w:t>
            </w:r>
            <w:r w:rsidR="000533DB">
              <w:rPr>
                <w:rFonts w:ascii="Arial" w:hAnsi="Arial" w:cs="Arial"/>
                <w:b/>
                <w:bCs/>
              </w:rPr>
              <w:t xml:space="preserve"> </w:t>
            </w:r>
            <w:r w:rsidR="000533DB" w:rsidRPr="000533DB">
              <w:rPr>
                <w:rFonts w:ascii="Arial" w:hAnsi="Arial" w:cs="Arial"/>
                <w:b/>
                <w:bCs/>
              </w:rPr>
              <w:t>(HM Treasury, 2018, p.122)</w:t>
            </w:r>
          </w:p>
        </w:tc>
      </w:tr>
      <w:tr w:rsidR="00E52C00" w14:paraId="7664F98D" w14:textId="77777777" w:rsidTr="00B054E3">
        <w:tc>
          <w:tcPr>
            <w:tcW w:w="2254" w:type="dxa"/>
            <w:shd w:val="clear" w:color="auto" w:fill="99CCFF"/>
          </w:tcPr>
          <w:p w14:paraId="5D9868C6" w14:textId="5FD0FF54" w:rsidR="00E52C00" w:rsidRPr="00B117AF" w:rsidRDefault="00E52C00" w:rsidP="00434CE3">
            <w:pPr>
              <w:spacing w:line="360" w:lineRule="auto"/>
              <w:rPr>
                <w:rFonts w:ascii="Arial" w:hAnsi="Arial" w:cs="Arial"/>
                <w:b/>
                <w:bCs/>
              </w:rPr>
            </w:pPr>
            <w:r w:rsidRPr="00B117AF">
              <w:rPr>
                <w:rFonts w:ascii="Arial" w:hAnsi="Arial" w:cs="Arial"/>
                <w:b/>
                <w:bCs/>
              </w:rPr>
              <w:t>Year</w:t>
            </w:r>
          </w:p>
        </w:tc>
        <w:tc>
          <w:tcPr>
            <w:tcW w:w="2254" w:type="dxa"/>
            <w:shd w:val="clear" w:color="auto" w:fill="99CCFF"/>
          </w:tcPr>
          <w:p w14:paraId="3AF86BBE" w14:textId="3C79E9F2" w:rsidR="00E52C00" w:rsidRPr="00B117AF" w:rsidRDefault="00E52C00" w:rsidP="00434CE3">
            <w:pPr>
              <w:spacing w:line="360" w:lineRule="auto"/>
              <w:rPr>
                <w:rFonts w:ascii="Arial" w:hAnsi="Arial" w:cs="Arial"/>
                <w:b/>
                <w:bCs/>
              </w:rPr>
            </w:pPr>
            <w:r w:rsidRPr="00B117AF">
              <w:rPr>
                <w:rFonts w:ascii="Arial" w:hAnsi="Arial" w:cs="Arial"/>
                <w:b/>
                <w:bCs/>
              </w:rPr>
              <w:t>0-30</w:t>
            </w:r>
          </w:p>
        </w:tc>
        <w:tc>
          <w:tcPr>
            <w:tcW w:w="2254" w:type="dxa"/>
            <w:shd w:val="clear" w:color="auto" w:fill="99CCFF"/>
          </w:tcPr>
          <w:p w14:paraId="674A1C81" w14:textId="1B9754C1" w:rsidR="00E52C00" w:rsidRPr="00B117AF" w:rsidRDefault="00E52C00" w:rsidP="00434CE3">
            <w:pPr>
              <w:spacing w:line="360" w:lineRule="auto"/>
              <w:rPr>
                <w:rFonts w:ascii="Arial" w:hAnsi="Arial" w:cs="Arial"/>
                <w:b/>
                <w:bCs/>
              </w:rPr>
            </w:pPr>
            <w:r w:rsidRPr="00B117AF">
              <w:rPr>
                <w:rFonts w:ascii="Arial" w:hAnsi="Arial" w:cs="Arial"/>
                <w:b/>
                <w:bCs/>
              </w:rPr>
              <w:t>31-75</w:t>
            </w:r>
          </w:p>
        </w:tc>
        <w:tc>
          <w:tcPr>
            <w:tcW w:w="2254" w:type="dxa"/>
            <w:shd w:val="clear" w:color="auto" w:fill="99CCFF"/>
          </w:tcPr>
          <w:p w14:paraId="213481D1" w14:textId="49FC2DB3" w:rsidR="00E52C00" w:rsidRPr="00B117AF" w:rsidRDefault="00E52C00" w:rsidP="00434CE3">
            <w:pPr>
              <w:spacing w:line="360" w:lineRule="auto"/>
              <w:rPr>
                <w:rFonts w:ascii="Arial" w:hAnsi="Arial" w:cs="Arial"/>
                <w:b/>
                <w:bCs/>
              </w:rPr>
            </w:pPr>
            <w:r w:rsidRPr="00B117AF">
              <w:rPr>
                <w:rFonts w:ascii="Arial" w:hAnsi="Arial" w:cs="Arial"/>
                <w:b/>
                <w:bCs/>
              </w:rPr>
              <w:t>76-125</w:t>
            </w:r>
          </w:p>
        </w:tc>
      </w:tr>
      <w:tr w:rsidR="00E52C00" w14:paraId="7EC244A6" w14:textId="77777777" w:rsidTr="00E52C00">
        <w:tc>
          <w:tcPr>
            <w:tcW w:w="2254" w:type="dxa"/>
          </w:tcPr>
          <w:p w14:paraId="1AC69321" w14:textId="6631C1B0" w:rsidR="00E52C00" w:rsidRDefault="00E52C00" w:rsidP="00434CE3">
            <w:pPr>
              <w:spacing w:line="360" w:lineRule="auto"/>
              <w:rPr>
                <w:rFonts w:ascii="Arial" w:hAnsi="Arial" w:cs="Arial"/>
              </w:rPr>
            </w:pPr>
            <w:r>
              <w:rPr>
                <w:rFonts w:ascii="Arial" w:hAnsi="Arial" w:cs="Arial"/>
              </w:rPr>
              <w:t>STPR (standard)</w:t>
            </w:r>
          </w:p>
        </w:tc>
        <w:tc>
          <w:tcPr>
            <w:tcW w:w="2254" w:type="dxa"/>
          </w:tcPr>
          <w:p w14:paraId="4F072B09" w14:textId="5F8D430D" w:rsidR="00E52C00" w:rsidRDefault="00F3312B" w:rsidP="00434CE3">
            <w:pPr>
              <w:spacing w:line="360" w:lineRule="auto"/>
              <w:rPr>
                <w:rFonts w:ascii="Arial" w:hAnsi="Arial" w:cs="Arial"/>
              </w:rPr>
            </w:pPr>
            <w:r>
              <w:rPr>
                <w:rFonts w:ascii="Arial" w:hAnsi="Arial" w:cs="Arial"/>
              </w:rPr>
              <w:t>3.50%</w:t>
            </w:r>
          </w:p>
        </w:tc>
        <w:tc>
          <w:tcPr>
            <w:tcW w:w="2254" w:type="dxa"/>
          </w:tcPr>
          <w:p w14:paraId="610ACE23" w14:textId="7496B92A" w:rsidR="00E52C00" w:rsidRDefault="00663C75" w:rsidP="00434CE3">
            <w:pPr>
              <w:spacing w:line="360" w:lineRule="auto"/>
              <w:rPr>
                <w:rFonts w:ascii="Arial" w:hAnsi="Arial" w:cs="Arial"/>
              </w:rPr>
            </w:pPr>
            <w:r>
              <w:rPr>
                <w:rFonts w:ascii="Arial" w:hAnsi="Arial" w:cs="Arial"/>
              </w:rPr>
              <w:t>3.00%</w:t>
            </w:r>
          </w:p>
        </w:tc>
        <w:tc>
          <w:tcPr>
            <w:tcW w:w="2254" w:type="dxa"/>
          </w:tcPr>
          <w:p w14:paraId="7692F4B2" w14:textId="44F38E1D" w:rsidR="00E52C00" w:rsidRDefault="00B117AF" w:rsidP="00434CE3">
            <w:pPr>
              <w:spacing w:line="360" w:lineRule="auto"/>
              <w:rPr>
                <w:rFonts w:ascii="Arial" w:hAnsi="Arial" w:cs="Arial"/>
              </w:rPr>
            </w:pPr>
            <w:r>
              <w:rPr>
                <w:rFonts w:ascii="Arial" w:hAnsi="Arial" w:cs="Arial"/>
              </w:rPr>
              <w:t>2.50%</w:t>
            </w:r>
          </w:p>
        </w:tc>
      </w:tr>
      <w:tr w:rsidR="00E52C00" w14:paraId="17FDFAE0" w14:textId="77777777" w:rsidTr="00E52C00">
        <w:tc>
          <w:tcPr>
            <w:tcW w:w="2254" w:type="dxa"/>
          </w:tcPr>
          <w:p w14:paraId="7DD09B66" w14:textId="62E3195F" w:rsidR="00E52C00" w:rsidRDefault="00213B76" w:rsidP="00434CE3">
            <w:pPr>
              <w:spacing w:line="360" w:lineRule="auto"/>
              <w:rPr>
                <w:rFonts w:ascii="Arial" w:hAnsi="Arial" w:cs="Arial"/>
              </w:rPr>
            </w:pPr>
            <w:r>
              <w:rPr>
                <w:rFonts w:ascii="Arial" w:hAnsi="Arial" w:cs="Arial"/>
              </w:rPr>
              <w:t>STPR (reduced rate where pure STP = 0)</w:t>
            </w:r>
          </w:p>
        </w:tc>
        <w:tc>
          <w:tcPr>
            <w:tcW w:w="2254" w:type="dxa"/>
          </w:tcPr>
          <w:p w14:paraId="46E68513" w14:textId="3A044BC6" w:rsidR="00E52C00" w:rsidRDefault="00F3312B" w:rsidP="00434CE3">
            <w:pPr>
              <w:spacing w:line="360" w:lineRule="auto"/>
              <w:rPr>
                <w:rFonts w:ascii="Arial" w:hAnsi="Arial" w:cs="Arial"/>
              </w:rPr>
            </w:pPr>
            <w:r>
              <w:rPr>
                <w:rFonts w:ascii="Arial" w:hAnsi="Arial" w:cs="Arial"/>
              </w:rPr>
              <w:t>3.00%</w:t>
            </w:r>
          </w:p>
        </w:tc>
        <w:tc>
          <w:tcPr>
            <w:tcW w:w="2254" w:type="dxa"/>
          </w:tcPr>
          <w:p w14:paraId="148C0ED5" w14:textId="09C806E7" w:rsidR="00E52C00" w:rsidRDefault="00663C75" w:rsidP="00434CE3">
            <w:pPr>
              <w:spacing w:line="360" w:lineRule="auto"/>
              <w:rPr>
                <w:rFonts w:ascii="Arial" w:hAnsi="Arial" w:cs="Arial"/>
              </w:rPr>
            </w:pPr>
            <w:r>
              <w:rPr>
                <w:rFonts w:ascii="Arial" w:hAnsi="Arial" w:cs="Arial"/>
              </w:rPr>
              <w:t>2.57%</w:t>
            </w:r>
          </w:p>
        </w:tc>
        <w:tc>
          <w:tcPr>
            <w:tcW w:w="2254" w:type="dxa"/>
          </w:tcPr>
          <w:p w14:paraId="5C21CE8E" w14:textId="63F3FA01" w:rsidR="00E52C00" w:rsidRDefault="00B117AF" w:rsidP="00434CE3">
            <w:pPr>
              <w:spacing w:line="360" w:lineRule="auto"/>
              <w:rPr>
                <w:rFonts w:ascii="Arial" w:hAnsi="Arial" w:cs="Arial"/>
              </w:rPr>
            </w:pPr>
            <w:r>
              <w:rPr>
                <w:rFonts w:ascii="Arial" w:hAnsi="Arial" w:cs="Arial"/>
              </w:rPr>
              <w:t>2.14%</w:t>
            </w:r>
          </w:p>
        </w:tc>
      </w:tr>
      <w:tr w:rsidR="00E52C00" w14:paraId="70A4169C" w14:textId="77777777" w:rsidTr="00E52C00">
        <w:tc>
          <w:tcPr>
            <w:tcW w:w="2254" w:type="dxa"/>
          </w:tcPr>
          <w:p w14:paraId="058E1C53" w14:textId="3A53648D" w:rsidR="00E52C00" w:rsidRDefault="00213B76" w:rsidP="00434CE3">
            <w:pPr>
              <w:spacing w:line="360" w:lineRule="auto"/>
              <w:rPr>
                <w:rFonts w:ascii="Arial" w:hAnsi="Arial" w:cs="Arial"/>
              </w:rPr>
            </w:pPr>
            <w:r>
              <w:rPr>
                <w:rFonts w:ascii="Arial" w:hAnsi="Arial" w:cs="Arial"/>
              </w:rPr>
              <w:t>Health</w:t>
            </w:r>
          </w:p>
        </w:tc>
        <w:tc>
          <w:tcPr>
            <w:tcW w:w="2254" w:type="dxa"/>
          </w:tcPr>
          <w:p w14:paraId="37E1516D" w14:textId="04133293" w:rsidR="00E52C00" w:rsidRDefault="00F3312B" w:rsidP="00434CE3">
            <w:pPr>
              <w:spacing w:line="360" w:lineRule="auto"/>
              <w:rPr>
                <w:rFonts w:ascii="Arial" w:hAnsi="Arial" w:cs="Arial"/>
              </w:rPr>
            </w:pPr>
            <w:r>
              <w:rPr>
                <w:rFonts w:ascii="Arial" w:hAnsi="Arial" w:cs="Arial"/>
              </w:rPr>
              <w:t>1.50%</w:t>
            </w:r>
          </w:p>
        </w:tc>
        <w:tc>
          <w:tcPr>
            <w:tcW w:w="2254" w:type="dxa"/>
          </w:tcPr>
          <w:p w14:paraId="59FDA20E" w14:textId="671334F4" w:rsidR="00E52C00" w:rsidRDefault="00663C75" w:rsidP="00434CE3">
            <w:pPr>
              <w:spacing w:line="360" w:lineRule="auto"/>
              <w:rPr>
                <w:rFonts w:ascii="Arial" w:hAnsi="Arial" w:cs="Arial"/>
              </w:rPr>
            </w:pPr>
            <w:r>
              <w:rPr>
                <w:rFonts w:ascii="Arial" w:hAnsi="Arial" w:cs="Arial"/>
              </w:rPr>
              <w:t>1.29%</w:t>
            </w:r>
          </w:p>
        </w:tc>
        <w:tc>
          <w:tcPr>
            <w:tcW w:w="2254" w:type="dxa"/>
          </w:tcPr>
          <w:p w14:paraId="723EDCA8" w14:textId="49D25611" w:rsidR="00E52C00" w:rsidRDefault="00B117AF" w:rsidP="00434CE3">
            <w:pPr>
              <w:spacing w:line="360" w:lineRule="auto"/>
              <w:rPr>
                <w:rFonts w:ascii="Arial" w:hAnsi="Arial" w:cs="Arial"/>
              </w:rPr>
            </w:pPr>
            <w:r>
              <w:rPr>
                <w:rFonts w:ascii="Arial" w:hAnsi="Arial" w:cs="Arial"/>
              </w:rPr>
              <w:t>1.07%</w:t>
            </w:r>
          </w:p>
        </w:tc>
      </w:tr>
      <w:tr w:rsidR="00E52C00" w14:paraId="27E88C08" w14:textId="77777777" w:rsidTr="00E52C00">
        <w:tc>
          <w:tcPr>
            <w:tcW w:w="2254" w:type="dxa"/>
          </w:tcPr>
          <w:p w14:paraId="620448FE" w14:textId="4E893A05" w:rsidR="00E52C00" w:rsidRDefault="00213B76" w:rsidP="00434CE3">
            <w:pPr>
              <w:spacing w:line="360" w:lineRule="auto"/>
              <w:rPr>
                <w:rFonts w:ascii="Arial" w:hAnsi="Arial" w:cs="Arial"/>
              </w:rPr>
            </w:pPr>
            <w:r>
              <w:rPr>
                <w:rFonts w:ascii="Arial" w:hAnsi="Arial" w:cs="Arial"/>
              </w:rPr>
              <w:t xml:space="preserve">Health </w:t>
            </w:r>
            <w:r w:rsidR="00F3312B">
              <w:rPr>
                <w:rFonts w:ascii="Arial" w:hAnsi="Arial" w:cs="Arial"/>
              </w:rPr>
              <w:t>(reduced rate where pure STP = 0)</w:t>
            </w:r>
          </w:p>
        </w:tc>
        <w:tc>
          <w:tcPr>
            <w:tcW w:w="2254" w:type="dxa"/>
          </w:tcPr>
          <w:p w14:paraId="59712EE2" w14:textId="357437BE" w:rsidR="00E52C00" w:rsidRDefault="00F3312B" w:rsidP="00434CE3">
            <w:pPr>
              <w:spacing w:line="360" w:lineRule="auto"/>
              <w:rPr>
                <w:rFonts w:ascii="Arial" w:hAnsi="Arial" w:cs="Arial"/>
              </w:rPr>
            </w:pPr>
            <w:r>
              <w:rPr>
                <w:rFonts w:ascii="Arial" w:hAnsi="Arial" w:cs="Arial"/>
              </w:rPr>
              <w:t>1.00%</w:t>
            </w:r>
          </w:p>
        </w:tc>
        <w:tc>
          <w:tcPr>
            <w:tcW w:w="2254" w:type="dxa"/>
          </w:tcPr>
          <w:p w14:paraId="6620828B" w14:textId="0FB91772" w:rsidR="00E52C00" w:rsidRDefault="00663C75" w:rsidP="00434CE3">
            <w:pPr>
              <w:spacing w:line="360" w:lineRule="auto"/>
              <w:rPr>
                <w:rFonts w:ascii="Arial" w:hAnsi="Arial" w:cs="Arial"/>
              </w:rPr>
            </w:pPr>
            <w:r>
              <w:rPr>
                <w:rFonts w:ascii="Arial" w:hAnsi="Arial" w:cs="Arial"/>
              </w:rPr>
              <w:t>0.86%</w:t>
            </w:r>
          </w:p>
        </w:tc>
        <w:tc>
          <w:tcPr>
            <w:tcW w:w="2254" w:type="dxa"/>
          </w:tcPr>
          <w:p w14:paraId="083D04A9" w14:textId="2E638251" w:rsidR="00E52C00" w:rsidRDefault="00B117AF" w:rsidP="00434CE3">
            <w:pPr>
              <w:spacing w:line="360" w:lineRule="auto"/>
              <w:rPr>
                <w:rFonts w:ascii="Arial" w:hAnsi="Arial" w:cs="Arial"/>
              </w:rPr>
            </w:pPr>
            <w:r>
              <w:rPr>
                <w:rFonts w:ascii="Arial" w:hAnsi="Arial" w:cs="Arial"/>
              </w:rPr>
              <w:t>0.71%</w:t>
            </w:r>
          </w:p>
        </w:tc>
      </w:tr>
    </w:tbl>
    <w:p w14:paraId="0C7BBE93" w14:textId="432602F1" w:rsidR="002A520A" w:rsidRPr="001F5E1D" w:rsidRDefault="00DD4FCC" w:rsidP="007E69C5">
      <w:pPr>
        <w:pStyle w:val="Caption"/>
        <w:spacing w:line="360" w:lineRule="auto"/>
        <w:jc w:val="center"/>
        <w:rPr>
          <w:rFonts w:ascii="Arial" w:hAnsi="Arial" w:cs="Arial"/>
          <w:sz w:val="22"/>
          <w:szCs w:val="22"/>
        </w:rPr>
      </w:pPr>
      <w:bookmarkStart w:id="32" w:name="_Toc66868953"/>
      <w:r w:rsidRPr="001F5E1D">
        <w:rPr>
          <w:rFonts w:ascii="Arial" w:hAnsi="Arial" w:cs="Arial"/>
          <w:sz w:val="22"/>
          <w:szCs w:val="22"/>
        </w:rPr>
        <w:t xml:space="preserve">Figure </w:t>
      </w:r>
      <w:r w:rsidR="005F0DF6" w:rsidRPr="001F5E1D">
        <w:rPr>
          <w:rFonts w:ascii="Arial" w:hAnsi="Arial" w:cs="Arial"/>
          <w:sz w:val="22"/>
          <w:szCs w:val="22"/>
        </w:rPr>
        <w:fldChar w:fldCharType="begin"/>
      </w:r>
      <w:r w:rsidR="005F0DF6" w:rsidRPr="001F5E1D">
        <w:rPr>
          <w:rFonts w:ascii="Arial" w:hAnsi="Arial" w:cs="Arial"/>
          <w:sz w:val="22"/>
          <w:szCs w:val="22"/>
        </w:rPr>
        <w:instrText xml:space="preserve"> SEQ Figure \* ARABIC </w:instrText>
      </w:r>
      <w:r w:rsidR="005F0DF6" w:rsidRPr="001F5E1D">
        <w:rPr>
          <w:rFonts w:ascii="Arial" w:hAnsi="Arial" w:cs="Arial"/>
          <w:sz w:val="22"/>
          <w:szCs w:val="22"/>
        </w:rPr>
        <w:fldChar w:fldCharType="separate"/>
      </w:r>
      <w:r w:rsidR="0063178E">
        <w:rPr>
          <w:rFonts w:ascii="Arial" w:hAnsi="Arial" w:cs="Arial"/>
          <w:noProof/>
          <w:sz w:val="22"/>
          <w:szCs w:val="22"/>
        </w:rPr>
        <w:t>1</w:t>
      </w:r>
      <w:r w:rsidR="005F0DF6" w:rsidRPr="001F5E1D">
        <w:rPr>
          <w:rFonts w:ascii="Arial" w:hAnsi="Arial" w:cs="Arial"/>
          <w:noProof/>
          <w:sz w:val="22"/>
          <w:szCs w:val="22"/>
        </w:rPr>
        <w:fldChar w:fldCharType="end"/>
      </w:r>
      <w:r w:rsidRPr="001F5E1D">
        <w:rPr>
          <w:rFonts w:ascii="Arial" w:hAnsi="Arial" w:cs="Arial"/>
          <w:sz w:val="22"/>
          <w:szCs w:val="22"/>
        </w:rPr>
        <w:t xml:space="preserve"> - Declining Long-Term Discount Rat</w:t>
      </w:r>
      <w:r w:rsidR="006A2B23" w:rsidRPr="001F5E1D">
        <w:rPr>
          <w:rFonts w:ascii="Arial" w:hAnsi="Arial" w:cs="Arial"/>
          <w:sz w:val="22"/>
          <w:szCs w:val="22"/>
        </w:rPr>
        <w:t>es</w:t>
      </w:r>
      <w:bookmarkEnd w:id="32"/>
    </w:p>
    <w:p w14:paraId="0905E786" w14:textId="4964C8DE" w:rsidR="00783258" w:rsidRDefault="00783258" w:rsidP="004A2DD4">
      <w:pPr>
        <w:spacing w:line="360" w:lineRule="auto"/>
        <w:jc w:val="both"/>
        <w:rPr>
          <w:rFonts w:ascii="Arial" w:hAnsi="Arial" w:cs="Arial"/>
        </w:rPr>
      </w:pPr>
      <w:r w:rsidRPr="001F5E1D">
        <w:rPr>
          <w:rFonts w:ascii="Arial" w:hAnsi="Arial" w:cs="Arial"/>
        </w:rPr>
        <w:t>Whole life costing can either be undertaken using the net present cost (</w:t>
      </w:r>
      <w:r w:rsidR="00442BC8">
        <w:rPr>
          <w:rFonts w:ascii="Arial" w:hAnsi="Arial" w:cs="Arial"/>
        </w:rPr>
        <w:t>‘</w:t>
      </w:r>
      <w:r w:rsidRPr="001F5E1D">
        <w:rPr>
          <w:rFonts w:ascii="Arial" w:hAnsi="Arial" w:cs="Arial"/>
        </w:rPr>
        <w:t>NPC</w:t>
      </w:r>
      <w:r w:rsidR="00442BC8">
        <w:rPr>
          <w:rFonts w:ascii="Arial" w:hAnsi="Arial" w:cs="Arial"/>
        </w:rPr>
        <w:t>’</w:t>
      </w:r>
      <w:r w:rsidRPr="001F5E1D">
        <w:rPr>
          <w:rFonts w:ascii="Arial" w:hAnsi="Arial" w:cs="Arial"/>
        </w:rPr>
        <w:t>) or net present value (</w:t>
      </w:r>
      <w:r w:rsidR="00442BC8">
        <w:rPr>
          <w:rFonts w:ascii="Arial" w:hAnsi="Arial" w:cs="Arial"/>
        </w:rPr>
        <w:t>‘</w:t>
      </w:r>
      <w:r w:rsidRPr="001F5E1D">
        <w:rPr>
          <w:rFonts w:ascii="Arial" w:hAnsi="Arial" w:cs="Arial"/>
        </w:rPr>
        <w:t>NPV</w:t>
      </w:r>
      <w:r w:rsidR="00442BC8">
        <w:rPr>
          <w:rFonts w:ascii="Arial" w:hAnsi="Arial" w:cs="Arial"/>
        </w:rPr>
        <w:t>’</w:t>
      </w:r>
      <w:r w:rsidRPr="001F5E1D">
        <w:rPr>
          <w:rFonts w:ascii="Arial" w:hAnsi="Arial" w:cs="Arial"/>
        </w:rPr>
        <w:t>)</w:t>
      </w:r>
      <w:r w:rsidR="007F38C3" w:rsidRPr="001F5E1D">
        <w:rPr>
          <w:rFonts w:ascii="Arial" w:hAnsi="Arial" w:cs="Arial"/>
        </w:rPr>
        <w:t xml:space="preserve"> </w:t>
      </w:r>
      <w:r w:rsidR="007F38C3" w:rsidRPr="001F5E1D">
        <w:rPr>
          <w:rFonts w:ascii="Arial" w:eastAsiaTheme="minorEastAsia" w:hAnsi="Arial" w:cs="Arial"/>
        </w:rPr>
        <w:t>(</w:t>
      </w:r>
      <w:r w:rsidR="007F38C3" w:rsidRPr="001F5E1D">
        <w:rPr>
          <w:rFonts w:ascii="Arial" w:hAnsi="Arial" w:cs="Arial"/>
        </w:rPr>
        <w:t>LoBEG, 2011)</w:t>
      </w:r>
      <w:r w:rsidR="00AE1D35">
        <w:rPr>
          <w:rFonts w:ascii="Arial" w:hAnsi="Arial" w:cs="Arial"/>
        </w:rPr>
        <w:t>.</w:t>
      </w:r>
      <w:r w:rsidR="00AE1D35">
        <w:rPr>
          <w:rFonts w:ascii="Arial" w:eastAsiaTheme="minorEastAsia" w:hAnsi="Arial" w:cs="Arial"/>
        </w:rPr>
        <w:t xml:space="preserve"> </w:t>
      </w:r>
      <w:r w:rsidRPr="001F5E1D">
        <w:rPr>
          <w:rFonts w:ascii="Arial" w:hAnsi="Arial" w:cs="Arial"/>
        </w:rPr>
        <w:t xml:space="preserve">The </w:t>
      </w:r>
      <w:r w:rsidR="00733879" w:rsidRPr="001F5E1D">
        <w:rPr>
          <w:rFonts w:ascii="Arial" w:hAnsi="Arial" w:cs="Arial"/>
        </w:rPr>
        <w:t>n</w:t>
      </w:r>
      <w:r w:rsidRPr="001F5E1D">
        <w:rPr>
          <w:rFonts w:ascii="Arial" w:hAnsi="Arial" w:cs="Arial"/>
        </w:rPr>
        <w:t>et present cost  (</w:t>
      </w:r>
      <w:r w:rsidR="00442BC8">
        <w:rPr>
          <w:rFonts w:ascii="Arial" w:hAnsi="Arial" w:cs="Arial"/>
        </w:rPr>
        <w:t>‘</w:t>
      </w:r>
      <w:r w:rsidRPr="001F5E1D">
        <w:rPr>
          <w:rFonts w:ascii="Arial" w:hAnsi="Arial" w:cs="Arial"/>
        </w:rPr>
        <w:t>NPC</w:t>
      </w:r>
      <w:r w:rsidR="00442BC8">
        <w:rPr>
          <w:rFonts w:ascii="Arial" w:hAnsi="Arial" w:cs="Arial"/>
        </w:rPr>
        <w:t>’</w:t>
      </w:r>
      <w:r w:rsidRPr="001F5E1D">
        <w:rPr>
          <w:rFonts w:ascii="Arial" w:hAnsi="Arial" w:cs="Arial"/>
        </w:rPr>
        <w:t>) is the discounted ‘present cost’ (actual costs incurred) which is calculated using the formula</w:t>
      </w:r>
      <w:r w:rsidR="007331BB">
        <w:rPr>
          <w:rFonts w:ascii="Arial" w:hAnsi="Arial" w:cs="Arial"/>
        </w:rPr>
        <w:t xml:space="preserve"> </w:t>
      </w:r>
      <w:r w:rsidR="00760AF1">
        <w:rPr>
          <w:rFonts w:ascii="Arial" w:hAnsi="Arial" w:cs="Arial"/>
        </w:rPr>
        <w:t xml:space="preserve">in </w:t>
      </w:r>
      <w:r w:rsidR="00E376CA">
        <w:rPr>
          <w:rFonts w:ascii="Arial" w:hAnsi="Arial" w:cs="Arial"/>
        </w:rPr>
        <w:t>E</w:t>
      </w:r>
      <w:r w:rsidR="00760AF1">
        <w:rPr>
          <w:rFonts w:ascii="Arial" w:hAnsi="Arial" w:cs="Arial"/>
        </w:rPr>
        <w:t>quation 1</w:t>
      </w:r>
      <w:r w:rsidR="00D915D5">
        <w:rPr>
          <w:rFonts w:ascii="Arial" w:hAnsi="Arial" w:cs="Arial"/>
        </w:rPr>
        <w:t xml:space="preserve"> </w:t>
      </w:r>
      <w:r w:rsidR="007331BB" w:rsidRPr="001F5E1D">
        <w:rPr>
          <w:rFonts w:ascii="Arial" w:eastAsiaTheme="minorEastAsia" w:hAnsi="Arial" w:cs="Arial"/>
        </w:rPr>
        <w:t>(</w:t>
      </w:r>
      <w:r w:rsidR="007331BB" w:rsidRPr="001F5E1D">
        <w:rPr>
          <w:rFonts w:ascii="Arial" w:hAnsi="Arial" w:cs="Arial"/>
        </w:rPr>
        <w:t>LoBEG, 2011)</w:t>
      </w:r>
      <w:r w:rsidR="00E402A6">
        <w:rPr>
          <w:rFonts w:ascii="Arial" w:hAnsi="Arial" w:cs="Arial"/>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655"/>
        <w:gridCol w:w="799"/>
      </w:tblGrid>
      <w:tr w:rsidR="00B855F4" w14:paraId="1DD3C5A5" w14:textId="77777777" w:rsidTr="00C02C8F">
        <w:tc>
          <w:tcPr>
            <w:tcW w:w="562" w:type="dxa"/>
            <w:vAlign w:val="center"/>
          </w:tcPr>
          <w:p w14:paraId="45C41B16" w14:textId="77777777" w:rsidR="00212E91" w:rsidRDefault="00212E91" w:rsidP="00C02C8F">
            <w:pPr>
              <w:spacing w:line="360" w:lineRule="auto"/>
              <w:jc w:val="center"/>
              <w:rPr>
                <w:rFonts w:ascii="Arial" w:hAnsi="Arial" w:cs="Arial"/>
              </w:rPr>
            </w:pPr>
          </w:p>
        </w:tc>
        <w:tc>
          <w:tcPr>
            <w:tcW w:w="7655" w:type="dxa"/>
            <w:vAlign w:val="center"/>
          </w:tcPr>
          <w:p w14:paraId="0F4FEEFD" w14:textId="0FCD270E" w:rsidR="00212E91" w:rsidRDefault="006645D2" w:rsidP="00C02C8F">
            <w:pPr>
              <w:spacing w:line="360" w:lineRule="auto"/>
              <w:jc w:val="center"/>
              <w:rPr>
                <w:rFonts w:ascii="Arial" w:hAnsi="Arial" w:cs="Arial"/>
              </w:rPr>
            </w:pPr>
            <m:oMathPara>
              <m:oMath>
                <m:r>
                  <w:rPr>
                    <w:rFonts w:ascii="Cambria Math" w:hAnsi="Cambria Math" w:cs="Arial"/>
                  </w:rPr>
                  <m:t>NPC=</m:t>
                </m:r>
                <m:nary>
                  <m:naryPr>
                    <m:chr m:val="∑"/>
                    <m:limLoc m:val="subSup"/>
                    <m:ctrlPr>
                      <w:rPr>
                        <w:rFonts w:ascii="Cambria Math" w:hAnsi="Cambria Math" w:cs="Arial"/>
                        <w:i/>
                      </w:rPr>
                    </m:ctrlPr>
                  </m:naryPr>
                  <m:sub>
                    <m:r>
                      <w:rPr>
                        <w:rFonts w:ascii="Cambria Math" w:hAnsi="Cambria Math" w:cs="Arial"/>
                      </w:rPr>
                      <m:t>t=0</m:t>
                    </m:r>
                  </m:sub>
                  <m:sup>
                    <m:r>
                      <w:rPr>
                        <w:rFonts w:ascii="Cambria Math" w:hAnsi="Cambria Math" w:cs="Arial"/>
                      </w:rPr>
                      <m:t>T</m:t>
                    </m:r>
                  </m:sup>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t</m:t>
                            </m:r>
                          </m:sub>
                        </m:sSub>
                      </m:num>
                      <m:den>
                        <m:r>
                          <w:rPr>
                            <w:rFonts w:ascii="Cambria Math" w:hAnsi="Cambria Math" w:cs="Arial"/>
                          </w:rPr>
                          <m:t>(1+</m:t>
                        </m:r>
                        <m:sSub>
                          <m:sSubPr>
                            <m:ctrlPr>
                              <w:rPr>
                                <w:rFonts w:ascii="Cambria Math" w:hAnsi="Cambria Math" w:cs="Arial"/>
                                <w:i/>
                              </w:rPr>
                            </m:ctrlPr>
                          </m:sSubPr>
                          <m:e>
                            <m:r>
                              <w:rPr>
                                <w:rFonts w:ascii="Cambria Math" w:hAnsi="Cambria Math" w:cs="Arial"/>
                              </w:rPr>
                              <m:t>r</m:t>
                            </m:r>
                          </m:e>
                          <m:sub>
                            <m:r>
                              <w:rPr>
                                <w:rFonts w:ascii="Cambria Math" w:hAnsi="Cambria Math" w:cs="Arial"/>
                              </w:rPr>
                              <m:t>t</m:t>
                            </m:r>
                          </m:sub>
                        </m:sSub>
                        <m:sSup>
                          <m:sSupPr>
                            <m:ctrlPr>
                              <w:rPr>
                                <w:rFonts w:ascii="Cambria Math" w:hAnsi="Cambria Math" w:cs="Arial"/>
                                <w:i/>
                              </w:rPr>
                            </m:ctrlPr>
                          </m:sSupPr>
                          <m:e>
                            <m:r>
                              <w:rPr>
                                <w:rFonts w:ascii="Cambria Math" w:hAnsi="Cambria Math" w:cs="Arial"/>
                              </w:rPr>
                              <m:t>)</m:t>
                            </m:r>
                          </m:e>
                          <m:sup>
                            <m:r>
                              <w:rPr>
                                <w:rFonts w:ascii="Cambria Math" w:hAnsi="Cambria Math" w:cs="Arial"/>
                              </w:rPr>
                              <m:t>t</m:t>
                            </m:r>
                          </m:sup>
                        </m:sSup>
                      </m:den>
                    </m:f>
                  </m:e>
                </m:nary>
              </m:oMath>
            </m:oMathPara>
          </w:p>
        </w:tc>
        <w:tc>
          <w:tcPr>
            <w:tcW w:w="799" w:type="dxa"/>
            <w:vAlign w:val="center"/>
          </w:tcPr>
          <w:p w14:paraId="08902B24" w14:textId="3D2B61DD" w:rsidR="00212E91" w:rsidRDefault="00CA0B8A" w:rsidP="00C02C8F">
            <w:pPr>
              <w:spacing w:line="360" w:lineRule="auto"/>
              <w:jc w:val="center"/>
              <w:rPr>
                <w:rFonts w:ascii="Arial" w:hAnsi="Arial" w:cs="Arial"/>
              </w:rPr>
            </w:pPr>
            <w:r>
              <w:rPr>
                <w:rFonts w:ascii="Arial" w:hAnsi="Arial" w:cs="Arial"/>
              </w:rPr>
              <w:t>(</w:t>
            </w:r>
            <w:r w:rsidR="001548BF">
              <w:rPr>
                <w:rFonts w:ascii="Arial" w:hAnsi="Arial" w:cs="Arial"/>
              </w:rPr>
              <w:fldChar w:fldCharType="begin"/>
            </w:r>
            <w:r w:rsidR="001548BF">
              <w:rPr>
                <w:rFonts w:ascii="Arial" w:hAnsi="Arial" w:cs="Arial"/>
              </w:rPr>
              <w:instrText xml:space="preserve"> Eq </w:instrText>
            </w:r>
            <w:r w:rsidR="001548BF">
              <w:rPr>
                <w:rFonts w:ascii="Arial" w:hAnsi="Arial" w:cs="Arial"/>
              </w:rPr>
              <w:fldChar w:fldCharType="end"/>
            </w:r>
            <w:r w:rsidR="00EE4EC2">
              <w:rPr>
                <w:rFonts w:ascii="Arial" w:hAnsi="Arial" w:cs="Arial"/>
              </w:rPr>
              <w:fldChar w:fldCharType="begin"/>
            </w:r>
            <w:r w:rsidR="00EE4EC2">
              <w:rPr>
                <w:rFonts w:ascii="Arial" w:hAnsi="Arial" w:cs="Arial"/>
              </w:rPr>
              <w:instrText xml:space="preserve"> SEQ  Eq \* MERGEFORMAT </w:instrText>
            </w:r>
            <w:r w:rsidR="00EE4EC2">
              <w:rPr>
                <w:rFonts w:ascii="Arial" w:hAnsi="Arial" w:cs="Arial"/>
              </w:rPr>
              <w:fldChar w:fldCharType="separate"/>
            </w:r>
            <w:r w:rsidR="00EE4EC2">
              <w:rPr>
                <w:rFonts w:ascii="Arial" w:hAnsi="Arial" w:cs="Arial"/>
                <w:noProof/>
              </w:rPr>
              <w:t>1</w:t>
            </w:r>
            <w:r w:rsidR="00EE4EC2">
              <w:rPr>
                <w:rFonts w:ascii="Arial" w:hAnsi="Arial" w:cs="Arial"/>
              </w:rPr>
              <w:fldChar w:fldCharType="end"/>
            </w:r>
            <w:r>
              <w:rPr>
                <w:rFonts w:ascii="Arial" w:hAnsi="Arial" w:cs="Arial"/>
              </w:rPr>
              <w:t>)</w:t>
            </w:r>
          </w:p>
        </w:tc>
      </w:tr>
    </w:tbl>
    <w:p w14:paraId="1F3D472B" w14:textId="198F5928" w:rsidR="00783258" w:rsidRPr="001F5E1D" w:rsidRDefault="00783258" w:rsidP="00783258">
      <w:pPr>
        <w:rPr>
          <w:rFonts w:ascii="Arial" w:eastAsiaTheme="minorEastAsia" w:hAnsi="Arial" w:cs="Arial"/>
        </w:rPr>
      </w:pPr>
      <w:r w:rsidRPr="001F5E1D">
        <w:rPr>
          <w:rFonts w:ascii="Arial" w:eastAsiaTheme="minorEastAsia" w:hAnsi="Arial" w:cs="Arial"/>
        </w:rPr>
        <w:t>Where</w:t>
      </w:r>
      <w:r w:rsidR="00FC7E97">
        <w:rPr>
          <w:rFonts w:ascii="Arial" w:eastAsiaTheme="minorEastAsia" w:hAnsi="Arial" w:cs="Arial"/>
        </w:rPr>
        <w:t>;</w:t>
      </w:r>
    </w:p>
    <w:p w14:paraId="0CE009BA" w14:textId="53F898C9" w:rsidR="00783258" w:rsidRPr="001F5E1D" w:rsidRDefault="00783258" w:rsidP="00783258">
      <w:pPr>
        <w:rPr>
          <w:rFonts w:ascii="Arial" w:eastAsiaTheme="minorEastAsia" w:hAnsi="Arial" w:cs="Arial"/>
        </w:rPr>
      </w:pPr>
      <w:r w:rsidRPr="001F5E1D">
        <w:rPr>
          <w:rFonts w:ascii="Arial" w:eastAsiaTheme="minorEastAsia" w:hAnsi="Arial" w:cs="Arial"/>
        </w:rPr>
        <w:t xml:space="preserve">T = </w:t>
      </w:r>
      <w:r w:rsidR="003112E7">
        <w:rPr>
          <w:rFonts w:ascii="Arial" w:eastAsiaTheme="minorEastAsia" w:hAnsi="Arial" w:cs="Arial"/>
        </w:rPr>
        <w:t>T</w:t>
      </w:r>
      <w:r w:rsidRPr="001F5E1D">
        <w:rPr>
          <w:rFonts w:ascii="Arial" w:eastAsiaTheme="minorEastAsia" w:hAnsi="Arial" w:cs="Arial"/>
        </w:rPr>
        <w:t>ime horizon in years (analysis period)</w:t>
      </w:r>
    </w:p>
    <w:p w14:paraId="09E1D487" w14:textId="3B3D3FDC" w:rsidR="00783258" w:rsidRPr="001F5E1D" w:rsidRDefault="00783258" w:rsidP="00783258">
      <w:pPr>
        <w:rPr>
          <w:rFonts w:ascii="Arial" w:eastAsiaTheme="minorEastAsia" w:hAnsi="Arial" w:cs="Arial"/>
        </w:rPr>
      </w:pPr>
      <w:r w:rsidRPr="001F5E1D">
        <w:rPr>
          <w:rFonts w:ascii="Arial" w:eastAsiaTheme="minorEastAsia" w:hAnsi="Arial" w:cs="Arial"/>
        </w:rPr>
        <w:t xml:space="preserve">t = </w:t>
      </w:r>
      <w:r w:rsidR="003112E7">
        <w:rPr>
          <w:rFonts w:ascii="Arial" w:eastAsiaTheme="minorEastAsia" w:hAnsi="Arial" w:cs="Arial"/>
        </w:rPr>
        <w:t>C</w:t>
      </w:r>
      <w:r w:rsidRPr="001F5E1D">
        <w:rPr>
          <w:rFonts w:ascii="Arial" w:eastAsiaTheme="minorEastAsia" w:hAnsi="Arial" w:cs="Arial"/>
        </w:rPr>
        <w:t>urrent year (t = 0 in base year)</w:t>
      </w:r>
    </w:p>
    <w:p w14:paraId="37A2FC1C" w14:textId="01327F41" w:rsidR="00783258" w:rsidRPr="001F5E1D" w:rsidRDefault="00783258" w:rsidP="00783258">
      <w:pPr>
        <w:rPr>
          <w:rFonts w:ascii="Arial" w:eastAsiaTheme="minorEastAsia" w:hAnsi="Arial" w:cs="Arial"/>
        </w:rPr>
      </w:pPr>
      <w:r w:rsidRPr="001F5E1D">
        <w:rPr>
          <w:rFonts w:ascii="Arial" w:eastAsiaTheme="minorEastAsia" w:hAnsi="Arial" w:cs="Arial"/>
        </w:rPr>
        <w:t>C</w:t>
      </w:r>
      <w:r w:rsidRPr="001F5E1D">
        <w:rPr>
          <w:rFonts w:ascii="Arial" w:eastAsiaTheme="minorEastAsia" w:hAnsi="Arial" w:cs="Arial"/>
          <w:vertAlign w:val="subscript"/>
        </w:rPr>
        <w:t>t</w:t>
      </w:r>
      <w:r w:rsidRPr="001F5E1D">
        <w:rPr>
          <w:rFonts w:ascii="Arial" w:eastAsiaTheme="minorEastAsia" w:hAnsi="Arial" w:cs="Arial"/>
        </w:rPr>
        <w:t xml:space="preserve"> = </w:t>
      </w:r>
      <w:r w:rsidR="003112E7">
        <w:rPr>
          <w:rFonts w:ascii="Arial" w:eastAsiaTheme="minorEastAsia" w:hAnsi="Arial" w:cs="Arial"/>
        </w:rPr>
        <w:t>C</w:t>
      </w:r>
      <w:r w:rsidRPr="001F5E1D">
        <w:rPr>
          <w:rFonts w:ascii="Arial" w:eastAsiaTheme="minorEastAsia" w:hAnsi="Arial" w:cs="Arial"/>
        </w:rPr>
        <w:t>osts incurred in year</w:t>
      </w:r>
    </w:p>
    <w:p w14:paraId="02AE9970" w14:textId="4123BF7E" w:rsidR="00783258" w:rsidRPr="001F5E1D" w:rsidRDefault="00783258" w:rsidP="00783258">
      <w:pPr>
        <w:rPr>
          <w:rFonts w:ascii="Arial" w:eastAsiaTheme="minorEastAsia" w:hAnsi="Arial" w:cs="Arial"/>
        </w:rPr>
      </w:pPr>
      <w:r w:rsidRPr="001F5E1D">
        <w:rPr>
          <w:rFonts w:ascii="Arial" w:eastAsiaTheme="minorEastAsia" w:hAnsi="Arial" w:cs="Arial"/>
        </w:rPr>
        <w:t>R</w:t>
      </w:r>
      <w:r w:rsidRPr="001F5E1D">
        <w:rPr>
          <w:rFonts w:ascii="Arial" w:eastAsiaTheme="minorEastAsia" w:hAnsi="Arial" w:cs="Arial"/>
          <w:vertAlign w:val="subscript"/>
        </w:rPr>
        <w:t>t</w:t>
      </w:r>
      <w:r w:rsidRPr="001F5E1D">
        <w:rPr>
          <w:rFonts w:ascii="Arial" w:eastAsiaTheme="minorEastAsia" w:hAnsi="Arial" w:cs="Arial"/>
        </w:rPr>
        <w:t xml:space="preserve"> = </w:t>
      </w:r>
      <w:r w:rsidR="003112E7">
        <w:rPr>
          <w:rFonts w:ascii="Arial" w:eastAsiaTheme="minorEastAsia" w:hAnsi="Arial" w:cs="Arial"/>
        </w:rPr>
        <w:t>T</w:t>
      </w:r>
      <w:r w:rsidRPr="001F5E1D">
        <w:rPr>
          <w:rFonts w:ascii="Arial" w:eastAsiaTheme="minorEastAsia" w:hAnsi="Arial" w:cs="Arial"/>
        </w:rPr>
        <w:t xml:space="preserve">he discount rate for year t </w:t>
      </w:r>
      <w:r w:rsidR="00A23024" w:rsidRPr="001F5E1D">
        <w:rPr>
          <w:rFonts w:ascii="Arial" w:eastAsiaTheme="minorEastAsia" w:hAnsi="Arial" w:cs="Arial"/>
        </w:rPr>
        <w:t>(</w:t>
      </w:r>
      <w:r w:rsidRPr="001F5E1D">
        <w:rPr>
          <w:rFonts w:ascii="Arial" w:eastAsiaTheme="minorEastAsia" w:hAnsi="Arial" w:cs="Arial"/>
        </w:rPr>
        <w:t>expressed as a fraction</w:t>
      </w:r>
      <w:r w:rsidR="00A23024" w:rsidRPr="001F5E1D">
        <w:rPr>
          <w:rFonts w:ascii="Arial" w:eastAsiaTheme="minorEastAsia" w:hAnsi="Arial" w:cs="Arial"/>
        </w:rPr>
        <w:t>)</w:t>
      </w:r>
    </w:p>
    <w:p w14:paraId="7F411A4D" w14:textId="6805D9DD" w:rsidR="00783258" w:rsidRDefault="00783258" w:rsidP="00783258">
      <w:pPr>
        <w:spacing w:line="360" w:lineRule="auto"/>
        <w:rPr>
          <w:rFonts w:ascii="Arial" w:hAnsi="Arial" w:cs="Arial"/>
        </w:rPr>
      </w:pPr>
      <w:r w:rsidRPr="001F5E1D">
        <w:rPr>
          <w:rFonts w:ascii="Arial" w:hAnsi="Arial" w:cs="Arial"/>
        </w:rPr>
        <w:t xml:space="preserve">The net present value (NPV) is the discounted ‘present value’ </w:t>
      </w:r>
      <w:r w:rsidRPr="001F5E1D">
        <w:rPr>
          <w:rFonts w:ascii="Arial" w:eastAsiaTheme="minorEastAsia" w:hAnsi="Arial" w:cs="Arial"/>
        </w:rPr>
        <w:t xml:space="preserve"> of all costs, plus monetised values for any benefits and disbenefits (e.g. driver delays costs) . </w:t>
      </w:r>
      <w:r w:rsidRPr="001F5E1D">
        <w:rPr>
          <w:rFonts w:ascii="Arial" w:hAnsi="Arial" w:cs="Arial"/>
        </w:rPr>
        <w:t xml:space="preserve">The </w:t>
      </w:r>
      <w:r w:rsidR="00AE03A3" w:rsidRPr="001F5E1D">
        <w:rPr>
          <w:rFonts w:ascii="Arial" w:hAnsi="Arial" w:cs="Arial"/>
        </w:rPr>
        <w:t>net present value (NPV)</w:t>
      </w:r>
      <w:r w:rsidRPr="001F5E1D">
        <w:rPr>
          <w:rFonts w:ascii="Arial" w:hAnsi="Arial" w:cs="Arial"/>
        </w:rPr>
        <w:t xml:space="preserve"> </w:t>
      </w:r>
      <w:r w:rsidR="00AE03A3" w:rsidRPr="001F5E1D">
        <w:rPr>
          <w:rFonts w:ascii="Arial" w:hAnsi="Arial" w:cs="Arial"/>
        </w:rPr>
        <w:t>can be</w:t>
      </w:r>
      <w:r w:rsidRPr="001F5E1D">
        <w:rPr>
          <w:rFonts w:ascii="Arial" w:hAnsi="Arial" w:cs="Arial"/>
        </w:rPr>
        <w:t xml:space="preserve"> calculated using the formula</w:t>
      </w:r>
      <w:r w:rsidR="001A4F9C">
        <w:rPr>
          <w:rFonts w:ascii="Arial" w:hAnsi="Arial" w:cs="Arial"/>
        </w:rPr>
        <w:t xml:space="preserve"> in </w:t>
      </w:r>
      <w:r w:rsidR="00E376CA">
        <w:rPr>
          <w:rFonts w:ascii="Arial" w:hAnsi="Arial" w:cs="Arial"/>
        </w:rPr>
        <w:t>E</w:t>
      </w:r>
      <w:r w:rsidR="001A4F9C">
        <w:rPr>
          <w:rFonts w:ascii="Arial" w:hAnsi="Arial" w:cs="Arial"/>
        </w:rPr>
        <w:t>quation 2</w:t>
      </w:r>
      <w:r w:rsidR="007331BB">
        <w:rPr>
          <w:rFonts w:ascii="Arial" w:hAnsi="Arial" w:cs="Arial"/>
        </w:rPr>
        <w:t xml:space="preserve"> </w:t>
      </w:r>
      <w:r w:rsidR="007331BB" w:rsidRPr="001F5E1D">
        <w:rPr>
          <w:rFonts w:ascii="Arial" w:eastAsiaTheme="minorEastAsia" w:hAnsi="Arial" w:cs="Arial"/>
        </w:rPr>
        <w:t>(</w:t>
      </w:r>
      <w:r w:rsidR="007331BB" w:rsidRPr="001F5E1D">
        <w:rPr>
          <w:rFonts w:ascii="Arial" w:hAnsi="Arial" w:cs="Arial"/>
        </w:rPr>
        <w:t>LoBEG, 2011)</w:t>
      </w:r>
      <w:r w:rsidR="00E402A6">
        <w:rPr>
          <w:rFonts w:ascii="Arial" w:hAnsi="Arial" w:cs="Arial"/>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655"/>
        <w:gridCol w:w="799"/>
      </w:tblGrid>
      <w:tr w:rsidR="00B855F4" w14:paraId="0F5C5344" w14:textId="77777777" w:rsidTr="00C02C8F">
        <w:tc>
          <w:tcPr>
            <w:tcW w:w="562" w:type="dxa"/>
            <w:vAlign w:val="center"/>
          </w:tcPr>
          <w:p w14:paraId="550D02A9" w14:textId="77777777" w:rsidR="005141D5" w:rsidRDefault="005141D5" w:rsidP="00C02C8F">
            <w:pPr>
              <w:spacing w:line="360" w:lineRule="auto"/>
              <w:jc w:val="center"/>
              <w:rPr>
                <w:rFonts w:ascii="Arial" w:hAnsi="Arial" w:cs="Arial"/>
              </w:rPr>
            </w:pPr>
          </w:p>
        </w:tc>
        <w:tc>
          <w:tcPr>
            <w:tcW w:w="7655" w:type="dxa"/>
            <w:vAlign w:val="center"/>
          </w:tcPr>
          <w:p w14:paraId="56D93526" w14:textId="6EE4E6A5" w:rsidR="005141D5" w:rsidRPr="001F5E1D" w:rsidRDefault="005141D5" w:rsidP="005141D5">
            <w:pPr>
              <w:rPr>
                <w:rFonts w:ascii="Arial" w:eastAsiaTheme="minorEastAsia" w:hAnsi="Arial" w:cs="Arial"/>
              </w:rPr>
            </w:pPr>
            <m:oMathPara>
              <m:oMath>
                <m:r>
                  <w:rPr>
                    <w:rFonts w:ascii="Cambria Math" w:hAnsi="Cambria Math" w:cs="Arial"/>
                  </w:rPr>
                  <m:t>NPV=</m:t>
                </m:r>
                <m:nary>
                  <m:naryPr>
                    <m:chr m:val="∑"/>
                    <m:limLoc m:val="subSup"/>
                    <m:ctrlPr>
                      <w:rPr>
                        <w:rFonts w:ascii="Cambria Math" w:hAnsi="Cambria Math" w:cs="Arial"/>
                        <w:i/>
                      </w:rPr>
                    </m:ctrlPr>
                  </m:naryPr>
                  <m:sub>
                    <m:r>
                      <w:rPr>
                        <w:rFonts w:ascii="Cambria Math" w:hAnsi="Cambria Math" w:cs="Arial"/>
                      </w:rPr>
                      <m:t>t=0</m:t>
                    </m:r>
                  </m:sub>
                  <m:sup>
                    <m:r>
                      <w:rPr>
                        <w:rFonts w:ascii="Cambria Math" w:hAnsi="Cambria Math" w:cs="Arial"/>
                      </w:rPr>
                      <m:t>T</m:t>
                    </m:r>
                  </m:sup>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t</m:t>
                            </m:r>
                          </m:sub>
                        </m:sSub>
                      </m:num>
                      <m:den>
                        <m:r>
                          <w:rPr>
                            <w:rFonts w:ascii="Cambria Math" w:hAnsi="Cambria Math" w:cs="Arial"/>
                          </w:rPr>
                          <m:t>(1+</m:t>
                        </m:r>
                        <m:sSub>
                          <m:sSubPr>
                            <m:ctrlPr>
                              <w:rPr>
                                <w:rFonts w:ascii="Cambria Math" w:hAnsi="Cambria Math" w:cs="Arial"/>
                                <w:i/>
                              </w:rPr>
                            </m:ctrlPr>
                          </m:sSubPr>
                          <m:e>
                            <m:r>
                              <w:rPr>
                                <w:rFonts w:ascii="Cambria Math" w:hAnsi="Cambria Math" w:cs="Arial"/>
                              </w:rPr>
                              <m:t>r</m:t>
                            </m:r>
                          </m:e>
                          <m:sub>
                            <m:r>
                              <w:rPr>
                                <w:rFonts w:ascii="Cambria Math" w:hAnsi="Cambria Math" w:cs="Arial"/>
                              </w:rPr>
                              <m:t>t</m:t>
                            </m:r>
                          </m:sub>
                        </m:sSub>
                        <m:sSup>
                          <m:sSupPr>
                            <m:ctrlPr>
                              <w:rPr>
                                <w:rFonts w:ascii="Cambria Math" w:hAnsi="Cambria Math" w:cs="Arial"/>
                                <w:i/>
                              </w:rPr>
                            </m:ctrlPr>
                          </m:sSupPr>
                          <m:e>
                            <m:r>
                              <w:rPr>
                                <w:rFonts w:ascii="Cambria Math" w:hAnsi="Cambria Math" w:cs="Arial"/>
                              </w:rPr>
                              <m:t>)</m:t>
                            </m:r>
                          </m:e>
                          <m:sup>
                            <m:r>
                              <w:rPr>
                                <w:rFonts w:ascii="Cambria Math" w:hAnsi="Cambria Math" w:cs="Arial"/>
                              </w:rPr>
                              <m:t>t</m:t>
                            </m:r>
                          </m:sup>
                        </m:sSup>
                      </m:den>
                    </m:f>
                  </m:e>
                </m:nary>
              </m:oMath>
            </m:oMathPara>
          </w:p>
          <w:p w14:paraId="6F2BEB34" w14:textId="26CF044E" w:rsidR="005141D5" w:rsidRDefault="005141D5" w:rsidP="00C02C8F">
            <w:pPr>
              <w:spacing w:line="360" w:lineRule="auto"/>
              <w:jc w:val="center"/>
              <w:rPr>
                <w:rFonts w:ascii="Arial" w:hAnsi="Arial" w:cs="Arial"/>
              </w:rPr>
            </w:pPr>
          </w:p>
        </w:tc>
        <w:tc>
          <w:tcPr>
            <w:tcW w:w="799" w:type="dxa"/>
            <w:vAlign w:val="center"/>
          </w:tcPr>
          <w:p w14:paraId="02EB139E" w14:textId="7F708660" w:rsidR="005141D5" w:rsidRDefault="005141D5" w:rsidP="00C02C8F">
            <w:pPr>
              <w:spacing w:line="360" w:lineRule="auto"/>
              <w:jc w:val="center"/>
              <w:rPr>
                <w:rFonts w:ascii="Arial" w:hAnsi="Arial" w:cs="Arial"/>
              </w:rPr>
            </w:pPr>
            <w:r>
              <w:rPr>
                <w:rFonts w:ascii="Arial" w:hAnsi="Arial" w:cs="Arial"/>
              </w:rPr>
              <w:t>(</w:t>
            </w:r>
            <w:r>
              <w:rPr>
                <w:rFonts w:ascii="Arial" w:hAnsi="Arial" w:cs="Arial"/>
              </w:rPr>
              <w:fldChar w:fldCharType="begin"/>
            </w:r>
            <w:r>
              <w:rPr>
                <w:rFonts w:ascii="Arial" w:hAnsi="Arial" w:cs="Arial"/>
              </w:rPr>
              <w:instrText xml:space="preserve"> Eq </w:instrText>
            </w:r>
            <w:r>
              <w:rPr>
                <w:rFonts w:ascii="Arial" w:hAnsi="Arial" w:cs="Arial"/>
              </w:rPr>
              <w:fldChar w:fldCharType="end"/>
            </w:r>
            <w:r>
              <w:rPr>
                <w:rFonts w:ascii="Arial" w:hAnsi="Arial" w:cs="Arial"/>
              </w:rPr>
              <w:fldChar w:fldCharType="begin"/>
            </w:r>
            <w:r>
              <w:rPr>
                <w:rFonts w:ascii="Arial" w:hAnsi="Arial" w:cs="Arial"/>
              </w:rPr>
              <w:instrText xml:space="preserve"> SEQ  Eq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w:t>
            </w:r>
          </w:p>
        </w:tc>
      </w:tr>
    </w:tbl>
    <w:p w14:paraId="777B9696" w14:textId="417B8972" w:rsidR="00783258" w:rsidRPr="001F5E1D" w:rsidRDefault="00783258" w:rsidP="00783258">
      <w:pPr>
        <w:rPr>
          <w:rFonts w:ascii="Arial" w:eastAsiaTheme="minorEastAsia" w:hAnsi="Arial" w:cs="Arial"/>
        </w:rPr>
      </w:pPr>
      <w:r w:rsidRPr="001F5E1D">
        <w:rPr>
          <w:rFonts w:ascii="Arial" w:eastAsiaTheme="minorEastAsia" w:hAnsi="Arial" w:cs="Arial"/>
        </w:rPr>
        <w:t>Where</w:t>
      </w:r>
      <w:r w:rsidR="00F66FD0">
        <w:rPr>
          <w:rFonts w:ascii="Arial" w:eastAsiaTheme="minorEastAsia" w:hAnsi="Arial" w:cs="Arial"/>
        </w:rPr>
        <w:t>;</w:t>
      </w:r>
    </w:p>
    <w:p w14:paraId="5B4CF266" w14:textId="1B57245B" w:rsidR="00783258" w:rsidRPr="001F5E1D" w:rsidRDefault="00783258" w:rsidP="00783258">
      <w:pPr>
        <w:rPr>
          <w:rFonts w:ascii="Arial" w:eastAsiaTheme="minorEastAsia" w:hAnsi="Arial" w:cs="Arial"/>
        </w:rPr>
      </w:pPr>
      <w:r w:rsidRPr="001F5E1D">
        <w:rPr>
          <w:rFonts w:ascii="Arial" w:eastAsiaTheme="minorEastAsia" w:hAnsi="Arial" w:cs="Arial"/>
        </w:rPr>
        <w:t xml:space="preserve">T = </w:t>
      </w:r>
      <w:r w:rsidR="00AF47A4">
        <w:rPr>
          <w:rFonts w:ascii="Arial" w:eastAsiaTheme="minorEastAsia" w:hAnsi="Arial" w:cs="Arial"/>
        </w:rPr>
        <w:t>T</w:t>
      </w:r>
      <w:r w:rsidRPr="001F5E1D">
        <w:rPr>
          <w:rFonts w:ascii="Arial" w:eastAsiaTheme="minorEastAsia" w:hAnsi="Arial" w:cs="Arial"/>
        </w:rPr>
        <w:t>ime horizon in years (analysis period)</w:t>
      </w:r>
    </w:p>
    <w:p w14:paraId="31FC2146" w14:textId="060E3497" w:rsidR="00783258" w:rsidRPr="001F5E1D" w:rsidRDefault="00783258" w:rsidP="00783258">
      <w:pPr>
        <w:rPr>
          <w:rFonts w:ascii="Arial" w:eastAsiaTheme="minorEastAsia" w:hAnsi="Arial" w:cs="Arial"/>
        </w:rPr>
      </w:pPr>
      <w:r w:rsidRPr="001F5E1D">
        <w:rPr>
          <w:rFonts w:ascii="Arial" w:eastAsiaTheme="minorEastAsia" w:hAnsi="Arial" w:cs="Arial"/>
        </w:rPr>
        <w:t xml:space="preserve">t = </w:t>
      </w:r>
      <w:r w:rsidR="00AF47A4">
        <w:rPr>
          <w:rFonts w:ascii="Arial" w:eastAsiaTheme="minorEastAsia" w:hAnsi="Arial" w:cs="Arial"/>
        </w:rPr>
        <w:t>C</w:t>
      </w:r>
      <w:r w:rsidRPr="001F5E1D">
        <w:rPr>
          <w:rFonts w:ascii="Arial" w:eastAsiaTheme="minorEastAsia" w:hAnsi="Arial" w:cs="Arial"/>
        </w:rPr>
        <w:t>urrent year (t = 0 in base year)</w:t>
      </w:r>
    </w:p>
    <w:p w14:paraId="30955BB0" w14:textId="2436A330" w:rsidR="00783258" w:rsidRPr="001F5E1D" w:rsidRDefault="00783258" w:rsidP="00783258">
      <w:pPr>
        <w:rPr>
          <w:rFonts w:ascii="Arial" w:eastAsiaTheme="minorEastAsia" w:hAnsi="Arial" w:cs="Arial"/>
        </w:rPr>
      </w:pPr>
      <w:r w:rsidRPr="001F5E1D">
        <w:rPr>
          <w:rFonts w:ascii="Arial" w:eastAsiaTheme="minorEastAsia" w:hAnsi="Arial" w:cs="Arial"/>
        </w:rPr>
        <w:t>M</w:t>
      </w:r>
      <w:r w:rsidRPr="001F5E1D">
        <w:rPr>
          <w:rFonts w:ascii="Arial" w:eastAsiaTheme="minorEastAsia" w:hAnsi="Arial" w:cs="Arial"/>
          <w:vertAlign w:val="subscript"/>
        </w:rPr>
        <w:t>t</w:t>
      </w:r>
      <w:r w:rsidRPr="001F5E1D">
        <w:rPr>
          <w:rFonts w:ascii="Arial" w:eastAsiaTheme="minorEastAsia" w:hAnsi="Arial" w:cs="Arial"/>
        </w:rPr>
        <w:t xml:space="preserve"> = Monetised benefits</w:t>
      </w:r>
      <w:r w:rsidR="002554F1" w:rsidRPr="001F5E1D">
        <w:rPr>
          <w:rFonts w:ascii="Arial" w:eastAsiaTheme="minorEastAsia" w:hAnsi="Arial" w:cs="Arial"/>
        </w:rPr>
        <w:t xml:space="preserve"> </w:t>
      </w:r>
      <w:r w:rsidR="00E16B86" w:rsidRPr="001F5E1D">
        <w:rPr>
          <w:rFonts w:ascii="Arial" w:eastAsiaTheme="minorEastAsia" w:hAnsi="Arial" w:cs="Arial"/>
        </w:rPr>
        <w:t>and</w:t>
      </w:r>
      <w:r w:rsidRPr="001F5E1D">
        <w:rPr>
          <w:rFonts w:ascii="Arial" w:eastAsiaTheme="minorEastAsia" w:hAnsi="Arial" w:cs="Arial"/>
        </w:rPr>
        <w:t xml:space="preserve"> disbenefits </w:t>
      </w:r>
    </w:p>
    <w:p w14:paraId="21C8A452" w14:textId="40A6D2E5" w:rsidR="005F612F" w:rsidRPr="001F5E1D" w:rsidRDefault="00783258" w:rsidP="007C56F7">
      <w:pPr>
        <w:spacing w:line="360" w:lineRule="auto"/>
        <w:rPr>
          <w:rFonts w:ascii="Arial" w:eastAsiaTheme="minorEastAsia" w:hAnsi="Arial" w:cs="Arial"/>
        </w:rPr>
      </w:pPr>
      <w:r w:rsidRPr="001F5E1D">
        <w:rPr>
          <w:rFonts w:ascii="Arial" w:eastAsiaTheme="minorEastAsia" w:hAnsi="Arial" w:cs="Arial"/>
        </w:rPr>
        <w:t>R</w:t>
      </w:r>
      <w:r w:rsidRPr="001F5E1D">
        <w:rPr>
          <w:rFonts w:ascii="Arial" w:eastAsiaTheme="minorEastAsia" w:hAnsi="Arial" w:cs="Arial"/>
          <w:vertAlign w:val="subscript"/>
        </w:rPr>
        <w:t>t</w:t>
      </w:r>
      <w:r w:rsidRPr="001F5E1D">
        <w:rPr>
          <w:rFonts w:ascii="Arial" w:eastAsiaTheme="minorEastAsia" w:hAnsi="Arial" w:cs="Arial"/>
        </w:rPr>
        <w:t xml:space="preserve"> = </w:t>
      </w:r>
      <w:r w:rsidR="00AF47A4">
        <w:rPr>
          <w:rFonts w:ascii="Arial" w:eastAsiaTheme="minorEastAsia" w:hAnsi="Arial" w:cs="Arial"/>
        </w:rPr>
        <w:t>T</w:t>
      </w:r>
      <w:r w:rsidRPr="001F5E1D">
        <w:rPr>
          <w:rFonts w:ascii="Arial" w:eastAsiaTheme="minorEastAsia" w:hAnsi="Arial" w:cs="Arial"/>
        </w:rPr>
        <w:t>he discount rate for year t, expressed as a fraction</w:t>
      </w:r>
      <w:r w:rsidR="00036F55" w:rsidRPr="001F5E1D">
        <w:rPr>
          <w:rFonts w:ascii="Arial" w:eastAsiaTheme="minorEastAsia" w:hAnsi="Arial" w:cs="Arial"/>
        </w:rPr>
        <w:tab/>
      </w:r>
      <w:r w:rsidR="00036F55" w:rsidRPr="001F5E1D">
        <w:rPr>
          <w:rFonts w:ascii="Arial" w:eastAsiaTheme="minorEastAsia" w:hAnsi="Arial" w:cs="Arial"/>
        </w:rPr>
        <w:tab/>
      </w:r>
      <w:r w:rsidR="00036F55" w:rsidRPr="001F5E1D">
        <w:rPr>
          <w:rFonts w:ascii="Arial" w:eastAsiaTheme="minorEastAsia" w:hAnsi="Arial" w:cs="Arial"/>
        </w:rPr>
        <w:tab/>
      </w:r>
      <w:r w:rsidR="00036F55" w:rsidRPr="001F5E1D">
        <w:rPr>
          <w:rFonts w:ascii="Arial" w:eastAsiaTheme="minorEastAsia" w:hAnsi="Arial" w:cs="Arial"/>
        </w:rPr>
        <w:tab/>
        <w:t xml:space="preserve">       </w:t>
      </w:r>
    </w:p>
    <w:p w14:paraId="2EB25206" w14:textId="06F273FA" w:rsidR="000074F6" w:rsidRPr="001F5E1D" w:rsidRDefault="00783258" w:rsidP="004A2DD4">
      <w:pPr>
        <w:spacing w:line="360" w:lineRule="auto"/>
        <w:jc w:val="both"/>
        <w:rPr>
          <w:rFonts w:ascii="Arial" w:eastAsiaTheme="minorEastAsia" w:hAnsi="Arial" w:cs="Arial"/>
        </w:rPr>
      </w:pPr>
      <w:r w:rsidRPr="001F5E1D">
        <w:rPr>
          <w:rFonts w:ascii="Arial" w:eastAsiaTheme="minorEastAsia" w:hAnsi="Arial" w:cs="Arial"/>
        </w:rPr>
        <w:t xml:space="preserve">To determine the optimal funding for bridge maintenance, </w:t>
      </w:r>
      <w:r w:rsidR="009D28F5" w:rsidRPr="001F5E1D">
        <w:rPr>
          <w:rFonts w:ascii="Arial" w:eastAsiaTheme="minorEastAsia" w:hAnsi="Arial" w:cs="Arial"/>
        </w:rPr>
        <w:t>a</w:t>
      </w:r>
      <w:r w:rsidRPr="001F5E1D">
        <w:rPr>
          <w:rFonts w:ascii="Arial" w:eastAsiaTheme="minorEastAsia" w:hAnsi="Arial" w:cs="Arial"/>
        </w:rPr>
        <w:t xml:space="preserve"> NPV</w:t>
      </w:r>
      <w:r w:rsidR="002539AA">
        <w:rPr>
          <w:rFonts w:ascii="Arial" w:eastAsiaTheme="minorEastAsia" w:hAnsi="Arial" w:cs="Arial"/>
        </w:rPr>
        <w:t xml:space="preserve"> </w:t>
      </w:r>
      <w:r w:rsidR="00764B1F">
        <w:rPr>
          <w:rFonts w:ascii="Arial" w:eastAsiaTheme="minorEastAsia" w:hAnsi="Arial" w:cs="Arial"/>
        </w:rPr>
        <w:t>whole life cost</w:t>
      </w:r>
      <w:r w:rsidR="00CA2E23">
        <w:rPr>
          <w:rFonts w:ascii="Arial" w:eastAsiaTheme="minorEastAsia" w:hAnsi="Arial" w:cs="Arial"/>
        </w:rPr>
        <w:t>ing</w:t>
      </w:r>
      <w:r w:rsidRPr="001F5E1D">
        <w:rPr>
          <w:rFonts w:ascii="Arial" w:eastAsiaTheme="minorEastAsia" w:hAnsi="Arial" w:cs="Arial"/>
        </w:rPr>
        <w:t xml:space="preserve"> approach </w:t>
      </w:r>
      <w:r w:rsidR="006305DC" w:rsidRPr="001F5E1D">
        <w:rPr>
          <w:rFonts w:ascii="Arial" w:eastAsiaTheme="minorEastAsia" w:hAnsi="Arial" w:cs="Arial"/>
        </w:rPr>
        <w:t>would be appropriate</w:t>
      </w:r>
      <w:r w:rsidR="004E55EB" w:rsidRPr="001F5E1D">
        <w:rPr>
          <w:rFonts w:ascii="Arial" w:eastAsiaTheme="minorEastAsia" w:hAnsi="Arial" w:cs="Arial"/>
        </w:rPr>
        <w:t>,</w:t>
      </w:r>
      <w:r w:rsidR="006305DC" w:rsidRPr="001F5E1D">
        <w:rPr>
          <w:rFonts w:ascii="Arial" w:eastAsiaTheme="minorEastAsia" w:hAnsi="Arial" w:cs="Arial"/>
        </w:rPr>
        <w:t xml:space="preserve"> to </w:t>
      </w:r>
      <w:r w:rsidR="002F3761" w:rsidRPr="001F5E1D">
        <w:rPr>
          <w:rFonts w:ascii="Arial" w:eastAsiaTheme="minorEastAsia" w:hAnsi="Arial" w:cs="Arial"/>
        </w:rPr>
        <w:t xml:space="preserve">firstly </w:t>
      </w:r>
      <w:r w:rsidRPr="001F5E1D">
        <w:rPr>
          <w:rFonts w:ascii="Arial" w:eastAsiaTheme="minorEastAsia" w:hAnsi="Arial" w:cs="Arial"/>
        </w:rPr>
        <w:t xml:space="preserve">determine the </w:t>
      </w:r>
      <w:r w:rsidR="00ED13CA" w:rsidRPr="001F5E1D">
        <w:rPr>
          <w:rFonts w:ascii="Arial" w:eastAsiaTheme="minorEastAsia" w:hAnsi="Arial" w:cs="Arial"/>
        </w:rPr>
        <w:t xml:space="preserve">most advantageous </w:t>
      </w:r>
      <w:r w:rsidRPr="001F5E1D">
        <w:rPr>
          <w:rFonts w:ascii="Arial" w:eastAsiaTheme="minorEastAsia" w:hAnsi="Arial" w:cs="Arial"/>
        </w:rPr>
        <w:t>maintenance strategy considering both cost and social economic impact</w:t>
      </w:r>
      <w:r w:rsidR="00ED13CA" w:rsidRPr="001F5E1D">
        <w:rPr>
          <w:rFonts w:ascii="Arial" w:eastAsiaTheme="minorEastAsia" w:hAnsi="Arial" w:cs="Arial"/>
        </w:rPr>
        <w:t>s</w:t>
      </w:r>
      <w:r w:rsidRPr="001F5E1D">
        <w:rPr>
          <w:rFonts w:ascii="Arial" w:eastAsiaTheme="minorEastAsia" w:hAnsi="Arial" w:cs="Arial"/>
        </w:rPr>
        <w:t>. However</w:t>
      </w:r>
      <w:r w:rsidR="007472F1" w:rsidRPr="001F5E1D">
        <w:rPr>
          <w:rFonts w:ascii="Arial" w:eastAsiaTheme="minorEastAsia" w:hAnsi="Arial" w:cs="Arial"/>
        </w:rPr>
        <w:t>,</w:t>
      </w:r>
      <w:r w:rsidRPr="001F5E1D">
        <w:rPr>
          <w:rFonts w:ascii="Arial" w:eastAsiaTheme="minorEastAsia" w:hAnsi="Arial" w:cs="Arial"/>
        </w:rPr>
        <w:t xml:space="preserve"> the </w:t>
      </w:r>
      <w:r w:rsidR="00D179D7" w:rsidRPr="001F5E1D">
        <w:rPr>
          <w:rFonts w:ascii="Arial" w:eastAsiaTheme="minorEastAsia" w:hAnsi="Arial" w:cs="Arial"/>
        </w:rPr>
        <w:t>actual</w:t>
      </w:r>
      <w:r w:rsidR="0036317A" w:rsidRPr="001F5E1D">
        <w:rPr>
          <w:rFonts w:ascii="Arial" w:eastAsiaTheme="minorEastAsia" w:hAnsi="Arial" w:cs="Arial"/>
        </w:rPr>
        <w:t xml:space="preserve"> costs</w:t>
      </w:r>
      <w:r w:rsidRPr="001F5E1D">
        <w:rPr>
          <w:rFonts w:ascii="Arial" w:eastAsiaTheme="minorEastAsia" w:hAnsi="Arial" w:cs="Arial"/>
        </w:rPr>
        <w:t xml:space="preserve"> for the preferred option will be needed</w:t>
      </w:r>
      <w:r w:rsidR="00107751" w:rsidRPr="001F5E1D">
        <w:rPr>
          <w:rFonts w:ascii="Arial" w:eastAsiaTheme="minorEastAsia" w:hAnsi="Arial" w:cs="Arial"/>
        </w:rPr>
        <w:t xml:space="preserve"> to </w:t>
      </w:r>
      <w:r w:rsidRPr="001F5E1D">
        <w:rPr>
          <w:rFonts w:ascii="Arial" w:eastAsiaTheme="minorEastAsia" w:hAnsi="Arial" w:cs="Arial"/>
        </w:rPr>
        <w:t>inform budget requirements.</w:t>
      </w:r>
      <w:r w:rsidR="00126358" w:rsidRPr="001F5E1D">
        <w:rPr>
          <w:rFonts w:ascii="Arial" w:hAnsi="Arial" w:cs="Arial"/>
        </w:rPr>
        <w:t xml:space="preserve"> </w:t>
      </w:r>
      <w:r w:rsidR="000843C1" w:rsidRPr="001F5E1D">
        <w:rPr>
          <w:rFonts w:ascii="Arial" w:hAnsi="Arial" w:cs="Arial"/>
        </w:rPr>
        <w:t>Generally,</w:t>
      </w:r>
      <w:r w:rsidR="00D72ACB" w:rsidRPr="001F5E1D">
        <w:rPr>
          <w:rFonts w:ascii="Arial" w:hAnsi="Arial" w:cs="Arial"/>
        </w:rPr>
        <w:t xml:space="preserve"> </w:t>
      </w:r>
      <w:r w:rsidR="006E0B79" w:rsidRPr="001F5E1D">
        <w:rPr>
          <w:rFonts w:ascii="Arial" w:hAnsi="Arial" w:cs="Arial"/>
        </w:rPr>
        <w:t xml:space="preserve">inflation </w:t>
      </w:r>
      <w:r w:rsidR="000843C1" w:rsidRPr="001F5E1D">
        <w:rPr>
          <w:rFonts w:ascii="Arial" w:hAnsi="Arial" w:cs="Arial"/>
        </w:rPr>
        <w:t xml:space="preserve">is not </w:t>
      </w:r>
      <w:r w:rsidR="00BD0ED1" w:rsidRPr="001F5E1D">
        <w:rPr>
          <w:rFonts w:ascii="Arial" w:hAnsi="Arial" w:cs="Arial"/>
        </w:rPr>
        <w:t>considered</w:t>
      </w:r>
      <w:r w:rsidR="000843C1" w:rsidRPr="001F5E1D">
        <w:rPr>
          <w:rFonts w:ascii="Arial" w:hAnsi="Arial" w:cs="Arial"/>
        </w:rPr>
        <w:t xml:space="preserve"> </w:t>
      </w:r>
      <w:r w:rsidR="006A5221" w:rsidRPr="001F5E1D">
        <w:rPr>
          <w:rFonts w:ascii="Arial" w:hAnsi="Arial" w:cs="Arial"/>
        </w:rPr>
        <w:t xml:space="preserve">where </w:t>
      </w:r>
      <w:r w:rsidR="004F6BAB" w:rsidRPr="001F5E1D">
        <w:rPr>
          <w:rFonts w:ascii="Arial" w:hAnsi="Arial" w:cs="Arial"/>
        </w:rPr>
        <w:t>inflation rates for all costs are approximately equal</w:t>
      </w:r>
      <w:r w:rsidR="00393E0E" w:rsidRPr="001F5E1D">
        <w:rPr>
          <w:rFonts w:ascii="Arial" w:hAnsi="Arial" w:cs="Arial"/>
        </w:rPr>
        <w:t xml:space="preserve"> </w:t>
      </w:r>
      <w:r w:rsidR="00393E0E" w:rsidRPr="001F5E1D">
        <w:rPr>
          <w:rFonts w:ascii="Arial" w:eastAsiaTheme="minorEastAsia" w:hAnsi="Arial" w:cs="Arial"/>
        </w:rPr>
        <w:t>(</w:t>
      </w:r>
      <w:r w:rsidR="00393E0E" w:rsidRPr="001F5E1D">
        <w:rPr>
          <w:rFonts w:ascii="Arial" w:hAnsi="Arial" w:cs="Arial"/>
        </w:rPr>
        <w:t>LoBEG, 2011)</w:t>
      </w:r>
      <w:r w:rsidR="004F6BAB" w:rsidRPr="001F5E1D">
        <w:rPr>
          <w:rFonts w:ascii="Arial" w:hAnsi="Arial" w:cs="Arial"/>
        </w:rPr>
        <w:t>.</w:t>
      </w:r>
      <w:r w:rsidR="004D213B" w:rsidRPr="001F5E1D">
        <w:rPr>
          <w:rFonts w:ascii="Arial" w:hAnsi="Arial" w:cs="Arial"/>
        </w:rPr>
        <w:t xml:space="preserve"> </w:t>
      </w:r>
      <w:r w:rsidR="00DE09C9" w:rsidRPr="001F5E1D">
        <w:rPr>
          <w:rFonts w:ascii="Arial" w:hAnsi="Arial" w:cs="Arial"/>
        </w:rPr>
        <w:t>However, w</w:t>
      </w:r>
      <w:r w:rsidR="00C80B8B" w:rsidRPr="001F5E1D">
        <w:rPr>
          <w:rFonts w:ascii="Arial" w:hAnsi="Arial" w:cs="Arial"/>
        </w:rPr>
        <w:t>here the analysis is being used to inform budget requirements</w:t>
      </w:r>
      <w:r w:rsidR="00150035" w:rsidRPr="001F5E1D">
        <w:rPr>
          <w:rFonts w:ascii="Arial" w:hAnsi="Arial" w:cs="Arial"/>
        </w:rPr>
        <w:t xml:space="preserve">, </w:t>
      </w:r>
      <w:r w:rsidR="00C80B8B" w:rsidRPr="001F5E1D">
        <w:rPr>
          <w:rFonts w:ascii="Arial" w:hAnsi="Arial" w:cs="Arial"/>
        </w:rPr>
        <w:t xml:space="preserve">inflation </w:t>
      </w:r>
      <w:r w:rsidR="00BE4BDB" w:rsidRPr="001F5E1D">
        <w:rPr>
          <w:rFonts w:ascii="Arial" w:hAnsi="Arial" w:cs="Arial"/>
        </w:rPr>
        <w:t>will</w:t>
      </w:r>
      <w:r w:rsidR="006C4958" w:rsidRPr="001F5E1D">
        <w:rPr>
          <w:rFonts w:ascii="Arial" w:hAnsi="Arial" w:cs="Arial"/>
        </w:rPr>
        <w:t xml:space="preserve"> need to </w:t>
      </w:r>
      <w:r w:rsidR="00DE09C9" w:rsidRPr="001F5E1D">
        <w:rPr>
          <w:rFonts w:ascii="Arial" w:hAnsi="Arial" w:cs="Arial"/>
        </w:rPr>
        <w:t>be applied</w:t>
      </w:r>
      <w:r w:rsidR="00AC2229" w:rsidRPr="001F5E1D">
        <w:rPr>
          <w:rFonts w:ascii="Arial" w:hAnsi="Arial" w:cs="Arial"/>
        </w:rPr>
        <w:t xml:space="preserve"> </w:t>
      </w:r>
      <w:r w:rsidR="00D20DF4" w:rsidRPr="001F5E1D">
        <w:rPr>
          <w:rFonts w:ascii="Arial" w:hAnsi="Arial" w:cs="Arial"/>
        </w:rPr>
        <w:t>to</w:t>
      </w:r>
      <w:r w:rsidR="00AC2229" w:rsidRPr="001F5E1D">
        <w:rPr>
          <w:rFonts w:ascii="Arial" w:hAnsi="Arial" w:cs="Arial"/>
        </w:rPr>
        <w:t xml:space="preserve"> the outputs using the appropriate </w:t>
      </w:r>
      <w:r w:rsidR="002E548F" w:rsidRPr="001F5E1D">
        <w:rPr>
          <w:rFonts w:ascii="Arial" w:hAnsi="Arial" w:cs="Arial"/>
        </w:rPr>
        <w:t>index</w:t>
      </w:r>
      <w:r w:rsidR="00393E0E" w:rsidRPr="001F5E1D">
        <w:rPr>
          <w:rFonts w:ascii="Arial" w:hAnsi="Arial" w:cs="Arial"/>
        </w:rPr>
        <w:t xml:space="preserve"> </w:t>
      </w:r>
      <w:r w:rsidR="00393E0E" w:rsidRPr="001F5E1D">
        <w:rPr>
          <w:rFonts w:ascii="Arial" w:eastAsiaTheme="minorEastAsia" w:hAnsi="Arial" w:cs="Arial"/>
        </w:rPr>
        <w:t>(</w:t>
      </w:r>
      <w:r w:rsidR="00393E0E" w:rsidRPr="001F5E1D">
        <w:rPr>
          <w:rFonts w:ascii="Arial" w:hAnsi="Arial" w:cs="Arial"/>
        </w:rPr>
        <w:t>LoBEG, 2011)</w:t>
      </w:r>
      <w:r w:rsidR="0013785E" w:rsidRPr="001F5E1D">
        <w:rPr>
          <w:rFonts w:ascii="Arial" w:hAnsi="Arial" w:cs="Arial"/>
        </w:rPr>
        <w:t>.</w:t>
      </w:r>
      <w:r w:rsidR="001B7801" w:rsidRPr="001F5E1D">
        <w:rPr>
          <w:rFonts w:ascii="Arial" w:hAnsi="Arial" w:cs="Arial"/>
        </w:rPr>
        <w:t xml:space="preserve"> </w:t>
      </w:r>
      <w:r w:rsidR="004E55EB" w:rsidRPr="001F5E1D">
        <w:rPr>
          <w:rFonts w:ascii="Arial" w:hAnsi="Arial" w:cs="Arial"/>
        </w:rPr>
        <w:t>I</w:t>
      </w:r>
      <w:r w:rsidR="003A4D72" w:rsidRPr="001F5E1D">
        <w:rPr>
          <w:rFonts w:ascii="Arial" w:hAnsi="Arial" w:cs="Arial"/>
        </w:rPr>
        <w:t xml:space="preserve">n order to </w:t>
      </w:r>
      <w:r w:rsidR="00261194" w:rsidRPr="001F5E1D">
        <w:rPr>
          <w:rFonts w:ascii="Arial" w:hAnsi="Arial" w:cs="Arial"/>
        </w:rPr>
        <w:t>pro</w:t>
      </w:r>
      <w:r w:rsidR="00296A8D" w:rsidRPr="001F5E1D">
        <w:rPr>
          <w:rFonts w:ascii="Arial" w:hAnsi="Arial" w:cs="Arial"/>
        </w:rPr>
        <w:t>d</w:t>
      </w:r>
      <w:r w:rsidR="00261194" w:rsidRPr="001F5E1D">
        <w:rPr>
          <w:rFonts w:ascii="Arial" w:hAnsi="Arial" w:cs="Arial"/>
        </w:rPr>
        <w:t>u</w:t>
      </w:r>
      <w:r w:rsidR="00296A8D" w:rsidRPr="001F5E1D">
        <w:rPr>
          <w:rFonts w:ascii="Arial" w:hAnsi="Arial" w:cs="Arial"/>
        </w:rPr>
        <w:t>c</w:t>
      </w:r>
      <w:r w:rsidR="00261194" w:rsidRPr="001F5E1D">
        <w:rPr>
          <w:rFonts w:ascii="Arial" w:hAnsi="Arial" w:cs="Arial"/>
        </w:rPr>
        <w:t xml:space="preserve">e </w:t>
      </w:r>
      <w:r w:rsidR="00F342DE" w:rsidRPr="001F5E1D">
        <w:rPr>
          <w:rFonts w:ascii="Arial" w:hAnsi="Arial" w:cs="Arial"/>
        </w:rPr>
        <w:t xml:space="preserve">different </w:t>
      </w:r>
      <w:r w:rsidR="00366836" w:rsidRPr="001F5E1D">
        <w:rPr>
          <w:rFonts w:ascii="Arial" w:hAnsi="Arial" w:cs="Arial"/>
        </w:rPr>
        <w:t xml:space="preserve">maintenance strategies </w:t>
      </w:r>
      <w:r w:rsidR="00261194" w:rsidRPr="001F5E1D">
        <w:rPr>
          <w:rFonts w:ascii="Arial" w:hAnsi="Arial" w:cs="Arial"/>
        </w:rPr>
        <w:t>for comparison using WLC</w:t>
      </w:r>
      <w:r w:rsidR="00296A8D" w:rsidRPr="001F5E1D">
        <w:rPr>
          <w:rFonts w:ascii="Arial" w:hAnsi="Arial" w:cs="Arial"/>
        </w:rPr>
        <w:t>,</w:t>
      </w:r>
      <w:r w:rsidR="00261194" w:rsidRPr="001F5E1D">
        <w:rPr>
          <w:rFonts w:ascii="Arial" w:hAnsi="Arial" w:cs="Arial"/>
        </w:rPr>
        <w:t xml:space="preserve"> </w:t>
      </w:r>
      <w:r w:rsidR="007227B1" w:rsidRPr="001F5E1D">
        <w:rPr>
          <w:rFonts w:ascii="Arial" w:hAnsi="Arial" w:cs="Arial"/>
        </w:rPr>
        <w:t xml:space="preserve">the timings and types of maintenance </w:t>
      </w:r>
      <w:r w:rsidR="00296A8D" w:rsidRPr="001F5E1D">
        <w:rPr>
          <w:rFonts w:ascii="Arial" w:hAnsi="Arial" w:cs="Arial"/>
        </w:rPr>
        <w:t>must be established</w:t>
      </w:r>
      <w:r w:rsidR="00CB1DDD" w:rsidRPr="001F5E1D">
        <w:rPr>
          <w:rFonts w:ascii="Arial" w:hAnsi="Arial" w:cs="Arial"/>
        </w:rPr>
        <w:t xml:space="preserve"> based on predicted deterioration profiles for the </w:t>
      </w:r>
      <w:r w:rsidR="008949BF" w:rsidRPr="001F5E1D">
        <w:rPr>
          <w:rFonts w:ascii="Arial" w:hAnsi="Arial" w:cs="Arial"/>
        </w:rPr>
        <w:t>structure</w:t>
      </w:r>
      <w:r w:rsidR="00261194" w:rsidRPr="001F5E1D">
        <w:rPr>
          <w:rFonts w:ascii="Arial" w:hAnsi="Arial" w:cs="Arial"/>
        </w:rPr>
        <w:t>.</w:t>
      </w:r>
      <w:r w:rsidR="00CB1DDD" w:rsidRPr="001F5E1D">
        <w:rPr>
          <w:rFonts w:ascii="Arial" w:hAnsi="Arial" w:cs="Arial"/>
        </w:rPr>
        <w:t xml:space="preserve"> </w:t>
      </w:r>
      <w:r w:rsidR="00261194" w:rsidRPr="001F5E1D">
        <w:rPr>
          <w:rFonts w:ascii="Arial" w:hAnsi="Arial" w:cs="Arial"/>
        </w:rPr>
        <w:t xml:space="preserve"> </w:t>
      </w:r>
    </w:p>
    <w:p w14:paraId="3711DC13" w14:textId="0E0BC9A6" w:rsidR="00E6012B" w:rsidRPr="00EB148F" w:rsidRDefault="00E6012B" w:rsidP="002F1E28">
      <w:pPr>
        <w:pStyle w:val="Heading2"/>
        <w:spacing w:after="240"/>
        <w:rPr>
          <w:rFonts w:ascii="Arial" w:eastAsia="Times New Roman" w:hAnsi="Arial" w:cs="Arial"/>
          <w:b/>
          <w:bCs/>
          <w:color w:val="auto"/>
          <w:sz w:val="24"/>
          <w:szCs w:val="24"/>
          <w:lang w:eastAsia="en-GB"/>
        </w:rPr>
      </w:pPr>
      <w:bookmarkStart w:id="33" w:name="_Toc66868888"/>
      <w:r w:rsidRPr="00EB148F">
        <w:rPr>
          <w:rFonts w:ascii="Arial" w:eastAsia="Times New Roman" w:hAnsi="Arial" w:cs="Arial"/>
          <w:b/>
          <w:bCs/>
          <w:color w:val="auto"/>
          <w:sz w:val="24"/>
          <w:szCs w:val="24"/>
          <w:lang w:eastAsia="en-GB"/>
        </w:rPr>
        <w:t>Deterioration Rates</w:t>
      </w:r>
      <w:r w:rsidR="00DF6D28" w:rsidRPr="00EB148F">
        <w:rPr>
          <w:rFonts w:ascii="Arial" w:eastAsia="Times New Roman" w:hAnsi="Arial" w:cs="Arial"/>
          <w:b/>
          <w:bCs/>
          <w:color w:val="auto"/>
          <w:sz w:val="24"/>
          <w:szCs w:val="24"/>
          <w:lang w:eastAsia="en-GB"/>
        </w:rPr>
        <w:t xml:space="preserve"> / Profiles</w:t>
      </w:r>
      <w:bookmarkEnd w:id="33"/>
    </w:p>
    <w:p w14:paraId="2667B85E" w14:textId="7418AE49" w:rsidR="00F13557" w:rsidRDefault="00535CB1" w:rsidP="004A2DD4">
      <w:pPr>
        <w:spacing w:line="360" w:lineRule="auto"/>
        <w:jc w:val="both"/>
        <w:rPr>
          <w:rFonts w:ascii="Arial" w:hAnsi="Arial" w:cs="Arial"/>
        </w:rPr>
      </w:pPr>
      <w:r w:rsidRPr="001F5E1D">
        <w:rPr>
          <w:rFonts w:ascii="Arial" w:hAnsi="Arial" w:cs="Arial"/>
        </w:rPr>
        <w:t>T</w:t>
      </w:r>
      <w:r w:rsidR="00D346D2" w:rsidRPr="001F5E1D">
        <w:rPr>
          <w:rFonts w:ascii="Arial" w:hAnsi="Arial" w:cs="Arial"/>
        </w:rPr>
        <w:t>o establish the deterioration profile for a structure</w:t>
      </w:r>
      <w:r w:rsidR="00550011" w:rsidRPr="001F5E1D">
        <w:rPr>
          <w:rFonts w:ascii="Arial" w:hAnsi="Arial" w:cs="Arial"/>
        </w:rPr>
        <w:t xml:space="preserve"> it</w:t>
      </w:r>
      <w:r w:rsidR="00D346D2" w:rsidRPr="001F5E1D">
        <w:rPr>
          <w:rFonts w:ascii="Arial" w:hAnsi="Arial" w:cs="Arial"/>
        </w:rPr>
        <w:t xml:space="preserve"> is </w:t>
      </w:r>
      <w:r w:rsidR="002924A5" w:rsidRPr="001F5E1D">
        <w:rPr>
          <w:rFonts w:ascii="Arial" w:hAnsi="Arial" w:cs="Arial"/>
        </w:rPr>
        <w:t>important to understand the</w:t>
      </w:r>
      <w:r w:rsidR="005A24F2" w:rsidRPr="001F5E1D">
        <w:rPr>
          <w:rFonts w:ascii="Arial" w:hAnsi="Arial" w:cs="Arial"/>
        </w:rPr>
        <w:t xml:space="preserve"> deterioration mechanisms and </w:t>
      </w:r>
      <w:r w:rsidR="00E61255" w:rsidRPr="001F5E1D">
        <w:rPr>
          <w:rFonts w:ascii="Arial" w:hAnsi="Arial" w:cs="Arial"/>
        </w:rPr>
        <w:t>develop a deterioration model.</w:t>
      </w:r>
      <w:r w:rsidR="006D1B7C" w:rsidRPr="001F5E1D">
        <w:rPr>
          <w:rFonts w:ascii="Arial" w:hAnsi="Arial" w:cs="Arial"/>
        </w:rPr>
        <w:t xml:space="preserve"> </w:t>
      </w:r>
    </w:p>
    <w:p w14:paraId="05A007DF" w14:textId="4C2EDDDC" w:rsidR="004A127F" w:rsidRPr="00AF0B8D" w:rsidRDefault="004A127F" w:rsidP="004A127F">
      <w:pPr>
        <w:pStyle w:val="Heading3"/>
        <w:spacing w:line="360" w:lineRule="auto"/>
        <w:rPr>
          <w:rFonts w:cs="Arial"/>
          <w:b w:val="0"/>
          <w:bCs/>
          <w:color w:val="auto"/>
        </w:rPr>
      </w:pPr>
      <w:bookmarkStart w:id="34" w:name="_Toc66868889"/>
      <w:r>
        <w:rPr>
          <w:rFonts w:cs="Arial"/>
          <w:bCs/>
          <w:color w:val="auto"/>
        </w:rPr>
        <w:t>Reinforced Concrete</w:t>
      </w:r>
      <w:r w:rsidRPr="00AF0B8D">
        <w:rPr>
          <w:rFonts w:cs="Arial"/>
          <w:bCs/>
          <w:color w:val="auto"/>
        </w:rPr>
        <w:t xml:space="preserve"> Bridges</w:t>
      </w:r>
      <w:bookmarkEnd w:id="34"/>
    </w:p>
    <w:p w14:paraId="26DB26BC" w14:textId="056247C3" w:rsidR="007140C0" w:rsidRPr="001F5E1D" w:rsidRDefault="005F226A" w:rsidP="004A2DD4">
      <w:pPr>
        <w:spacing w:line="360" w:lineRule="auto"/>
        <w:jc w:val="both"/>
        <w:rPr>
          <w:rFonts w:ascii="Arial" w:hAnsi="Arial" w:cs="Arial"/>
        </w:rPr>
      </w:pPr>
      <w:r w:rsidRPr="001F5E1D">
        <w:rPr>
          <w:rFonts w:ascii="Arial" w:hAnsi="Arial" w:cs="Arial"/>
        </w:rPr>
        <w:t>Deterioration of reinforced concrete bridges occurs mainly due to corrosion of embedded steel reinforcement</w:t>
      </w:r>
      <w:r w:rsidR="00830B76" w:rsidRPr="001F5E1D">
        <w:rPr>
          <w:rFonts w:ascii="Arial" w:hAnsi="Arial" w:cs="Arial"/>
        </w:rPr>
        <w:t xml:space="preserve"> as result of</w:t>
      </w:r>
      <w:r w:rsidRPr="001F5E1D">
        <w:rPr>
          <w:rFonts w:ascii="Arial" w:hAnsi="Arial" w:cs="Arial"/>
        </w:rPr>
        <w:t xml:space="preserve"> carbonation and chloride</w:t>
      </w:r>
      <w:r w:rsidR="00830B76" w:rsidRPr="001F5E1D">
        <w:rPr>
          <w:rFonts w:ascii="Arial" w:hAnsi="Arial" w:cs="Arial"/>
        </w:rPr>
        <w:t>s</w:t>
      </w:r>
      <w:r w:rsidRPr="001F5E1D">
        <w:rPr>
          <w:rFonts w:ascii="Arial" w:hAnsi="Arial" w:cs="Arial"/>
        </w:rPr>
        <w:t>. The rate of deterioration is influenced by several factors including the quality of the concrete, cover to reinforcement and environmental exposure</w:t>
      </w:r>
      <w:r w:rsidR="006E77D1" w:rsidRPr="001F5E1D">
        <w:rPr>
          <w:rFonts w:ascii="Arial" w:hAnsi="Arial" w:cs="Arial"/>
        </w:rPr>
        <w:t xml:space="preserve"> (</w:t>
      </w:r>
      <w:r w:rsidR="007140C0" w:rsidRPr="001F5E1D">
        <w:rPr>
          <w:rFonts w:ascii="Arial" w:hAnsi="Arial" w:cs="Arial"/>
        </w:rPr>
        <w:t xml:space="preserve">e.g. </w:t>
      </w:r>
      <w:r w:rsidR="006E77D1" w:rsidRPr="001F5E1D">
        <w:rPr>
          <w:rFonts w:ascii="Arial" w:hAnsi="Arial" w:cs="Arial"/>
        </w:rPr>
        <w:t xml:space="preserve">traffic </w:t>
      </w:r>
      <w:r w:rsidR="00961FE3" w:rsidRPr="001F5E1D">
        <w:rPr>
          <w:rFonts w:ascii="Arial" w:hAnsi="Arial" w:cs="Arial"/>
        </w:rPr>
        <w:t>loading</w:t>
      </w:r>
      <w:r w:rsidR="00EA7FE4">
        <w:rPr>
          <w:rFonts w:ascii="Arial" w:hAnsi="Arial" w:cs="Arial"/>
        </w:rPr>
        <w:t xml:space="preserve"> &amp;</w:t>
      </w:r>
      <w:r w:rsidR="00961FE3" w:rsidRPr="001F5E1D">
        <w:rPr>
          <w:rFonts w:ascii="Arial" w:hAnsi="Arial" w:cs="Arial"/>
        </w:rPr>
        <w:t xml:space="preserve"> </w:t>
      </w:r>
      <w:r w:rsidR="00A70AC5" w:rsidRPr="001F5E1D">
        <w:rPr>
          <w:rFonts w:ascii="Arial" w:hAnsi="Arial" w:cs="Arial"/>
        </w:rPr>
        <w:t>exposure to chlorides)</w:t>
      </w:r>
      <w:r w:rsidRPr="001F5E1D">
        <w:rPr>
          <w:rFonts w:ascii="Arial" w:hAnsi="Arial" w:cs="Arial"/>
        </w:rPr>
        <w:t xml:space="preserve">. </w:t>
      </w:r>
      <w:r w:rsidR="00026D77" w:rsidRPr="001F5E1D">
        <w:rPr>
          <w:rFonts w:ascii="Arial" w:hAnsi="Arial" w:cs="Arial"/>
        </w:rPr>
        <w:t>(Highways Agency, 2007)</w:t>
      </w:r>
    </w:p>
    <w:p w14:paraId="3BB56BEE" w14:textId="5B263B1F" w:rsidR="0093222B" w:rsidRPr="001F5E1D" w:rsidRDefault="005F226A" w:rsidP="004A2DD4">
      <w:pPr>
        <w:spacing w:line="360" w:lineRule="auto"/>
        <w:jc w:val="both"/>
        <w:rPr>
          <w:rFonts w:ascii="Arial" w:hAnsi="Arial" w:cs="Arial"/>
        </w:rPr>
      </w:pPr>
      <w:r w:rsidRPr="001F5E1D">
        <w:rPr>
          <w:rFonts w:ascii="Arial" w:hAnsi="Arial" w:cs="Arial"/>
        </w:rPr>
        <w:t xml:space="preserve">Carbonation is </w:t>
      </w:r>
      <w:r w:rsidR="00405785" w:rsidRPr="001F5E1D">
        <w:rPr>
          <w:rFonts w:ascii="Arial" w:hAnsi="Arial" w:cs="Arial"/>
        </w:rPr>
        <w:t>a result of</w:t>
      </w:r>
      <w:r w:rsidRPr="001F5E1D">
        <w:rPr>
          <w:rFonts w:ascii="Arial" w:hAnsi="Arial" w:cs="Arial"/>
        </w:rPr>
        <w:t xml:space="preserve"> atmospheric CO</w:t>
      </w:r>
      <w:r w:rsidRPr="00810116">
        <w:rPr>
          <w:rFonts w:ascii="Arial" w:hAnsi="Arial" w:cs="Arial"/>
          <w:vertAlign w:val="subscript"/>
        </w:rPr>
        <w:t>2</w:t>
      </w:r>
      <w:r w:rsidRPr="001F5E1D">
        <w:rPr>
          <w:rFonts w:ascii="Arial" w:hAnsi="Arial" w:cs="Arial"/>
        </w:rPr>
        <w:t xml:space="preserve"> reducing the alkalinity of the concrete. Carbonation starts at the surface of the concrete and progresses toward the steel reinforcement over time</w:t>
      </w:r>
      <w:r w:rsidR="00355EE6" w:rsidRPr="001F5E1D">
        <w:rPr>
          <w:rFonts w:ascii="Arial" w:hAnsi="Arial" w:cs="Arial"/>
        </w:rPr>
        <w:t xml:space="preserve"> (generally slow)</w:t>
      </w:r>
      <w:r w:rsidRPr="001F5E1D">
        <w:rPr>
          <w:rFonts w:ascii="Arial" w:hAnsi="Arial" w:cs="Arial"/>
        </w:rPr>
        <w:t xml:space="preserve">. Chloride ingress is </w:t>
      </w:r>
      <w:r w:rsidR="00783C1E">
        <w:rPr>
          <w:rFonts w:ascii="Arial" w:hAnsi="Arial" w:cs="Arial"/>
        </w:rPr>
        <w:t xml:space="preserve">primarily a result of </w:t>
      </w:r>
      <w:r w:rsidRPr="001F5E1D">
        <w:rPr>
          <w:rFonts w:ascii="Arial" w:hAnsi="Arial" w:cs="Arial"/>
        </w:rPr>
        <w:t xml:space="preserve">de-icing salts. Chloride ions breakdown the protective oxide layer on the embedded steel reinforcement </w:t>
      </w:r>
      <w:r w:rsidR="00355EE6" w:rsidRPr="001F5E1D">
        <w:rPr>
          <w:rFonts w:ascii="Arial" w:hAnsi="Arial" w:cs="Arial"/>
        </w:rPr>
        <w:t xml:space="preserve">causing anodic and cathodic </w:t>
      </w:r>
      <w:r w:rsidR="00A43FB9" w:rsidRPr="001F5E1D">
        <w:rPr>
          <w:rFonts w:ascii="Arial" w:hAnsi="Arial" w:cs="Arial"/>
        </w:rPr>
        <w:t>conditions</w:t>
      </w:r>
      <w:r w:rsidRPr="001F5E1D">
        <w:rPr>
          <w:rFonts w:ascii="Arial" w:hAnsi="Arial" w:cs="Arial"/>
        </w:rPr>
        <w:t>.</w:t>
      </w:r>
      <w:r w:rsidR="00026D77" w:rsidRPr="001F5E1D">
        <w:rPr>
          <w:rFonts w:ascii="Arial" w:hAnsi="Arial" w:cs="Arial"/>
        </w:rPr>
        <w:t xml:space="preserve"> (Highways Agency, 2007)</w:t>
      </w:r>
      <w:r w:rsidRPr="001F5E1D">
        <w:rPr>
          <w:rFonts w:ascii="Arial" w:hAnsi="Arial" w:cs="Arial"/>
        </w:rPr>
        <w:t xml:space="preserve"> </w:t>
      </w:r>
    </w:p>
    <w:p w14:paraId="5A8D0FC1" w14:textId="49DAFC21" w:rsidR="00FA7CA6" w:rsidRPr="001F5E1D" w:rsidRDefault="00FA7CA6" w:rsidP="004A2DD4">
      <w:pPr>
        <w:spacing w:line="360" w:lineRule="auto"/>
        <w:jc w:val="both"/>
        <w:rPr>
          <w:rFonts w:ascii="Arial" w:hAnsi="Arial" w:cs="Arial"/>
        </w:rPr>
      </w:pPr>
      <w:r w:rsidRPr="001F5E1D">
        <w:rPr>
          <w:rFonts w:ascii="Arial" w:hAnsi="Arial" w:cs="Arial"/>
        </w:rPr>
        <w:t>There is a high degree of uncertainty when predicting deterioration rates of bridges</w:t>
      </w:r>
      <w:r w:rsidR="00542C52" w:rsidRPr="001F5E1D">
        <w:rPr>
          <w:rFonts w:ascii="Arial" w:hAnsi="Arial" w:cs="Arial"/>
        </w:rPr>
        <w:t>,</w:t>
      </w:r>
      <w:r w:rsidRPr="001F5E1D">
        <w:rPr>
          <w:rFonts w:ascii="Arial" w:hAnsi="Arial" w:cs="Arial"/>
        </w:rPr>
        <w:t xml:space="preserve"> as the influencing </w:t>
      </w:r>
      <w:r w:rsidR="008C4994" w:rsidRPr="001F5E1D">
        <w:rPr>
          <w:rFonts w:ascii="Arial" w:hAnsi="Arial" w:cs="Arial"/>
        </w:rPr>
        <w:t xml:space="preserve">factors are </w:t>
      </w:r>
      <w:r w:rsidRPr="001F5E1D">
        <w:rPr>
          <w:rFonts w:ascii="Arial" w:hAnsi="Arial" w:cs="Arial"/>
        </w:rPr>
        <w:t>variabl</w:t>
      </w:r>
      <w:r w:rsidR="008C4994" w:rsidRPr="001F5E1D">
        <w:rPr>
          <w:rFonts w:ascii="Arial" w:hAnsi="Arial" w:cs="Arial"/>
        </w:rPr>
        <w:t xml:space="preserve">e and </w:t>
      </w:r>
      <w:r w:rsidR="001C1F0C" w:rsidRPr="001F5E1D">
        <w:rPr>
          <w:rFonts w:ascii="Arial" w:hAnsi="Arial" w:cs="Arial"/>
        </w:rPr>
        <w:t xml:space="preserve">may change throughout the service life </w:t>
      </w:r>
      <w:r w:rsidR="00307663" w:rsidRPr="001F5E1D">
        <w:rPr>
          <w:rFonts w:ascii="Arial" w:hAnsi="Arial" w:cs="Arial"/>
        </w:rPr>
        <w:t>of a structure</w:t>
      </w:r>
      <w:r w:rsidRPr="001F5E1D">
        <w:rPr>
          <w:rFonts w:ascii="Arial" w:hAnsi="Arial" w:cs="Arial"/>
        </w:rPr>
        <w:t xml:space="preserve"> (</w:t>
      </w:r>
      <w:r w:rsidR="002D099C" w:rsidRPr="001F5E1D">
        <w:rPr>
          <w:rFonts w:ascii="Arial" w:hAnsi="Arial" w:cs="Arial"/>
        </w:rPr>
        <w:t xml:space="preserve">for example </w:t>
      </w:r>
      <w:r w:rsidRPr="001F5E1D">
        <w:rPr>
          <w:rFonts w:ascii="Arial" w:hAnsi="Arial" w:cs="Arial"/>
        </w:rPr>
        <w:t>increased loading</w:t>
      </w:r>
      <w:r w:rsidR="002539AA">
        <w:rPr>
          <w:rFonts w:ascii="Arial" w:hAnsi="Arial" w:cs="Arial"/>
        </w:rPr>
        <w:t xml:space="preserve"> </w:t>
      </w:r>
      <w:r w:rsidR="00781F39" w:rsidRPr="001F5E1D">
        <w:rPr>
          <w:rFonts w:ascii="Arial" w:hAnsi="Arial" w:cs="Arial"/>
        </w:rPr>
        <w:t>/</w:t>
      </w:r>
      <w:r w:rsidRPr="001F5E1D">
        <w:rPr>
          <w:rFonts w:ascii="Arial" w:hAnsi="Arial" w:cs="Arial"/>
        </w:rPr>
        <w:t xml:space="preserve"> traffic)</w:t>
      </w:r>
      <w:r w:rsidR="00F96376" w:rsidRPr="00F96376">
        <w:rPr>
          <w:rFonts w:ascii="Arial" w:hAnsi="Arial" w:cs="Arial"/>
        </w:rPr>
        <w:t xml:space="preserve"> </w:t>
      </w:r>
      <w:r w:rsidR="00F96376" w:rsidRPr="001F5E1D">
        <w:rPr>
          <w:rFonts w:ascii="Arial" w:hAnsi="Arial" w:cs="Arial"/>
        </w:rPr>
        <w:t>(</w:t>
      </w:r>
      <w:r w:rsidR="00F96376">
        <w:rPr>
          <w:rFonts w:ascii="Arial" w:hAnsi="Arial" w:cs="Arial"/>
        </w:rPr>
        <w:t>Frangopol &amp; Kim</w:t>
      </w:r>
      <w:r w:rsidR="00F96376" w:rsidRPr="001F5E1D">
        <w:rPr>
          <w:rFonts w:ascii="Arial" w:hAnsi="Arial" w:cs="Arial"/>
        </w:rPr>
        <w:t>, 2014)</w:t>
      </w:r>
      <w:r w:rsidRPr="001F5E1D">
        <w:rPr>
          <w:rFonts w:ascii="Arial" w:hAnsi="Arial" w:cs="Arial"/>
        </w:rPr>
        <w:t xml:space="preserve">. </w:t>
      </w:r>
    </w:p>
    <w:p w14:paraId="0A57C41B" w14:textId="01EBABB7" w:rsidR="0090101C" w:rsidRDefault="0090101C" w:rsidP="004A2DD4">
      <w:pPr>
        <w:autoSpaceDE w:val="0"/>
        <w:autoSpaceDN w:val="0"/>
        <w:adjustRightInd w:val="0"/>
        <w:spacing w:after="0" w:line="360" w:lineRule="auto"/>
        <w:jc w:val="both"/>
        <w:rPr>
          <w:rFonts w:ascii="Arial" w:hAnsi="Arial" w:cs="Arial"/>
        </w:rPr>
      </w:pPr>
      <w:r w:rsidRPr="001F5E1D">
        <w:rPr>
          <w:rFonts w:ascii="Arial" w:hAnsi="Arial" w:cs="Arial"/>
        </w:rPr>
        <w:t xml:space="preserve">Chloride induced corrosion prediction can be estimated using Fick’s second law using the </w:t>
      </w:r>
      <w:r w:rsidR="002E1EC3">
        <w:rPr>
          <w:rFonts w:ascii="Arial" w:hAnsi="Arial" w:cs="Arial"/>
        </w:rPr>
        <w:t xml:space="preserve">formula in </w:t>
      </w:r>
      <w:r w:rsidR="00E376CA">
        <w:rPr>
          <w:rFonts w:ascii="Arial" w:hAnsi="Arial" w:cs="Arial"/>
        </w:rPr>
        <w:t>E</w:t>
      </w:r>
      <w:r w:rsidRPr="001F5E1D">
        <w:rPr>
          <w:rFonts w:ascii="Arial" w:hAnsi="Arial" w:cs="Arial"/>
        </w:rPr>
        <w:t>quation</w:t>
      </w:r>
      <w:r w:rsidR="00173206">
        <w:rPr>
          <w:rFonts w:ascii="Arial" w:hAnsi="Arial" w:cs="Arial"/>
        </w:rPr>
        <w:t xml:space="preserve"> </w:t>
      </w:r>
      <w:r w:rsidR="002E1EC3">
        <w:rPr>
          <w:rFonts w:ascii="Arial" w:hAnsi="Arial" w:cs="Arial"/>
        </w:rPr>
        <w:t xml:space="preserve">3 </w:t>
      </w:r>
      <w:r w:rsidR="00173206" w:rsidRPr="001F5E1D">
        <w:rPr>
          <w:rFonts w:ascii="Arial" w:eastAsiaTheme="minorEastAsia" w:hAnsi="Arial" w:cs="Arial"/>
        </w:rPr>
        <w:t>(</w:t>
      </w:r>
      <w:r w:rsidR="00653052">
        <w:rPr>
          <w:rFonts w:ascii="Arial" w:eastAsiaTheme="minorEastAsia" w:hAnsi="Arial" w:cs="Arial"/>
        </w:rPr>
        <w:t>R</w:t>
      </w:r>
      <w:r w:rsidR="00FC0E84">
        <w:rPr>
          <w:rFonts w:ascii="Arial" w:eastAsiaTheme="minorEastAsia" w:hAnsi="Arial" w:cs="Arial"/>
        </w:rPr>
        <w:t>afiq</w:t>
      </w:r>
      <w:r w:rsidR="008C48C0">
        <w:rPr>
          <w:rFonts w:ascii="Arial" w:eastAsiaTheme="minorEastAsia" w:hAnsi="Arial" w:cs="Arial"/>
        </w:rPr>
        <w:t xml:space="preserve"> et al.</w:t>
      </w:r>
      <w:r w:rsidR="003B0D65">
        <w:rPr>
          <w:rFonts w:ascii="Arial" w:eastAsiaTheme="minorEastAsia" w:hAnsi="Arial" w:cs="Arial"/>
        </w:rPr>
        <w:t xml:space="preserve">, </w:t>
      </w:r>
      <w:r w:rsidR="00173206" w:rsidRPr="001F5E1D">
        <w:rPr>
          <w:rFonts w:ascii="Arial" w:eastAsiaTheme="minorEastAsia" w:hAnsi="Arial" w:cs="Arial"/>
        </w:rPr>
        <w:t>2005)</w:t>
      </w:r>
      <w:r w:rsidR="00E402A6">
        <w:rPr>
          <w:rFonts w:ascii="Arial" w:hAnsi="Arial" w:cs="Arial"/>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655"/>
        <w:gridCol w:w="799"/>
      </w:tblGrid>
      <w:tr w:rsidR="00B855F4" w14:paraId="6BE68699" w14:textId="77777777" w:rsidTr="00C02C8F">
        <w:tc>
          <w:tcPr>
            <w:tcW w:w="562" w:type="dxa"/>
            <w:vAlign w:val="center"/>
          </w:tcPr>
          <w:p w14:paraId="2F15056F" w14:textId="77777777" w:rsidR="00C54B5C" w:rsidRDefault="00C54B5C" w:rsidP="00C02C8F">
            <w:pPr>
              <w:spacing w:line="360" w:lineRule="auto"/>
              <w:jc w:val="center"/>
              <w:rPr>
                <w:rFonts w:ascii="Arial" w:hAnsi="Arial" w:cs="Arial"/>
              </w:rPr>
            </w:pPr>
          </w:p>
        </w:tc>
        <w:tc>
          <w:tcPr>
            <w:tcW w:w="7655" w:type="dxa"/>
            <w:vAlign w:val="center"/>
          </w:tcPr>
          <w:p w14:paraId="1AC3EFC1" w14:textId="0202CDB9" w:rsidR="00C54B5C" w:rsidRPr="001F5E1D" w:rsidRDefault="00000000" w:rsidP="00C02C8F">
            <w:pPr>
              <w:autoSpaceDE w:val="0"/>
              <w:autoSpaceDN w:val="0"/>
              <w:adjustRightInd w:val="0"/>
              <w:rPr>
                <w:rFonts w:ascii="Arial" w:hAnsi="Arial" w:cs="Arial"/>
              </w:rPr>
            </w:pPr>
            <m:oMathPara>
              <m:oMath>
                <m:sSub>
                  <m:sSubPr>
                    <m:ctrlPr>
                      <w:rPr>
                        <w:rFonts w:ascii="Cambria Math" w:hAnsi="Cambria Math" w:cs="Arial"/>
                      </w:rPr>
                    </m:ctrlPr>
                  </m:sSubPr>
                  <m:e>
                    <m:r>
                      <w:rPr>
                        <w:rFonts w:ascii="Cambria Math" w:hAnsi="Cambria Math" w:cs="Arial"/>
                      </w:rPr>
                      <m:t>T</m:t>
                    </m:r>
                  </m:e>
                  <m:sub>
                    <m:r>
                      <m:rPr>
                        <m:sty m:val="p"/>
                      </m:rPr>
                      <w:rPr>
                        <w:rFonts w:ascii="Cambria Math" w:hAnsi="Cambria Math" w:cs="Arial"/>
                      </w:rPr>
                      <m:t>1</m:t>
                    </m:r>
                  </m:sub>
                </m:sSub>
                <m:d>
                  <m:dPr>
                    <m:ctrlPr>
                      <w:rPr>
                        <w:rFonts w:ascii="Cambria Math" w:hAnsi="Cambria Math" w:cs="Arial"/>
                      </w:rPr>
                    </m:ctrlPr>
                  </m:dPr>
                  <m:e>
                    <m:r>
                      <w:rPr>
                        <w:rFonts w:ascii="Cambria Math" w:hAnsi="Cambria Math" w:cs="Arial"/>
                      </w:rPr>
                      <m:t>X</m:t>
                    </m:r>
                  </m:e>
                </m:d>
                <m:r>
                  <m:rPr>
                    <m:sty m:val="p"/>
                  </m:rP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E</m:t>
                        </m:r>
                      </m:e>
                      <m:sub>
                        <m:r>
                          <w:rPr>
                            <w:rFonts w:ascii="Cambria Math" w:hAnsi="Cambria Math" w:cs="Arial"/>
                          </w:rPr>
                          <m:t>mod</m:t>
                        </m:r>
                      </m:sub>
                    </m:sSub>
                    <m:sSup>
                      <m:sSupPr>
                        <m:ctrlPr>
                          <w:rPr>
                            <w:rFonts w:ascii="Cambria Math" w:hAnsi="Cambria Math" w:cs="Arial"/>
                          </w:rPr>
                        </m:ctrlPr>
                      </m:sSupPr>
                      <m:e>
                        <m:r>
                          <w:rPr>
                            <w:rFonts w:ascii="Cambria Math" w:hAnsi="Cambria Math" w:cs="Arial"/>
                          </w:rPr>
                          <m:t>X</m:t>
                        </m:r>
                      </m:e>
                      <m:sup>
                        <m:r>
                          <m:rPr>
                            <m:sty m:val="p"/>
                          </m:rPr>
                          <w:rPr>
                            <w:rFonts w:ascii="Cambria Math" w:hAnsi="Cambria Math" w:cs="Arial"/>
                          </w:rPr>
                          <m:t>2</m:t>
                        </m:r>
                      </m:sup>
                    </m:sSup>
                  </m:num>
                  <m:den>
                    <m:r>
                      <m:rPr>
                        <m:sty m:val="p"/>
                      </m:rPr>
                      <w:rPr>
                        <w:rFonts w:ascii="Cambria Math" w:hAnsi="Cambria Math" w:cs="Arial"/>
                      </w:rPr>
                      <m:t>4</m:t>
                    </m:r>
                    <m:r>
                      <w:rPr>
                        <w:rFonts w:ascii="Cambria Math" w:hAnsi="Cambria Math" w:cs="Arial"/>
                      </w:rPr>
                      <m:t>D</m:t>
                    </m:r>
                    <m:d>
                      <m:dPr>
                        <m:begChr m:val="["/>
                        <m:endChr m:val="]"/>
                        <m:ctrlPr>
                          <w:rPr>
                            <w:rFonts w:ascii="Cambria Math" w:hAnsi="Cambria Math" w:cs="Arial"/>
                          </w:rPr>
                        </m:ctrlPr>
                      </m:dPr>
                      <m:e>
                        <m:sSup>
                          <m:sSupPr>
                            <m:ctrlPr>
                              <w:rPr>
                                <w:rFonts w:ascii="Cambria Math" w:hAnsi="Cambria Math" w:cs="Arial"/>
                              </w:rPr>
                            </m:ctrlPr>
                          </m:sSupPr>
                          <m:e>
                            <m:r>
                              <w:rPr>
                                <w:rFonts w:ascii="Cambria Math" w:hAnsi="Cambria Math" w:cs="Arial"/>
                              </w:rPr>
                              <m:t>erfc</m:t>
                            </m:r>
                          </m:e>
                          <m:sup>
                            <m:r>
                              <m:rPr>
                                <m:sty m:val="p"/>
                              </m:rPr>
                              <w:rPr>
                                <w:rFonts w:ascii="Cambria Math" w:hAnsi="Cambria Math" w:cs="Arial"/>
                              </w:rPr>
                              <m:t>-1</m:t>
                            </m:r>
                          </m:sup>
                        </m:sSup>
                        <m:d>
                          <m:dPr>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w:rPr>
                                        <w:rFonts w:ascii="Cambria Math" w:hAnsi="Cambria Math" w:cs="Arial"/>
                                      </w:rPr>
                                      <m:t>C</m:t>
                                    </m:r>
                                  </m:e>
                                  <m:sub>
                                    <m:r>
                                      <w:rPr>
                                        <w:rFonts w:ascii="Cambria Math" w:hAnsi="Cambria Math" w:cs="Arial"/>
                                      </w:rPr>
                                      <m:t>th</m:t>
                                    </m:r>
                                  </m:sub>
                                </m:sSub>
                              </m:num>
                              <m:den>
                                <m:sSub>
                                  <m:sSubPr>
                                    <m:ctrlPr>
                                      <w:rPr>
                                        <w:rFonts w:ascii="Cambria Math" w:hAnsi="Cambria Math" w:cs="Arial"/>
                                      </w:rPr>
                                    </m:ctrlPr>
                                  </m:sSubPr>
                                  <m:e>
                                    <m:r>
                                      <w:rPr>
                                        <w:rFonts w:ascii="Cambria Math" w:hAnsi="Cambria Math" w:cs="Arial"/>
                                      </w:rPr>
                                      <m:t>C</m:t>
                                    </m:r>
                                  </m:e>
                                  <m:sub>
                                    <m:r>
                                      <w:rPr>
                                        <w:rFonts w:ascii="Cambria Math" w:hAnsi="Cambria Math" w:cs="Arial"/>
                                      </w:rPr>
                                      <m:t>o</m:t>
                                    </m:r>
                                  </m:sub>
                                </m:sSub>
                              </m:den>
                            </m:f>
                          </m:e>
                        </m:d>
                      </m:e>
                    </m:d>
                  </m:den>
                </m:f>
              </m:oMath>
            </m:oMathPara>
          </w:p>
          <w:p w14:paraId="547E4BF7" w14:textId="7D1AA397" w:rsidR="00C54B5C" w:rsidRDefault="00C54B5C" w:rsidP="00C02C8F">
            <w:pPr>
              <w:jc w:val="center"/>
              <w:rPr>
                <w:rFonts w:ascii="Arial" w:hAnsi="Arial" w:cs="Arial"/>
              </w:rPr>
            </w:pPr>
          </w:p>
        </w:tc>
        <w:tc>
          <w:tcPr>
            <w:tcW w:w="799" w:type="dxa"/>
            <w:vAlign w:val="center"/>
          </w:tcPr>
          <w:p w14:paraId="0C351801" w14:textId="28729478" w:rsidR="00C54B5C" w:rsidRDefault="00C54B5C" w:rsidP="00C02C8F">
            <w:pPr>
              <w:spacing w:line="360" w:lineRule="auto"/>
              <w:jc w:val="center"/>
              <w:rPr>
                <w:rFonts w:ascii="Arial" w:hAnsi="Arial" w:cs="Arial"/>
              </w:rPr>
            </w:pPr>
            <w:r>
              <w:rPr>
                <w:rFonts w:ascii="Arial" w:hAnsi="Arial" w:cs="Arial"/>
              </w:rPr>
              <w:t>(</w:t>
            </w:r>
            <w:r>
              <w:rPr>
                <w:rFonts w:ascii="Arial" w:hAnsi="Arial" w:cs="Arial"/>
              </w:rPr>
              <w:fldChar w:fldCharType="begin"/>
            </w:r>
            <w:r>
              <w:rPr>
                <w:rFonts w:ascii="Arial" w:hAnsi="Arial" w:cs="Arial"/>
              </w:rPr>
              <w:instrText xml:space="preserve"> Eq </w:instrText>
            </w:r>
            <w:r>
              <w:rPr>
                <w:rFonts w:ascii="Arial" w:hAnsi="Arial" w:cs="Arial"/>
              </w:rPr>
              <w:fldChar w:fldCharType="end"/>
            </w:r>
            <w:r>
              <w:rPr>
                <w:rFonts w:ascii="Arial" w:hAnsi="Arial" w:cs="Arial"/>
              </w:rPr>
              <w:fldChar w:fldCharType="begin"/>
            </w:r>
            <w:r>
              <w:rPr>
                <w:rFonts w:ascii="Arial" w:hAnsi="Arial" w:cs="Arial"/>
              </w:rPr>
              <w:instrText xml:space="preserve"> SEQ  Eq \* MERGEFORMAT </w:instrText>
            </w:r>
            <w:r>
              <w:rPr>
                <w:rFonts w:ascii="Arial" w:hAnsi="Arial" w:cs="Arial"/>
              </w:rPr>
              <w:fldChar w:fldCharType="separate"/>
            </w:r>
            <w:r>
              <w:rPr>
                <w:rFonts w:ascii="Arial" w:hAnsi="Arial" w:cs="Arial"/>
                <w:noProof/>
              </w:rPr>
              <w:t>3</w:t>
            </w:r>
            <w:r>
              <w:rPr>
                <w:rFonts w:ascii="Arial" w:hAnsi="Arial" w:cs="Arial"/>
              </w:rPr>
              <w:fldChar w:fldCharType="end"/>
            </w:r>
            <w:r>
              <w:rPr>
                <w:rFonts w:ascii="Arial" w:hAnsi="Arial" w:cs="Arial"/>
              </w:rPr>
              <w:t>)</w:t>
            </w:r>
          </w:p>
        </w:tc>
      </w:tr>
    </w:tbl>
    <w:p w14:paraId="1426BD8E" w14:textId="249A4EC7" w:rsidR="0090101C" w:rsidRPr="001F5E1D" w:rsidRDefault="0090101C" w:rsidP="0090101C">
      <w:pPr>
        <w:autoSpaceDE w:val="0"/>
        <w:autoSpaceDN w:val="0"/>
        <w:adjustRightInd w:val="0"/>
        <w:spacing w:after="0" w:line="360" w:lineRule="auto"/>
        <w:rPr>
          <w:rFonts w:ascii="Arial" w:hAnsi="Arial" w:cs="Arial"/>
        </w:rPr>
      </w:pPr>
      <w:r w:rsidRPr="001F5E1D">
        <w:rPr>
          <w:rFonts w:ascii="Arial" w:hAnsi="Arial" w:cs="Arial"/>
        </w:rPr>
        <w:t>Where</w:t>
      </w:r>
      <w:r w:rsidR="00E95920">
        <w:rPr>
          <w:rFonts w:ascii="Arial" w:hAnsi="Arial" w:cs="Arial"/>
        </w:rPr>
        <w:t>;</w:t>
      </w:r>
    </w:p>
    <w:p w14:paraId="2D42B05A" w14:textId="77777777" w:rsidR="0090101C" w:rsidRPr="001F5E1D" w:rsidRDefault="00000000" w:rsidP="0090101C">
      <w:pPr>
        <w:autoSpaceDE w:val="0"/>
        <w:autoSpaceDN w:val="0"/>
        <w:adjustRightInd w:val="0"/>
        <w:spacing w:after="0" w:line="360" w:lineRule="auto"/>
        <w:rPr>
          <w:rFonts w:ascii="Arial" w:hAnsi="Arial" w:cs="Arial"/>
        </w:rPr>
      </w:pPr>
      <m:oMath>
        <m:sSub>
          <m:sSubPr>
            <m:ctrlPr>
              <w:rPr>
                <w:rFonts w:ascii="Cambria Math" w:hAnsi="Cambria Math" w:cs="Arial"/>
              </w:rPr>
            </m:ctrlPr>
          </m:sSubPr>
          <m:e>
            <m:r>
              <w:rPr>
                <w:rFonts w:ascii="Cambria Math" w:hAnsi="Cambria Math" w:cs="Arial"/>
              </w:rPr>
              <m:t>T</m:t>
            </m:r>
          </m:e>
          <m:sub>
            <m:r>
              <m:rPr>
                <m:sty m:val="p"/>
              </m:rPr>
              <w:rPr>
                <w:rFonts w:ascii="Cambria Math" w:hAnsi="Cambria Math" w:cs="Arial"/>
              </w:rPr>
              <m:t>1</m:t>
            </m:r>
          </m:sub>
        </m:sSub>
        <m:d>
          <m:dPr>
            <m:ctrlPr>
              <w:rPr>
                <w:rFonts w:ascii="Cambria Math" w:hAnsi="Cambria Math" w:cs="Arial"/>
              </w:rPr>
            </m:ctrlPr>
          </m:dPr>
          <m:e>
            <m:r>
              <w:rPr>
                <w:rFonts w:ascii="Cambria Math" w:hAnsi="Cambria Math" w:cs="Arial"/>
              </w:rPr>
              <m:t>X</m:t>
            </m:r>
          </m:e>
        </m:d>
      </m:oMath>
      <w:r w:rsidR="0090101C" w:rsidRPr="001F5E1D">
        <w:rPr>
          <w:rFonts w:ascii="Arial" w:hAnsi="Arial" w:cs="Arial"/>
        </w:rPr>
        <w:t xml:space="preserve"> = Time to corrosion initiation at depth X</w:t>
      </w:r>
    </w:p>
    <w:p w14:paraId="72743646" w14:textId="77777777" w:rsidR="0090101C" w:rsidRPr="001F5E1D" w:rsidRDefault="00000000" w:rsidP="0090101C">
      <w:pPr>
        <w:autoSpaceDE w:val="0"/>
        <w:autoSpaceDN w:val="0"/>
        <w:adjustRightInd w:val="0"/>
        <w:spacing w:after="0" w:line="360" w:lineRule="auto"/>
        <w:rPr>
          <w:rFonts w:ascii="Arial" w:hAnsi="Arial" w:cs="Arial"/>
        </w:rPr>
      </w:pPr>
      <m:oMath>
        <m:sSub>
          <m:sSubPr>
            <m:ctrlPr>
              <w:rPr>
                <w:rFonts w:ascii="Cambria Math" w:hAnsi="Cambria Math" w:cs="Arial"/>
              </w:rPr>
            </m:ctrlPr>
          </m:sSubPr>
          <m:e>
            <m:r>
              <w:rPr>
                <w:rFonts w:ascii="Cambria Math" w:hAnsi="Cambria Math" w:cs="Arial"/>
              </w:rPr>
              <m:t>E</m:t>
            </m:r>
          </m:e>
          <m:sub>
            <m:r>
              <w:rPr>
                <w:rFonts w:ascii="Cambria Math" w:hAnsi="Cambria Math" w:cs="Arial"/>
              </w:rPr>
              <m:t>mod</m:t>
            </m:r>
          </m:sub>
        </m:sSub>
      </m:oMath>
      <w:r w:rsidR="0090101C" w:rsidRPr="001F5E1D">
        <w:rPr>
          <w:rFonts w:ascii="Arial" w:hAnsi="Arial" w:cs="Arial"/>
        </w:rPr>
        <w:t xml:space="preserve"> = Modelling uncertainty</w:t>
      </w:r>
    </w:p>
    <w:p w14:paraId="6F530381" w14:textId="41EEFE3A" w:rsidR="0090101C" w:rsidRPr="001F5E1D" w:rsidRDefault="0090101C" w:rsidP="0090101C">
      <w:pPr>
        <w:autoSpaceDE w:val="0"/>
        <w:autoSpaceDN w:val="0"/>
        <w:adjustRightInd w:val="0"/>
        <w:spacing w:after="0" w:line="360" w:lineRule="auto"/>
        <w:rPr>
          <w:rFonts w:ascii="Arial" w:hAnsi="Arial" w:cs="Arial"/>
        </w:rPr>
      </w:pPr>
      <w:r w:rsidRPr="001F5E1D">
        <w:rPr>
          <w:rFonts w:ascii="Arial" w:hAnsi="Arial" w:cs="Arial"/>
        </w:rPr>
        <w:t xml:space="preserve">D = </w:t>
      </w:r>
      <w:r w:rsidR="000073F7">
        <w:rPr>
          <w:rFonts w:ascii="Arial" w:hAnsi="Arial" w:cs="Arial"/>
        </w:rPr>
        <w:t>E</w:t>
      </w:r>
      <w:r w:rsidRPr="001F5E1D">
        <w:rPr>
          <w:rFonts w:ascii="Arial" w:hAnsi="Arial" w:cs="Arial"/>
        </w:rPr>
        <w:t>ffects diffusions coefficient</w:t>
      </w:r>
    </w:p>
    <w:p w14:paraId="5EBA513D" w14:textId="5B87F960" w:rsidR="0090101C" w:rsidRPr="001F5E1D" w:rsidRDefault="00000000" w:rsidP="0090101C">
      <w:pPr>
        <w:autoSpaceDE w:val="0"/>
        <w:autoSpaceDN w:val="0"/>
        <w:adjustRightInd w:val="0"/>
        <w:spacing w:after="0" w:line="360" w:lineRule="auto"/>
        <w:rPr>
          <w:rFonts w:ascii="Arial" w:hAnsi="Arial" w:cs="Arial"/>
        </w:rPr>
      </w:pPr>
      <m:oMath>
        <m:sSub>
          <m:sSubPr>
            <m:ctrlPr>
              <w:rPr>
                <w:rFonts w:ascii="Cambria Math" w:hAnsi="Cambria Math" w:cs="Arial"/>
              </w:rPr>
            </m:ctrlPr>
          </m:sSubPr>
          <m:e>
            <m:r>
              <w:rPr>
                <w:rFonts w:ascii="Cambria Math" w:hAnsi="Cambria Math" w:cs="Arial"/>
              </w:rPr>
              <m:t>C</m:t>
            </m:r>
          </m:e>
          <m:sub>
            <m:r>
              <w:rPr>
                <w:rFonts w:ascii="Cambria Math" w:hAnsi="Cambria Math" w:cs="Arial"/>
              </w:rPr>
              <m:t>th</m:t>
            </m:r>
          </m:sub>
        </m:sSub>
      </m:oMath>
      <w:r w:rsidR="0090101C" w:rsidRPr="001F5E1D">
        <w:rPr>
          <w:rFonts w:ascii="Arial" w:hAnsi="Arial" w:cs="Arial"/>
        </w:rPr>
        <w:t xml:space="preserve">= </w:t>
      </w:r>
      <w:r w:rsidR="000073F7">
        <w:rPr>
          <w:rFonts w:ascii="Arial" w:hAnsi="Arial" w:cs="Arial"/>
        </w:rPr>
        <w:t>C</w:t>
      </w:r>
      <w:r w:rsidR="0090101C" w:rsidRPr="001F5E1D">
        <w:rPr>
          <w:rFonts w:ascii="Arial" w:hAnsi="Arial" w:cs="Arial"/>
        </w:rPr>
        <w:t>hloride concentration threshold to corrosion initiation</w:t>
      </w:r>
    </w:p>
    <w:p w14:paraId="2CCB8839" w14:textId="0B5DB3AD" w:rsidR="0090101C" w:rsidRDefault="00000000" w:rsidP="0090101C">
      <w:pPr>
        <w:autoSpaceDE w:val="0"/>
        <w:autoSpaceDN w:val="0"/>
        <w:adjustRightInd w:val="0"/>
        <w:spacing w:after="0" w:line="360" w:lineRule="auto"/>
        <w:rPr>
          <w:rFonts w:ascii="Arial" w:eastAsiaTheme="minorEastAsia" w:hAnsi="Arial" w:cs="Arial"/>
        </w:rPr>
      </w:pPr>
      <m:oMath>
        <m:sSub>
          <m:sSubPr>
            <m:ctrlPr>
              <w:rPr>
                <w:rFonts w:ascii="Cambria Math" w:hAnsi="Cambria Math" w:cs="Arial"/>
              </w:rPr>
            </m:ctrlPr>
          </m:sSubPr>
          <m:e>
            <m:r>
              <w:rPr>
                <w:rFonts w:ascii="Cambria Math" w:hAnsi="Cambria Math" w:cs="Arial"/>
              </w:rPr>
              <m:t>C</m:t>
            </m:r>
          </m:e>
          <m:sub>
            <m:r>
              <w:rPr>
                <w:rFonts w:ascii="Cambria Math" w:hAnsi="Cambria Math" w:cs="Arial"/>
              </w:rPr>
              <m:t>o</m:t>
            </m:r>
          </m:sub>
        </m:sSub>
      </m:oMath>
      <w:r w:rsidR="0090101C" w:rsidRPr="001F5E1D">
        <w:rPr>
          <w:rFonts w:ascii="Arial" w:eastAsiaTheme="minorEastAsia" w:hAnsi="Arial" w:cs="Arial"/>
        </w:rPr>
        <w:t xml:space="preserve">= </w:t>
      </w:r>
      <w:r w:rsidR="000073F7">
        <w:rPr>
          <w:rFonts w:ascii="Arial" w:eastAsiaTheme="minorEastAsia" w:hAnsi="Arial" w:cs="Arial"/>
        </w:rPr>
        <w:t>S</w:t>
      </w:r>
      <w:r w:rsidR="0090101C" w:rsidRPr="001F5E1D">
        <w:rPr>
          <w:rFonts w:ascii="Arial" w:eastAsiaTheme="minorEastAsia" w:hAnsi="Arial" w:cs="Arial"/>
        </w:rPr>
        <w:t>urface chloride concentration</w:t>
      </w:r>
    </w:p>
    <w:p w14:paraId="0ADA1A67" w14:textId="77777777" w:rsidR="00CB04DC" w:rsidRPr="001F5E1D" w:rsidRDefault="00CB04DC" w:rsidP="0090101C">
      <w:pPr>
        <w:autoSpaceDE w:val="0"/>
        <w:autoSpaceDN w:val="0"/>
        <w:adjustRightInd w:val="0"/>
        <w:spacing w:after="0" w:line="360" w:lineRule="auto"/>
        <w:rPr>
          <w:rFonts w:ascii="Arial" w:hAnsi="Arial" w:cs="Arial"/>
        </w:rPr>
      </w:pPr>
    </w:p>
    <w:p w14:paraId="03CFE13D" w14:textId="0C81E1F5" w:rsidR="0090101C" w:rsidRDefault="0090101C" w:rsidP="004A2DD4">
      <w:pPr>
        <w:pStyle w:val="NoSpacing"/>
        <w:spacing w:line="360" w:lineRule="auto"/>
        <w:jc w:val="both"/>
        <w:rPr>
          <w:rFonts w:ascii="Arial" w:hAnsi="Arial" w:cs="Arial"/>
        </w:rPr>
      </w:pPr>
      <w:r w:rsidRPr="001F5E1D">
        <w:rPr>
          <w:rFonts w:ascii="Arial" w:hAnsi="Arial" w:cs="Arial"/>
        </w:rPr>
        <w:t xml:space="preserve">However, in practice the chloride concentration threshold varies and its corresponding value can lead to wide differences in times to corrosion initiation. This uncertainty </w:t>
      </w:r>
      <w:r w:rsidR="00240BD2" w:rsidRPr="001F5E1D">
        <w:rPr>
          <w:rFonts w:ascii="Arial" w:hAnsi="Arial" w:cs="Arial"/>
        </w:rPr>
        <w:t>can</w:t>
      </w:r>
      <w:r w:rsidRPr="001F5E1D">
        <w:rPr>
          <w:rFonts w:ascii="Arial" w:hAnsi="Arial" w:cs="Arial"/>
        </w:rPr>
        <w:t xml:space="preserve"> result in discrepancies between the predicted and actual rates of deterioration. </w:t>
      </w:r>
      <w:r w:rsidR="00D570ED" w:rsidRPr="001F5E1D">
        <w:rPr>
          <w:rFonts w:ascii="Arial" w:hAnsi="Arial" w:cs="Arial"/>
        </w:rPr>
        <w:t>(</w:t>
      </w:r>
      <w:r w:rsidR="006F15BC" w:rsidRPr="001F5E1D">
        <w:rPr>
          <w:rFonts w:ascii="Arial" w:hAnsi="Arial" w:cs="Arial"/>
        </w:rPr>
        <w:t>Vassie &amp; Arya, 2008)</w:t>
      </w:r>
    </w:p>
    <w:p w14:paraId="0BB8D431" w14:textId="77777777" w:rsidR="00601A20" w:rsidRDefault="00601A20" w:rsidP="0090101C">
      <w:pPr>
        <w:pStyle w:val="NoSpacing"/>
        <w:spacing w:line="360" w:lineRule="auto"/>
        <w:rPr>
          <w:rFonts w:ascii="Arial" w:hAnsi="Arial" w:cs="Arial"/>
        </w:rPr>
      </w:pPr>
    </w:p>
    <w:p w14:paraId="72A67290" w14:textId="58E1A889" w:rsidR="00601A20" w:rsidRPr="00AF0B8D" w:rsidRDefault="00601A20" w:rsidP="00601A20">
      <w:pPr>
        <w:pStyle w:val="Heading3"/>
        <w:spacing w:line="360" w:lineRule="auto"/>
        <w:rPr>
          <w:rFonts w:cs="Arial"/>
          <w:b w:val="0"/>
          <w:bCs/>
          <w:color w:val="auto"/>
        </w:rPr>
      </w:pPr>
      <w:bookmarkStart w:id="35" w:name="_Toc66868890"/>
      <w:r w:rsidRPr="00AF0B8D">
        <w:rPr>
          <w:rFonts w:cs="Arial"/>
          <w:bCs/>
          <w:color w:val="auto"/>
        </w:rPr>
        <w:t>Steel Bridges</w:t>
      </w:r>
      <w:bookmarkEnd w:id="35"/>
    </w:p>
    <w:p w14:paraId="75794DAC" w14:textId="54E8EC35" w:rsidR="001568F6" w:rsidRPr="000A12C1" w:rsidRDefault="001568F6" w:rsidP="004A2DD4">
      <w:pPr>
        <w:spacing w:line="360" w:lineRule="auto"/>
        <w:jc w:val="both"/>
        <w:rPr>
          <w:rFonts w:ascii="Arial" w:hAnsi="Arial" w:cs="Arial"/>
        </w:rPr>
      </w:pPr>
      <w:r w:rsidRPr="000A12C1">
        <w:rPr>
          <w:rFonts w:ascii="Arial" w:hAnsi="Arial" w:cs="Arial"/>
        </w:rPr>
        <w:t xml:space="preserve">The service life of steel bridges is predominantly affected by corrosion and fatigue related damage with influencing factors including fatigue-sensitive details, a lack of proper maintenance (painting), environmental exposure conditions and increases in loading and corresponding stresses. If the steelwork on bridges is left unprotected, the section loss will eventually lead to structural inadequacies which could result in structural failure or </w:t>
      </w:r>
      <w:r w:rsidR="00881BD3">
        <w:rPr>
          <w:rFonts w:ascii="Arial" w:hAnsi="Arial" w:cs="Arial"/>
        </w:rPr>
        <w:t xml:space="preserve">increased maintenance costs </w:t>
      </w:r>
      <w:r w:rsidR="004C1FF3">
        <w:rPr>
          <w:rFonts w:ascii="Arial" w:hAnsi="Arial" w:cs="Arial"/>
        </w:rPr>
        <w:t>as result of strengthening</w:t>
      </w:r>
      <w:r w:rsidRPr="000A12C1">
        <w:rPr>
          <w:rFonts w:ascii="Arial" w:hAnsi="Arial" w:cs="Arial"/>
        </w:rPr>
        <w:t>.</w:t>
      </w:r>
      <w:r>
        <w:rPr>
          <w:rFonts w:ascii="Arial" w:hAnsi="Arial" w:cs="Arial"/>
        </w:rPr>
        <w:t xml:space="preserve"> (</w:t>
      </w:r>
      <w:r w:rsidRPr="000A12C1">
        <w:rPr>
          <w:rFonts w:ascii="Arial" w:hAnsi="Arial" w:cs="Arial"/>
        </w:rPr>
        <w:t>Kevin</w:t>
      </w:r>
      <w:r w:rsidR="00DE488D">
        <w:rPr>
          <w:rFonts w:ascii="Arial" w:hAnsi="Arial" w:cs="Arial"/>
        </w:rPr>
        <w:t xml:space="preserve"> et al.</w:t>
      </w:r>
      <w:r>
        <w:rPr>
          <w:rFonts w:ascii="Arial" w:hAnsi="Arial" w:cs="Arial"/>
        </w:rPr>
        <w:t xml:space="preserve">, </w:t>
      </w:r>
      <w:r w:rsidRPr="000A12C1">
        <w:rPr>
          <w:rFonts w:ascii="Arial" w:hAnsi="Arial" w:cs="Arial"/>
        </w:rPr>
        <w:t>2012)</w:t>
      </w:r>
    </w:p>
    <w:p w14:paraId="0F500C0C" w14:textId="2965AB39" w:rsidR="00374FE3" w:rsidRDefault="001568F6" w:rsidP="004A2DD4">
      <w:pPr>
        <w:spacing w:line="360" w:lineRule="auto"/>
        <w:jc w:val="both"/>
        <w:rPr>
          <w:rFonts w:ascii="Arial" w:hAnsi="Arial" w:cs="Arial"/>
        </w:rPr>
      </w:pPr>
      <w:r w:rsidRPr="000A12C1">
        <w:rPr>
          <w:rFonts w:ascii="Arial" w:hAnsi="Arial" w:cs="Arial"/>
        </w:rPr>
        <w:t xml:space="preserve">Models have been developed to predict corrosion deterioration and fatigue damage to steel girders. The reduction in section to the web and flange of a steel beam over time can be calculated using the </w:t>
      </w:r>
      <w:r w:rsidR="00AA5783">
        <w:rPr>
          <w:rFonts w:ascii="Arial" w:hAnsi="Arial" w:cs="Arial"/>
        </w:rPr>
        <w:t>formula in</w:t>
      </w:r>
      <w:r w:rsidRPr="000A12C1">
        <w:rPr>
          <w:rFonts w:ascii="Arial" w:hAnsi="Arial" w:cs="Arial"/>
        </w:rPr>
        <w:t xml:space="preserve"> </w:t>
      </w:r>
      <w:r w:rsidR="00D70A68">
        <w:rPr>
          <w:rFonts w:ascii="Arial" w:hAnsi="Arial" w:cs="Arial"/>
        </w:rPr>
        <w:t>Eq</w:t>
      </w:r>
      <w:r w:rsidRPr="000A12C1">
        <w:rPr>
          <w:rFonts w:ascii="Arial" w:hAnsi="Arial" w:cs="Arial"/>
        </w:rPr>
        <w:t>uation</w:t>
      </w:r>
      <w:r>
        <w:rPr>
          <w:rFonts w:ascii="Arial" w:hAnsi="Arial" w:cs="Arial"/>
        </w:rPr>
        <w:t xml:space="preserve"> </w:t>
      </w:r>
      <w:r w:rsidR="00E402A6">
        <w:rPr>
          <w:rFonts w:ascii="Arial" w:hAnsi="Arial" w:cs="Arial"/>
        </w:rPr>
        <w:t xml:space="preserve">4 </w:t>
      </w:r>
      <w:r>
        <w:rPr>
          <w:rFonts w:ascii="Arial" w:hAnsi="Arial" w:cs="Arial"/>
        </w:rPr>
        <w:t>(</w:t>
      </w:r>
      <w:r w:rsidRPr="000A12C1">
        <w:rPr>
          <w:rFonts w:ascii="Arial" w:hAnsi="Arial" w:cs="Arial"/>
        </w:rPr>
        <w:t>Kevin</w:t>
      </w:r>
      <w:r w:rsidR="00DE488D">
        <w:rPr>
          <w:rFonts w:ascii="Arial" w:hAnsi="Arial" w:cs="Arial"/>
        </w:rPr>
        <w:t xml:space="preserve"> et al.</w:t>
      </w:r>
      <w:r>
        <w:rPr>
          <w:rFonts w:ascii="Arial" w:hAnsi="Arial" w:cs="Arial"/>
        </w:rPr>
        <w:t xml:space="preserve">, </w:t>
      </w:r>
      <w:r w:rsidRPr="000A12C1">
        <w:rPr>
          <w:rFonts w:ascii="Arial" w:hAnsi="Arial" w:cs="Arial"/>
        </w:rPr>
        <w:t>2012)</w:t>
      </w:r>
      <w:r w:rsidR="00E402A6">
        <w:rPr>
          <w:rFonts w:ascii="Arial" w:hAnsi="Arial" w:cs="Arial"/>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655"/>
        <w:gridCol w:w="799"/>
      </w:tblGrid>
      <w:tr w:rsidR="00B855F4" w14:paraId="3162FB9F" w14:textId="77777777" w:rsidTr="00C02C8F">
        <w:tc>
          <w:tcPr>
            <w:tcW w:w="562" w:type="dxa"/>
            <w:vAlign w:val="center"/>
          </w:tcPr>
          <w:p w14:paraId="700C42D7" w14:textId="77777777" w:rsidR="00374FE3" w:rsidRDefault="00374FE3" w:rsidP="00C02C8F">
            <w:pPr>
              <w:spacing w:line="360" w:lineRule="auto"/>
              <w:jc w:val="center"/>
              <w:rPr>
                <w:rFonts w:ascii="Arial" w:hAnsi="Arial" w:cs="Arial"/>
              </w:rPr>
            </w:pPr>
          </w:p>
        </w:tc>
        <w:tc>
          <w:tcPr>
            <w:tcW w:w="7655" w:type="dxa"/>
            <w:vAlign w:val="center"/>
          </w:tcPr>
          <w:p w14:paraId="521B20D1" w14:textId="5EA6736C" w:rsidR="00374FE3" w:rsidRPr="000A12C1" w:rsidRDefault="00000000" w:rsidP="00374FE3">
            <w:pPr>
              <w:spacing w:line="360" w:lineRule="auto"/>
              <w:rPr>
                <w:rFonts w:ascii="Arial" w:hAnsi="Arial" w:cs="Arial"/>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f</m:t>
                    </m:r>
                  </m:sub>
                </m:sSub>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f0</m:t>
                    </m:r>
                  </m:sub>
                </m:sSub>
                <m:r>
                  <w:rPr>
                    <w:rFonts w:ascii="Cambria Math" w:hAnsi="Cambria Math" w:cs="Arial"/>
                  </w:rPr>
                  <m:t>-C</m:t>
                </m:r>
                <m:d>
                  <m:dPr>
                    <m:ctrlPr>
                      <w:rPr>
                        <w:rFonts w:ascii="Cambria Math" w:hAnsi="Cambria Math" w:cs="Arial"/>
                        <w:i/>
                      </w:rPr>
                    </m:ctrlPr>
                  </m:dPr>
                  <m:e>
                    <m:r>
                      <w:rPr>
                        <w:rFonts w:ascii="Cambria Math" w:hAnsi="Cambria Math" w:cs="Arial"/>
                      </w:rPr>
                      <m:t>t</m:t>
                    </m:r>
                  </m:e>
                </m:d>
              </m:oMath>
            </m:oMathPara>
          </w:p>
          <w:p w14:paraId="75C6E324" w14:textId="77777777" w:rsidR="00374FE3" w:rsidRPr="000A12C1" w:rsidRDefault="00000000" w:rsidP="00374FE3">
            <w:pPr>
              <w:spacing w:line="360" w:lineRule="auto"/>
              <w:rPr>
                <w:rFonts w:ascii="Arial" w:hAnsi="Arial" w:cs="Arial"/>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w0</m:t>
                    </m:r>
                  </m:sub>
                </m:sSub>
                <m:r>
                  <w:rPr>
                    <w:rFonts w:ascii="Cambria Math" w:hAnsi="Cambria Math" w:cs="Arial"/>
                  </w:rPr>
                  <m:t>-C</m:t>
                </m:r>
                <m:d>
                  <m:dPr>
                    <m:ctrlPr>
                      <w:rPr>
                        <w:rFonts w:ascii="Cambria Math" w:hAnsi="Cambria Math" w:cs="Arial"/>
                        <w:i/>
                      </w:rPr>
                    </m:ctrlPr>
                  </m:dPr>
                  <m:e>
                    <m:r>
                      <w:rPr>
                        <w:rFonts w:ascii="Cambria Math" w:hAnsi="Cambria Math" w:cs="Arial"/>
                      </w:rPr>
                      <m:t>t</m:t>
                    </m:r>
                  </m:e>
                </m:d>
              </m:oMath>
            </m:oMathPara>
          </w:p>
          <w:p w14:paraId="216D2340" w14:textId="231B0548" w:rsidR="00374FE3" w:rsidRDefault="00374FE3" w:rsidP="00C02C8F">
            <w:pPr>
              <w:spacing w:line="360" w:lineRule="auto"/>
              <w:jc w:val="center"/>
              <w:rPr>
                <w:rFonts w:ascii="Arial" w:hAnsi="Arial" w:cs="Arial"/>
              </w:rPr>
            </w:pPr>
          </w:p>
        </w:tc>
        <w:tc>
          <w:tcPr>
            <w:tcW w:w="799" w:type="dxa"/>
            <w:vAlign w:val="center"/>
          </w:tcPr>
          <w:p w14:paraId="72EE0C83" w14:textId="51438D99" w:rsidR="00374FE3" w:rsidRDefault="00374FE3" w:rsidP="00C02C8F">
            <w:pPr>
              <w:spacing w:line="360" w:lineRule="auto"/>
              <w:jc w:val="center"/>
              <w:rPr>
                <w:rFonts w:ascii="Arial" w:hAnsi="Arial" w:cs="Arial"/>
              </w:rPr>
            </w:pPr>
            <w:r>
              <w:rPr>
                <w:rFonts w:ascii="Arial" w:hAnsi="Arial" w:cs="Arial"/>
              </w:rPr>
              <w:t>(</w:t>
            </w:r>
            <w:r>
              <w:rPr>
                <w:rFonts w:ascii="Arial" w:hAnsi="Arial" w:cs="Arial"/>
              </w:rPr>
              <w:fldChar w:fldCharType="begin"/>
            </w:r>
            <w:r>
              <w:rPr>
                <w:rFonts w:ascii="Arial" w:hAnsi="Arial" w:cs="Arial"/>
              </w:rPr>
              <w:instrText xml:space="preserve"> Eq </w:instrText>
            </w:r>
            <w:r>
              <w:rPr>
                <w:rFonts w:ascii="Arial" w:hAnsi="Arial" w:cs="Arial"/>
              </w:rPr>
              <w:fldChar w:fldCharType="end"/>
            </w:r>
            <w:r>
              <w:rPr>
                <w:rFonts w:ascii="Arial" w:hAnsi="Arial" w:cs="Arial"/>
              </w:rPr>
              <w:fldChar w:fldCharType="begin"/>
            </w:r>
            <w:r>
              <w:rPr>
                <w:rFonts w:ascii="Arial" w:hAnsi="Arial" w:cs="Arial"/>
              </w:rPr>
              <w:instrText xml:space="preserve"> SEQ  Eq \* MERGEFORMAT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w:t>
            </w:r>
          </w:p>
        </w:tc>
      </w:tr>
    </w:tbl>
    <w:p w14:paraId="37CBEE01" w14:textId="4931A217" w:rsidR="001568F6" w:rsidRPr="000A12C1" w:rsidRDefault="001568F6" w:rsidP="001568F6">
      <w:pPr>
        <w:spacing w:line="360" w:lineRule="auto"/>
        <w:rPr>
          <w:rFonts w:ascii="Arial" w:hAnsi="Arial" w:cs="Arial"/>
        </w:rPr>
      </w:pPr>
      <w:r w:rsidRPr="000A12C1">
        <w:rPr>
          <w:rFonts w:ascii="Arial" w:hAnsi="Arial" w:cs="Arial"/>
        </w:rPr>
        <w:t>Where</w:t>
      </w:r>
      <w:r w:rsidR="00D70A68">
        <w:rPr>
          <w:rFonts w:ascii="Arial" w:hAnsi="Arial" w:cs="Arial"/>
        </w:rPr>
        <w:t>;</w:t>
      </w:r>
    </w:p>
    <w:p w14:paraId="25766CD7" w14:textId="77777777" w:rsidR="001568F6" w:rsidRPr="000A12C1" w:rsidRDefault="00000000" w:rsidP="001568F6">
      <w:pPr>
        <w:spacing w:line="360" w:lineRule="auto"/>
        <w:rPr>
          <w:rFonts w:ascii="Arial" w:eastAsiaTheme="minorEastAsia"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f0</m:t>
            </m:r>
          </m:sub>
        </m:sSub>
      </m:oMath>
      <w:r w:rsidR="001568F6" w:rsidRPr="000A12C1">
        <w:rPr>
          <w:rFonts w:ascii="Arial" w:eastAsiaTheme="minorEastAsia" w:hAnsi="Arial" w:cs="Arial"/>
        </w:rPr>
        <w:t xml:space="preserve"> = Initial flange thickness</w:t>
      </w:r>
    </w:p>
    <w:p w14:paraId="4B3A2ABA" w14:textId="77777777" w:rsidR="001568F6" w:rsidRPr="000A12C1" w:rsidRDefault="00000000" w:rsidP="001568F6">
      <w:pPr>
        <w:spacing w:line="360" w:lineRule="auto"/>
        <w:rPr>
          <w:rFonts w:ascii="Arial" w:eastAsiaTheme="minorEastAsia"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w0</m:t>
            </m:r>
          </m:sub>
        </m:sSub>
      </m:oMath>
      <w:r w:rsidR="001568F6" w:rsidRPr="000A12C1">
        <w:rPr>
          <w:rFonts w:ascii="Arial" w:eastAsiaTheme="minorEastAsia" w:hAnsi="Arial" w:cs="Arial"/>
        </w:rPr>
        <w:t xml:space="preserve"> = Initial web thickness</w:t>
      </w:r>
    </w:p>
    <w:p w14:paraId="11860B5F" w14:textId="77777777" w:rsidR="001568F6" w:rsidRPr="000A12C1" w:rsidRDefault="001568F6" w:rsidP="001568F6">
      <w:pPr>
        <w:spacing w:line="360" w:lineRule="auto"/>
        <w:rPr>
          <w:rFonts w:ascii="Arial" w:hAnsi="Arial" w:cs="Arial"/>
        </w:rPr>
      </w:pPr>
      <m:oMath>
        <m:r>
          <w:rPr>
            <w:rFonts w:ascii="Cambria Math" w:hAnsi="Cambria Math" w:cs="Arial"/>
          </w:rPr>
          <m:t>C</m:t>
        </m:r>
        <m:d>
          <m:dPr>
            <m:ctrlPr>
              <w:rPr>
                <w:rFonts w:ascii="Cambria Math" w:hAnsi="Cambria Math" w:cs="Arial"/>
                <w:i/>
              </w:rPr>
            </m:ctrlPr>
          </m:dPr>
          <m:e>
            <m:r>
              <w:rPr>
                <w:rFonts w:ascii="Cambria Math" w:hAnsi="Cambria Math" w:cs="Arial"/>
              </w:rPr>
              <m:t>t</m:t>
            </m:r>
          </m:e>
        </m:d>
      </m:oMath>
      <w:r w:rsidRPr="000A12C1">
        <w:rPr>
          <w:rFonts w:ascii="Arial" w:eastAsiaTheme="minorEastAsia" w:hAnsi="Arial" w:cs="Arial"/>
        </w:rPr>
        <w:t xml:space="preserve"> = Average corrosion penetration (mm) at time  </w:t>
      </w:r>
      <m:oMath>
        <m:r>
          <w:rPr>
            <w:rFonts w:ascii="Cambria Math" w:hAnsi="Cambria Math" w:cs="Arial"/>
          </w:rPr>
          <m:t>t</m:t>
        </m:r>
      </m:oMath>
    </w:p>
    <w:p w14:paraId="5E6F0145" w14:textId="554E1F9D" w:rsidR="001568F6" w:rsidRDefault="001568F6" w:rsidP="004A2DD4">
      <w:pPr>
        <w:spacing w:line="360" w:lineRule="auto"/>
        <w:jc w:val="both"/>
        <w:rPr>
          <w:rFonts w:ascii="Arial" w:hAnsi="Arial" w:cs="Arial"/>
        </w:rPr>
      </w:pPr>
      <w:r w:rsidRPr="000A12C1">
        <w:rPr>
          <w:rFonts w:ascii="Arial" w:hAnsi="Arial" w:cs="Arial"/>
        </w:rPr>
        <w:t>The rate of corrosion and loss of section is influenced by the environmental exposure condition  (e.g. exposure to chloride contaminated water)</w:t>
      </w:r>
      <w:r>
        <w:rPr>
          <w:rFonts w:ascii="Arial" w:hAnsi="Arial" w:cs="Arial"/>
        </w:rPr>
        <w:t xml:space="preserve"> (</w:t>
      </w:r>
      <w:r w:rsidRPr="000A12C1">
        <w:rPr>
          <w:rFonts w:ascii="Arial" w:hAnsi="Arial" w:cs="Arial"/>
        </w:rPr>
        <w:t>Kevin</w:t>
      </w:r>
      <w:r w:rsidR="00DE488D">
        <w:rPr>
          <w:rFonts w:ascii="Arial" w:hAnsi="Arial" w:cs="Arial"/>
        </w:rPr>
        <w:t xml:space="preserve"> et al.</w:t>
      </w:r>
      <w:r>
        <w:rPr>
          <w:rFonts w:ascii="Arial" w:hAnsi="Arial" w:cs="Arial"/>
        </w:rPr>
        <w:t xml:space="preserve">, </w:t>
      </w:r>
      <w:r w:rsidRPr="000A12C1">
        <w:rPr>
          <w:rFonts w:ascii="Arial" w:hAnsi="Arial" w:cs="Arial"/>
        </w:rPr>
        <w:t>2012). Corrosion time versus penetration rate can be estimated  by the exponential function</w:t>
      </w:r>
      <w:r>
        <w:rPr>
          <w:rFonts w:ascii="Arial" w:hAnsi="Arial" w:cs="Arial"/>
        </w:rPr>
        <w:t xml:space="preserve"> </w:t>
      </w:r>
      <w:r w:rsidR="00FD7223">
        <w:rPr>
          <w:rFonts w:ascii="Arial" w:hAnsi="Arial" w:cs="Arial"/>
        </w:rPr>
        <w:t xml:space="preserve">in </w:t>
      </w:r>
      <w:r w:rsidR="00BD78E8">
        <w:rPr>
          <w:rFonts w:ascii="Arial" w:hAnsi="Arial" w:cs="Arial"/>
        </w:rPr>
        <w:t>E</w:t>
      </w:r>
      <w:r w:rsidR="00FD7223">
        <w:rPr>
          <w:rFonts w:ascii="Arial" w:hAnsi="Arial" w:cs="Arial"/>
        </w:rPr>
        <w:t xml:space="preserve">quation 5 </w:t>
      </w:r>
      <w:r>
        <w:rPr>
          <w:rFonts w:ascii="Arial" w:hAnsi="Arial" w:cs="Arial"/>
        </w:rPr>
        <w:t>(</w:t>
      </w:r>
      <w:r w:rsidRPr="000A12C1">
        <w:rPr>
          <w:rFonts w:ascii="Arial" w:hAnsi="Arial" w:cs="Arial"/>
        </w:rPr>
        <w:t>Kevin</w:t>
      </w:r>
      <w:r w:rsidR="00DE488D">
        <w:rPr>
          <w:rFonts w:ascii="Arial" w:hAnsi="Arial" w:cs="Arial"/>
        </w:rPr>
        <w:t xml:space="preserve"> et al</w:t>
      </w:r>
      <w:r>
        <w:rPr>
          <w:rFonts w:ascii="Arial" w:hAnsi="Arial" w:cs="Arial"/>
        </w:rPr>
        <w:t xml:space="preserve">, </w:t>
      </w:r>
      <w:r w:rsidRPr="000A12C1">
        <w:rPr>
          <w:rFonts w:ascii="Arial" w:hAnsi="Arial" w:cs="Arial"/>
        </w:rPr>
        <w:t>2012)</w:t>
      </w:r>
      <w:r w:rsidR="00FD7223">
        <w:rPr>
          <w:rFonts w:ascii="Arial" w:hAnsi="Arial" w:cs="Arial"/>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655"/>
        <w:gridCol w:w="799"/>
      </w:tblGrid>
      <w:tr w:rsidR="00B855F4" w14:paraId="387D5648" w14:textId="77777777" w:rsidTr="00C02C8F">
        <w:tc>
          <w:tcPr>
            <w:tcW w:w="562" w:type="dxa"/>
            <w:vAlign w:val="center"/>
          </w:tcPr>
          <w:p w14:paraId="35C10F4F" w14:textId="77777777" w:rsidR="00E00A4F" w:rsidRDefault="00E00A4F" w:rsidP="00C02C8F">
            <w:pPr>
              <w:spacing w:line="360" w:lineRule="auto"/>
              <w:jc w:val="center"/>
              <w:rPr>
                <w:rFonts w:ascii="Arial" w:hAnsi="Arial" w:cs="Arial"/>
              </w:rPr>
            </w:pPr>
          </w:p>
        </w:tc>
        <w:tc>
          <w:tcPr>
            <w:tcW w:w="7655" w:type="dxa"/>
            <w:vAlign w:val="center"/>
          </w:tcPr>
          <w:p w14:paraId="6C21FC63" w14:textId="6AFC0914" w:rsidR="00E00A4F" w:rsidRPr="000A12C1" w:rsidRDefault="00E00A4F" w:rsidP="00E00A4F">
            <w:pPr>
              <w:spacing w:line="360" w:lineRule="auto"/>
              <w:rPr>
                <w:rFonts w:ascii="Arial" w:eastAsiaTheme="minorEastAsia" w:hAnsi="Arial" w:cs="Arial"/>
              </w:rPr>
            </w:pPr>
            <m:oMathPara>
              <m:oMath>
                <m:r>
                  <w:rPr>
                    <w:rFonts w:ascii="Cambria Math" w:hAnsi="Cambria Math" w:cs="Arial"/>
                  </w:rPr>
                  <m:t>C</m:t>
                </m:r>
                <m:d>
                  <m:dPr>
                    <m:ctrlPr>
                      <w:rPr>
                        <w:rFonts w:ascii="Cambria Math" w:hAnsi="Cambria Math" w:cs="Arial"/>
                        <w:i/>
                      </w:rPr>
                    </m:ctrlPr>
                  </m:dPr>
                  <m:e>
                    <m:r>
                      <w:rPr>
                        <w:rFonts w:ascii="Cambria Math" w:hAnsi="Cambria Math" w:cs="Arial"/>
                      </w:rPr>
                      <m:t>t</m:t>
                    </m:r>
                  </m:e>
                </m:d>
                <m:r>
                  <w:rPr>
                    <w:rFonts w:ascii="Cambria Math" w:hAnsi="Cambria Math" w:cs="Arial"/>
                  </w:rPr>
                  <m:t>=</m:t>
                </m:r>
                <m:sSup>
                  <m:sSupPr>
                    <m:ctrlPr>
                      <w:rPr>
                        <w:rFonts w:ascii="Cambria Math" w:hAnsi="Cambria Math" w:cs="Arial"/>
                        <w:i/>
                      </w:rPr>
                    </m:ctrlPr>
                  </m:sSupPr>
                  <m:e>
                    <m:r>
                      <w:rPr>
                        <w:rFonts w:ascii="Cambria Math" w:hAnsi="Cambria Math" w:cs="Arial"/>
                      </w:rPr>
                      <m:t>At</m:t>
                    </m:r>
                  </m:e>
                  <m:sup>
                    <m:r>
                      <w:rPr>
                        <w:rFonts w:ascii="Cambria Math" w:hAnsi="Cambria Math" w:cs="Arial"/>
                      </w:rPr>
                      <m:t>B</m:t>
                    </m:r>
                  </m:sup>
                </m:sSup>
              </m:oMath>
            </m:oMathPara>
          </w:p>
          <w:p w14:paraId="4A75130E" w14:textId="42C7184D" w:rsidR="00E00A4F" w:rsidRDefault="00E00A4F" w:rsidP="00C02C8F">
            <w:pPr>
              <w:spacing w:line="360" w:lineRule="auto"/>
              <w:jc w:val="center"/>
              <w:rPr>
                <w:rFonts w:ascii="Arial" w:hAnsi="Arial" w:cs="Arial"/>
              </w:rPr>
            </w:pPr>
          </w:p>
        </w:tc>
        <w:tc>
          <w:tcPr>
            <w:tcW w:w="799" w:type="dxa"/>
            <w:vAlign w:val="center"/>
          </w:tcPr>
          <w:p w14:paraId="0868D343" w14:textId="348D86F3" w:rsidR="00E00A4F" w:rsidRDefault="00E00A4F" w:rsidP="00C02C8F">
            <w:pPr>
              <w:spacing w:line="360" w:lineRule="auto"/>
              <w:jc w:val="center"/>
              <w:rPr>
                <w:rFonts w:ascii="Arial" w:hAnsi="Arial" w:cs="Arial"/>
              </w:rPr>
            </w:pPr>
            <w:r>
              <w:rPr>
                <w:rFonts w:ascii="Arial" w:hAnsi="Arial" w:cs="Arial"/>
              </w:rPr>
              <w:t>(</w:t>
            </w:r>
            <w:r>
              <w:rPr>
                <w:rFonts w:ascii="Arial" w:hAnsi="Arial" w:cs="Arial"/>
              </w:rPr>
              <w:fldChar w:fldCharType="begin"/>
            </w:r>
            <w:r>
              <w:rPr>
                <w:rFonts w:ascii="Arial" w:hAnsi="Arial" w:cs="Arial"/>
              </w:rPr>
              <w:instrText xml:space="preserve"> Eq </w:instrText>
            </w:r>
            <w:r>
              <w:rPr>
                <w:rFonts w:ascii="Arial" w:hAnsi="Arial" w:cs="Arial"/>
              </w:rPr>
              <w:fldChar w:fldCharType="end"/>
            </w:r>
            <w:r>
              <w:rPr>
                <w:rFonts w:ascii="Arial" w:hAnsi="Arial" w:cs="Arial"/>
              </w:rPr>
              <w:fldChar w:fldCharType="begin"/>
            </w:r>
            <w:r>
              <w:rPr>
                <w:rFonts w:ascii="Arial" w:hAnsi="Arial" w:cs="Arial"/>
              </w:rPr>
              <w:instrText xml:space="preserve"> SEQ  Eq \* MERGEFORMAT </w:instrText>
            </w:r>
            <w:r>
              <w:rPr>
                <w:rFonts w:ascii="Arial" w:hAnsi="Arial" w:cs="Arial"/>
              </w:rPr>
              <w:fldChar w:fldCharType="separate"/>
            </w:r>
            <w:r>
              <w:rPr>
                <w:rFonts w:ascii="Arial" w:hAnsi="Arial" w:cs="Arial"/>
                <w:noProof/>
              </w:rPr>
              <w:t>5</w:t>
            </w:r>
            <w:r>
              <w:rPr>
                <w:rFonts w:ascii="Arial" w:hAnsi="Arial" w:cs="Arial"/>
              </w:rPr>
              <w:fldChar w:fldCharType="end"/>
            </w:r>
            <w:r>
              <w:rPr>
                <w:rFonts w:ascii="Arial" w:hAnsi="Arial" w:cs="Arial"/>
              </w:rPr>
              <w:t>)</w:t>
            </w:r>
          </w:p>
        </w:tc>
      </w:tr>
    </w:tbl>
    <w:p w14:paraId="3C3EE7D7" w14:textId="77777777" w:rsidR="001568F6" w:rsidRPr="000A12C1" w:rsidRDefault="001568F6" w:rsidP="001568F6">
      <w:pPr>
        <w:spacing w:line="360" w:lineRule="auto"/>
        <w:rPr>
          <w:rFonts w:ascii="Arial" w:eastAsiaTheme="minorEastAsia" w:hAnsi="Arial" w:cs="Arial"/>
        </w:rPr>
      </w:pPr>
      <w:r w:rsidRPr="000A12C1">
        <w:rPr>
          <w:rFonts w:ascii="Arial" w:eastAsiaTheme="minorEastAsia" w:hAnsi="Arial" w:cs="Arial"/>
        </w:rPr>
        <w:t>Where,</w:t>
      </w:r>
    </w:p>
    <w:p w14:paraId="54510004" w14:textId="77777777" w:rsidR="001568F6" w:rsidRPr="000A12C1" w:rsidRDefault="001568F6" w:rsidP="001568F6">
      <w:pPr>
        <w:spacing w:line="360" w:lineRule="auto"/>
        <w:rPr>
          <w:rFonts w:ascii="Arial" w:eastAsiaTheme="minorEastAsia" w:hAnsi="Arial" w:cs="Arial"/>
        </w:rPr>
      </w:pPr>
      <m:oMath>
        <m:r>
          <w:rPr>
            <w:rFonts w:ascii="Cambria Math" w:hAnsi="Cambria Math" w:cs="Arial"/>
          </w:rPr>
          <m:t>C</m:t>
        </m:r>
        <m:d>
          <m:dPr>
            <m:ctrlPr>
              <w:rPr>
                <w:rFonts w:ascii="Cambria Math" w:hAnsi="Cambria Math" w:cs="Arial"/>
                <w:i/>
              </w:rPr>
            </m:ctrlPr>
          </m:dPr>
          <m:e>
            <m:r>
              <w:rPr>
                <w:rFonts w:ascii="Cambria Math" w:hAnsi="Cambria Math" w:cs="Arial"/>
              </w:rPr>
              <m:t>t</m:t>
            </m:r>
          </m:e>
        </m:d>
      </m:oMath>
      <w:r w:rsidRPr="000A12C1">
        <w:rPr>
          <w:rFonts w:ascii="Arial" w:eastAsiaTheme="minorEastAsia" w:hAnsi="Arial" w:cs="Arial"/>
        </w:rPr>
        <w:t xml:space="preserve"> = Average corrosion penetration in micrometres (</w:t>
      </w:r>
      <w:r w:rsidRPr="000A12C1">
        <w:rPr>
          <w:rFonts w:ascii="Arial" w:eastAsiaTheme="minorEastAsia" w:hAnsi="Arial" w:cs="Arial"/>
          <w:i/>
          <w:iCs/>
        </w:rPr>
        <w:t>µ</w:t>
      </w:r>
      <w:r w:rsidRPr="000A12C1">
        <w:rPr>
          <w:rFonts w:ascii="Arial" w:eastAsiaTheme="minorEastAsia" w:hAnsi="Arial" w:cs="Arial"/>
        </w:rPr>
        <w:t xml:space="preserve">m) </w:t>
      </w:r>
    </w:p>
    <w:p w14:paraId="427A7C49" w14:textId="77777777" w:rsidR="001568F6" w:rsidRPr="000A12C1" w:rsidRDefault="001568F6" w:rsidP="001568F6">
      <w:pPr>
        <w:spacing w:line="360" w:lineRule="auto"/>
        <w:rPr>
          <w:rFonts w:ascii="Arial" w:eastAsiaTheme="minorEastAsia" w:hAnsi="Arial" w:cs="Arial"/>
        </w:rPr>
      </w:pPr>
      <m:oMath>
        <m:r>
          <w:rPr>
            <w:rFonts w:ascii="Cambria Math" w:hAnsi="Cambria Math" w:cs="Arial"/>
          </w:rPr>
          <m:t>t</m:t>
        </m:r>
      </m:oMath>
      <w:r w:rsidRPr="000A12C1">
        <w:rPr>
          <w:rFonts w:ascii="Arial" w:eastAsiaTheme="minorEastAsia" w:hAnsi="Arial" w:cs="Arial"/>
        </w:rPr>
        <w:t xml:space="preserve"> = Time (years) of exposure</w:t>
      </w:r>
    </w:p>
    <w:p w14:paraId="6FFEC665" w14:textId="77777777" w:rsidR="001568F6" w:rsidRPr="000A12C1" w:rsidRDefault="001568F6" w:rsidP="001568F6">
      <w:pPr>
        <w:spacing w:line="360" w:lineRule="auto"/>
        <w:rPr>
          <w:rFonts w:ascii="Arial" w:eastAsiaTheme="minorEastAsia" w:hAnsi="Arial" w:cs="Arial"/>
        </w:rPr>
      </w:pPr>
      <m:oMath>
        <m:r>
          <w:rPr>
            <w:rFonts w:ascii="Cambria Math" w:hAnsi="Cambria Math" w:cs="Arial"/>
          </w:rPr>
          <m:t>A</m:t>
        </m:r>
      </m:oMath>
      <w:r w:rsidRPr="000A12C1">
        <w:rPr>
          <w:rFonts w:ascii="Arial" w:eastAsiaTheme="minorEastAsia" w:hAnsi="Arial" w:cs="Arial"/>
        </w:rPr>
        <w:t xml:space="preserve"> = Corrosion loss parameter after one year of exposure</w:t>
      </w:r>
    </w:p>
    <w:p w14:paraId="1C0E14A5" w14:textId="77777777" w:rsidR="001568F6" w:rsidRDefault="001568F6" w:rsidP="001568F6">
      <w:pPr>
        <w:spacing w:line="360" w:lineRule="auto"/>
        <w:rPr>
          <w:rFonts w:ascii="Arial" w:eastAsiaTheme="minorEastAsia" w:hAnsi="Arial" w:cs="Arial"/>
        </w:rPr>
      </w:pPr>
      <m:oMath>
        <m:r>
          <w:rPr>
            <w:rFonts w:ascii="Cambria Math" w:hAnsi="Cambria Math" w:cs="Arial"/>
          </w:rPr>
          <m:t>B</m:t>
        </m:r>
      </m:oMath>
      <w:r w:rsidRPr="000A12C1">
        <w:rPr>
          <w:rFonts w:ascii="Arial" w:eastAsiaTheme="minorEastAsia" w:hAnsi="Arial" w:cs="Arial"/>
        </w:rPr>
        <w:t xml:space="preserve"> = Parameter determined from regressive analysis of experimental data</w:t>
      </w:r>
    </w:p>
    <w:p w14:paraId="633AAC78" w14:textId="210F5E2D" w:rsidR="001568F6" w:rsidRDefault="001568F6" w:rsidP="004A2DD4">
      <w:pPr>
        <w:spacing w:line="360" w:lineRule="auto"/>
        <w:jc w:val="both"/>
        <w:rPr>
          <w:rFonts w:ascii="Arial" w:hAnsi="Arial" w:cs="Arial"/>
        </w:rPr>
      </w:pPr>
      <w:r w:rsidRPr="000A12C1">
        <w:rPr>
          <w:rFonts w:ascii="Arial" w:hAnsi="Arial" w:cs="Arial"/>
        </w:rPr>
        <w:t>Kevin</w:t>
      </w:r>
      <w:r w:rsidR="00D560A8">
        <w:rPr>
          <w:rFonts w:ascii="Arial" w:hAnsi="Arial" w:cs="Arial"/>
        </w:rPr>
        <w:t xml:space="preserve"> et al. </w:t>
      </w:r>
      <w:r w:rsidRPr="000A12C1">
        <w:rPr>
          <w:rFonts w:ascii="Arial" w:hAnsi="Arial" w:cs="Arial"/>
        </w:rPr>
        <w:t xml:space="preserve">(2012) carried out a study on life-cycle management strategy on steel girders in bridges and argued that </w:t>
      </w:r>
      <w:r w:rsidR="00D0708C">
        <w:rPr>
          <w:rFonts w:ascii="Arial" w:hAnsi="Arial" w:cs="Arial"/>
        </w:rPr>
        <w:t>“</w:t>
      </w:r>
      <w:r w:rsidRPr="000A12C1">
        <w:rPr>
          <w:rFonts w:ascii="Arial" w:hAnsi="Arial" w:cs="Arial"/>
        </w:rPr>
        <w:t>researchers have pursued extensive studies to predict time-variant corrosion propagation to capture the actual corrosion’’ therefore adopted Lee’s corrosion model to predict the service life of steel girders</w:t>
      </w:r>
      <w:r>
        <w:rPr>
          <w:rFonts w:ascii="Arial" w:hAnsi="Arial" w:cs="Arial"/>
        </w:rPr>
        <w:t xml:space="preserve"> </w:t>
      </w:r>
      <w:r w:rsidR="00AE7102">
        <w:rPr>
          <w:rFonts w:ascii="Arial" w:hAnsi="Arial" w:cs="Arial"/>
        </w:rPr>
        <w:t xml:space="preserve">shown in </w:t>
      </w:r>
      <w:r w:rsidR="00BD78E8">
        <w:rPr>
          <w:rFonts w:ascii="Arial" w:hAnsi="Arial" w:cs="Arial"/>
        </w:rPr>
        <w:t>E</w:t>
      </w:r>
      <w:r w:rsidR="00AE7102">
        <w:rPr>
          <w:rFonts w:ascii="Arial" w:hAnsi="Arial" w:cs="Arial"/>
        </w:rPr>
        <w:t xml:space="preserve">quation 6 </w:t>
      </w:r>
      <w:r>
        <w:rPr>
          <w:rFonts w:ascii="Arial" w:hAnsi="Arial" w:cs="Arial"/>
        </w:rPr>
        <w:t>(</w:t>
      </w:r>
      <w:r w:rsidRPr="000A12C1">
        <w:rPr>
          <w:rFonts w:ascii="Arial" w:hAnsi="Arial" w:cs="Arial"/>
        </w:rPr>
        <w:t>Kevin</w:t>
      </w:r>
      <w:r w:rsidR="00D560A8">
        <w:rPr>
          <w:rFonts w:ascii="Arial" w:hAnsi="Arial" w:cs="Arial"/>
        </w:rPr>
        <w:t xml:space="preserve"> et al.</w:t>
      </w:r>
      <w:r>
        <w:rPr>
          <w:rFonts w:ascii="Arial" w:hAnsi="Arial" w:cs="Arial"/>
        </w:rPr>
        <w:t xml:space="preserve">, </w:t>
      </w:r>
      <w:r w:rsidRPr="000A12C1">
        <w:rPr>
          <w:rFonts w:ascii="Arial" w:hAnsi="Arial" w:cs="Arial"/>
        </w:rPr>
        <w:t>2012)</w:t>
      </w:r>
      <w:r>
        <w:rPr>
          <w:rFonts w:ascii="Arial" w:hAnsi="Arial" w:cs="Arial"/>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655"/>
        <w:gridCol w:w="799"/>
      </w:tblGrid>
      <w:tr w:rsidR="00B855F4" w14:paraId="2634951F" w14:textId="77777777" w:rsidTr="00C02C8F">
        <w:tc>
          <w:tcPr>
            <w:tcW w:w="562" w:type="dxa"/>
            <w:vAlign w:val="center"/>
          </w:tcPr>
          <w:p w14:paraId="68E68E71" w14:textId="77777777" w:rsidR="00B54192" w:rsidRDefault="00B54192" w:rsidP="00C02C8F">
            <w:pPr>
              <w:spacing w:line="360" w:lineRule="auto"/>
              <w:jc w:val="center"/>
              <w:rPr>
                <w:rFonts w:ascii="Arial" w:hAnsi="Arial" w:cs="Arial"/>
              </w:rPr>
            </w:pPr>
          </w:p>
        </w:tc>
        <w:tc>
          <w:tcPr>
            <w:tcW w:w="7655" w:type="dxa"/>
            <w:vAlign w:val="center"/>
          </w:tcPr>
          <w:p w14:paraId="3D9BCA71" w14:textId="7C696DCF" w:rsidR="00B54192" w:rsidRPr="000A12C1" w:rsidRDefault="00B54192" w:rsidP="00B54192">
            <w:pPr>
              <w:rPr>
                <w:rFonts w:ascii="Arial" w:eastAsiaTheme="minorEastAsia" w:hAnsi="Arial" w:cs="Arial"/>
              </w:rPr>
            </w:pPr>
            <m:oMathPara>
              <m:oMath>
                <m:r>
                  <w:rPr>
                    <w:rFonts w:ascii="Cambria Math" w:hAnsi="Cambria Math" w:cs="Arial"/>
                  </w:rPr>
                  <m:t>Pi</m:t>
                </m:r>
                <m:d>
                  <m:dPr>
                    <m:ctrlPr>
                      <w:rPr>
                        <w:rFonts w:ascii="Cambria Math" w:hAnsi="Cambria Math" w:cs="Arial"/>
                        <w:i/>
                      </w:rPr>
                    </m:ctrlPr>
                  </m:dPr>
                  <m:e>
                    <m:r>
                      <w:rPr>
                        <w:rFonts w:ascii="Cambria Math" w:hAnsi="Cambria Math" w:cs="Arial"/>
                      </w:rPr>
                      <m:t>t</m:t>
                    </m:r>
                  </m:e>
                </m:d>
                <m:r>
                  <w:rPr>
                    <w:rFonts w:ascii="Cambria Math" w:hAnsi="Cambria Math" w:cs="Arial"/>
                  </w:rPr>
                  <m:t>=</m:t>
                </m:r>
                <m:d>
                  <m:dPr>
                    <m:begChr m:val="{"/>
                    <m:endChr m:val=""/>
                    <m:ctrlPr>
                      <w:rPr>
                        <w:rFonts w:ascii="Cambria Math" w:hAnsi="Cambria Math" w:cs="Arial"/>
                        <w:i/>
                      </w:rPr>
                    </m:ctrlPr>
                  </m:dPr>
                  <m:e>
                    <m:eqArr>
                      <m:eqArrPr>
                        <m:ctrlPr>
                          <w:rPr>
                            <w:rFonts w:ascii="Cambria Math" w:hAnsi="Cambria Math" w:cs="Arial"/>
                            <w:i/>
                          </w:rPr>
                        </m:ctrlPr>
                      </m:eqArrPr>
                      <m:e>
                        <m:r>
                          <w:rPr>
                            <w:rFonts w:ascii="Cambria Math" w:hAnsi="Cambria Math" w:cs="Arial"/>
                          </w:rPr>
                          <m:t>C</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t-</m:t>
                                </m:r>
                                <m:sSub>
                                  <m:sSubPr>
                                    <m:ctrlPr>
                                      <w:rPr>
                                        <w:rFonts w:ascii="Cambria Math" w:hAnsi="Cambria Math" w:cs="Arial"/>
                                        <w:i/>
                                      </w:rPr>
                                    </m:ctrlPr>
                                  </m:sSubPr>
                                  <m:e>
                                    <m:r>
                                      <w:rPr>
                                        <w:rFonts w:ascii="Cambria Math" w:hAnsi="Cambria Math" w:cs="Arial"/>
                                      </w:rPr>
                                      <m:t>iT</m:t>
                                    </m:r>
                                  </m:e>
                                  <m:sub>
                                    <m:r>
                                      <w:rPr>
                                        <w:rFonts w:ascii="Cambria Math" w:hAnsi="Cambria Math" w:cs="Arial"/>
                                      </w:rPr>
                                      <m:t>REP</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CI</m:t>
                                    </m:r>
                                  </m:sub>
                                </m:sSub>
                              </m:e>
                            </m:d>
                          </m:e>
                          <m:sup>
                            <m:r>
                              <w:rPr>
                                <w:rFonts w:ascii="Cambria Math" w:hAnsi="Cambria Math" w:cs="Arial"/>
                              </w:rPr>
                              <m:t>m</m:t>
                            </m:r>
                          </m:sup>
                        </m:sSup>
                        <m:r>
                          <w:rPr>
                            <w:rFonts w:ascii="Cambria Math" w:hAnsi="Cambria Math" w:cs="Arial"/>
                          </w:rPr>
                          <m:t xml:space="preserve">  &amp;              for </m:t>
                        </m:r>
                        <m:sSub>
                          <m:sSubPr>
                            <m:ctrlPr>
                              <w:rPr>
                                <w:rFonts w:ascii="Cambria Math" w:hAnsi="Cambria Math" w:cs="Arial"/>
                                <w:i/>
                              </w:rPr>
                            </m:ctrlPr>
                          </m:sSubPr>
                          <m:e>
                            <m:r>
                              <w:rPr>
                                <w:rFonts w:ascii="Cambria Math" w:hAnsi="Cambria Math" w:cs="Arial"/>
                              </w:rPr>
                              <m:t>iT</m:t>
                            </m:r>
                          </m:e>
                          <m:sub>
                            <m:r>
                              <w:rPr>
                                <w:rFonts w:ascii="Cambria Math" w:hAnsi="Cambria Math" w:cs="Arial"/>
                              </w:rPr>
                              <m:t>REP</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CI</m:t>
                            </m:r>
                          </m:sub>
                        </m:sSub>
                      </m:e>
                      <m:e>
                        <m:r>
                          <w:rPr>
                            <w:rFonts w:ascii="Cambria Math" w:hAnsi="Cambria Math" w:cs="Arial"/>
                          </w:rPr>
                          <m:t>Pi-1</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iT</m:t>
                                </m:r>
                              </m:e>
                              <m:sub>
                                <m:r>
                                  <w:rPr>
                                    <w:rFonts w:ascii="Cambria Math" w:hAnsi="Cambria Math" w:cs="Arial"/>
                                  </w:rPr>
                                  <m:t>REP</m:t>
                                </m:r>
                              </m:sub>
                            </m:sSub>
                          </m:e>
                        </m:d>
                        <m:r>
                          <w:rPr>
                            <w:rFonts w:ascii="Cambria Math" w:hAnsi="Cambria Math" w:cs="Arial"/>
                          </w:rPr>
                          <m:t>,                    ≤t&lt;</m:t>
                        </m:r>
                        <m:d>
                          <m:dPr>
                            <m:ctrlPr>
                              <w:rPr>
                                <w:rFonts w:ascii="Cambria Math" w:hAnsi="Cambria Math" w:cs="Arial"/>
                                <w:i/>
                              </w:rPr>
                            </m:ctrlPr>
                          </m:dPr>
                          <m:e>
                            <m:r>
                              <w:rPr>
                                <w:rFonts w:ascii="Cambria Math" w:hAnsi="Cambria Math" w:cs="Arial"/>
                              </w:rPr>
                              <m:t>i+1</m:t>
                            </m:r>
                          </m:e>
                        </m:d>
                        <m:sSub>
                          <m:sSubPr>
                            <m:ctrlPr>
                              <w:rPr>
                                <w:rFonts w:ascii="Cambria Math" w:hAnsi="Cambria Math" w:cs="Arial"/>
                                <w:i/>
                              </w:rPr>
                            </m:ctrlPr>
                          </m:sSubPr>
                          <m:e>
                            <m:r>
                              <w:rPr>
                                <w:rFonts w:ascii="Cambria Math" w:hAnsi="Cambria Math" w:cs="Arial"/>
                              </w:rPr>
                              <m:t>T</m:t>
                            </m:r>
                          </m:e>
                          <m:sub>
                            <m:r>
                              <w:rPr>
                                <w:rFonts w:ascii="Cambria Math" w:hAnsi="Cambria Math" w:cs="Arial"/>
                              </w:rPr>
                              <m:t>REP</m:t>
                            </m:r>
                          </m:sub>
                        </m:sSub>
                        <m:r>
                          <w:rPr>
                            <w:rFonts w:ascii="Cambria Math" w:hAnsi="Cambria Math" w:cs="Arial"/>
                          </w:rPr>
                          <m:t xml:space="preserve"> </m:t>
                        </m:r>
                        <m:ctrlPr>
                          <w:rPr>
                            <w:rFonts w:ascii="Cambria Math" w:eastAsia="Cambria Math" w:hAnsi="Cambria Math" w:cs="Arial"/>
                            <w:i/>
                          </w:rPr>
                        </m:ctrlPr>
                      </m:e>
                      <m:e>
                        <m:r>
                          <w:rPr>
                            <w:rFonts w:ascii="Cambria Math" w:hAnsi="Cambria Math" w:cs="Arial"/>
                          </w:rPr>
                          <m:t xml:space="preserve"> </m:t>
                        </m:r>
                      </m:e>
                    </m:eqArr>
                  </m:e>
                </m:d>
              </m:oMath>
            </m:oMathPara>
          </w:p>
          <w:p w14:paraId="6FF38327" w14:textId="5F4BDCFB" w:rsidR="00B54192" w:rsidRDefault="00B54192" w:rsidP="00C02C8F">
            <w:pPr>
              <w:spacing w:line="360" w:lineRule="auto"/>
              <w:jc w:val="center"/>
              <w:rPr>
                <w:rFonts w:ascii="Arial" w:hAnsi="Arial" w:cs="Arial"/>
              </w:rPr>
            </w:pPr>
          </w:p>
        </w:tc>
        <w:tc>
          <w:tcPr>
            <w:tcW w:w="799" w:type="dxa"/>
            <w:vAlign w:val="center"/>
          </w:tcPr>
          <w:p w14:paraId="6BFB63E7" w14:textId="37D9BA1B" w:rsidR="00B54192" w:rsidRDefault="00B54192" w:rsidP="00C02C8F">
            <w:pPr>
              <w:spacing w:line="360" w:lineRule="auto"/>
              <w:jc w:val="center"/>
              <w:rPr>
                <w:rFonts w:ascii="Arial" w:hAnsi="Arial" w:cs="Arial"/>
              </w:rPr>
            </w:pPr>
            <w:r>
              <w:rPr>
                <w:rFonts w:ascii="Arial" w:hAnsi="Arial" w:cs="Arial"/>
              </w:rPr>
              <w:t>(</w:t>
            </w:r>
            <w:r>
              <w:rPr>
                <w:rFonts w:ascii="Arial" w:hAnsi="Arial" w:cs="Arial"/>
              </w:rPr>
              <w:fldChar w:fldCharType="begin"/>
            </w:r>
            <w:r>
              <w:rPr>
                <w:rFonts w:ascii="Arial" w:hAnsi="Arial" w:cs="Arial"/>
              </w:rPr>
              <w:instrText xml:space="preserve"> Eq </w:instrText>
            </w:r>
            <w:r>
              <w:rPr>
                <w:rFonts w:ascii="Arial" w:hAnsi="Arial" w:cs="Arial"/>
              </w:rPr>
              <w:fldChar w:fldCharType="end"/>
            </w:r>
            <w:r>
              <w:rPr>
                <w:rFonts w:ascii="Arial" w:hAnsi="Arial" w:cs="Arial"/>
              </w:rPr>
              <w:fldChar w:fldCharType="begin"/>
            </w:r>
            <w:r>
              <w:rPr>
                <w:rFonts w:ascii="Arial" w:hAnsi="Arial" w:cs="Arial"/>
              </w:rPr>
              <w:instrText xml:space="preserve"> SEQ  Eq \* MERGEFORMAT </w:instrText>
            </w:r>
            <w:r>
              <w:rPr>
                <w:rFonts w:ascii="Arial" w:hAnsi="Arial" w:cs="Arial"/>
              </w:rPr>
              <w:fldChar w:fldCharType="separate"/>
            </w:r>
            <w:r>
              <w:rPr>
                <w:rFonts w:ascii="Arial" w:hAnsi="Arial" w:cs="Arial"/>
                <w:noProof/>
              </w:rPr>
              <w:t>6</w:t>
            </w:r>
            <w:r>
              <w:rPr>
                <w:rFonts w:ascii="Arial" w:hAnsi="Arial" w:cs="Arial"/>
              </w:rPr>
              <w:fldChar w:fldCharType="end"/>
            </w:r>
            <w:r>
              <w:rPr>
                <w:rFonts w:ascii="Arial" w:hAnsi="Arial" w:cs="Arial"/>
              </w:rPr>
              <w:t>)</w:t>
            </w:r>
          </w:p>
        </w:tc>
      </w:tr>
    </w:tbl>
    <w:p w14:paraId="6C59893C" w14:textId="77777777" w:rsidR="001568F6" w:rsidRPr="000A12C1" w:rsidRDefault="001568F6" w:rsidP="001568F6">
      <w:pPr>
        <w:spacing w:line="360" w:lineRule="auto"/>
        <w:rPr>
          <w:rFonts w:ascii="Arial" w:eastAsiaTheme="minorEastAsia" w:hAnsi="Arial" w:cs="Arial"/>
        </w:rPr>
      </w:pPr>
      <w:r w:rsidRPr="000A12C1">
        <w:rPr>
          <w:rFonts w:ascii="Arial" w:eastAsiaTheme="minorEastAsia" w:hAnsi="Arial" w:cs="Arial"/>
        </w:rPr>
        <w:t>Where,</w:t>
      </w:r>
    </w:p>
    <w:p w14:paraId="41F2C180" w14:textId="0A0A83A5" w:rsidR="001568F6" w:rsidRPr="000A12C1" w:rsidRDefault="001568F6" w:rsidP="001568F6">
      <w:pPr>
        <w:spacing w:line="360" w:lineRule="auto"/>
        <w:rPr>
          <w:rFonts w:ascii="Arial" w:eastAsiaTheme="minorEastAsia" w:hAnsi="Arial" w:cs="Arial"/>
        </w:rPr>
      </w:pPr>
      <m:oMath>
        <m:r>
          <w:rPr>
            <w:rFonts w:ascii="Cambria Math" w:hAnsi="Cambria Math" w:cs="Arial"/>
          </w:rPr>
          <m:t>Pi</m:t>
        </m:r>
        <m:d>
          <m:dPr>
            <m:ctrlPr>
              <w:rPr>
                <w:rFonts w:ascii="Cambria Math" w:hAnsi="Cambria Math" w:cs="Arial"/>
                <w:i/>
              </w:rPr>
            </m:ctrlPr>
          </m:dPr>
          <m:e>
            <m:r>
              <w:rPr>
                <w:rFonts w:ascii="Cambria Math" w:hAnsi="Cambria Math" w:cs="Arial"/>
              </w:rPr>
              <m:t>t</m:t>
            </m:r>
          </m:e>
        </m:d>
      </m:oMath>
      <w:r w:rsidR="00D624A2">
        <w:rPr>
          <w:rFonts w:ascii="Arial" w:eastAsiaTheme="minorEastAsia" w:hAnsi="Arial" w:cs="Arial"/>
        </w:rPr>
        <w:t xml:space="preserve"> </w:t>
      </w:r>
      <w:r w:rsidRPr="000A12C1">
        <w:rPr>
          <w:rFonts w:ascii="Arial" w:eastAsiaTheme="minorEastAsia" w:hAnsi="Arial" w:cs="Arial"/>
        </w:rPr>
        <w:t>= Corrosion propagation depth in micrometer (</w:t>
      </w:r>
      <w:r w:rsidRPr="000A12C1">
        <w:rPr>
          <w:rFonts w:ascii="Arial" w:eastAsiaTheme="minorEastAsia" w:hAnsi="Arial" w:cs="Arial"/>
          <w:i/>
          <w:iCs/>
        </w:rPr>
        <w:t>µ</w:t>
      </w:r>
      <w:r w:rsidRPr="000A12C1">
        <w:rPr>
          <w:rFonts w:ascii="Arial" w:eastAsiaTheme="minorEastAsia" w:hAnsi="Arial" w:cs="Arial"/>
        </w:rPr>
        <w:t xml:space="preserve">m) and time </w:t>
      </w:r>
      <m:oMath>
        <m:r>
          <w:rPr>
            <w:rFonts w:ascii="Cambria Math" w:hAnsi="Cambria Math" w:cs="Arial"/>
          </w:rPr>
          <m:t>t</m:t>
        </m:r>
      </m:oMath>
      <w:r w:rsidRPr="000A12C1">
        <w:rPr>
          <w:rFonts w:ascii="Arial" w:eastAsiaTheme="minorEastAsia" w:hAnsi="Arial" w:cs="Arial"/>
        </w:rPr>
        <w:t xml:space="preserve"> in years during </w:t>
      </w:r>
      <m:oMath>
        <m:r>
          <w:rPr>
            <w:rFonts w:ascii="Cambria Math" w:hAnsi="Cambria Math" w:cs="Arial"/>
          </w:rPr>
          <m:t>i</m:t>
        </m:r>
      </m:oMath>
      <w:r w:rsidRPr="000A12C1">
        <w:rPr>
          <w:rFonts w:ascii="Arial" w:eastAsiaTheme="minorEastAsia" w:hAnsi="Arial" w:cs="Arial"/>
        </w:rPr>
        <w:t xml:space="preserve">th repainting period </w:t>
      </w:r>
    </w:p>
    <w:p w14:paraId="18F62B56" w14:textId="50691833" w:rsidR="001568F6" w:rsidRPr="000A12C1" w:rsidRDefault="001568F6" w:rsidP="001568F6">
      <w:pPr>
        <w:spacing w:line="360" w:lineRule="auto"/>
        <w:rPr>
          <w:rFonts w:ascii="Arial" w:eastAsiaTheme="minorEastAsia" w:hAnsi="Arial" w:cs="Arial"/>
        </w:rPr>
      </w:pPr>
      <m:oMath>
        <m:r>
          <w:rPr>
            <w:rFonts w:ascii="Cambria Math" w:hAnsi="Cambria Math" w:cs="Arial"/>
          </w:rPr>
          <m:t>C</m:t>
        </m:r>
      </m:oMath>
      <w:r w:rsidR="00D624A2">
        <w:rPr>
          <w:rFonts w:ascii="Arial" w:eastAsiaTheme="minorEastAsia" w:hAnsi="Arial" w:cs="Arial"/>
        </w:rPr>
        <w:t xml:space="preserve"> </w:t>
      </w:r>
      <w:r w:rsidRPr="000A12C1">
        <w:rPr>
          <w:rFonts w:ascii="Arial" w:eastAsiaTheme="minorEastAsia" w:hAnsi="Arial" w:cs="Arial"/>
        </w:rPr>
        <w:t>= Random corrosion rate parameter</w:t>
      </w:r>
    </w:p>
    <w:p w14:paraId="36E941EF" w14:textId="77777777" w:rsidR="001568F6" w:rsidRPr="000A12C1" w:rsidRDefault="001568F6" w:rsidP="001568F6">
      <w:pPr>
        <w:spacing w:line="360" w:lineRule="auto"/>
        <w:rPr>
          <w:rFonts w:ascii="Arial" w:eastAsiaTheme="minorEastAsia" w:hAnsi="Arial" w:cs="Arial"/>
        </w:rPr>
      </w:pPr>
      <m:oMath>
        <m:r>
          <w:rPr>
            <w:rFonts w:ascii="Cambria Math" w:hAnsi="Cambria Math" w:cs="Arial"/>
          </w:rPr>
          <m:t>m</m:t>
        </m:r>
      </m:oMath>
      <w:r w:rsidRPr="000A12C1">
        <w:rPr>
          <w:rFonts w:ascii="Arial" w:eastAsiaTheme="minorEastAsia" w:hAnsi="Arial" w:cs="Arial"/>
        </w:rPr>
        <w:t xml:space="preserve"> = Random time-order parameter</w:t>
      </w:r>
    </w:p>
    <w:p w14:paraId="2D933070" w14:textId="77777777" w:rsidR="001568F6" w:rsidRPr="000A12C1" w:rsidRDefault="00000000" w:rsidP="001568F6">
      <w:pPr>
        <w:spacing w:line="360" w:lineRule="auto"/>
        <w:rPr>
          <w:rFonts w:ascii="Arial" w:eastAsiaTheme="minorEastAsia"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CI</m:t>
            </m:r>
          </m:sub>
        </m:sSub>
      </m:oMath>
      <w:r w:rsidR="001568F6" w:rsidRPr="000A12C1">
        <w:rPr>
          <w:rFonts w:ascii="Arial" w:eastAsiaTheme="minorEastAsia" w:hAnsi="Arial" w:cs="Arial"/>
        </w:rPr>
        <w:t xml:space="preserve"> = Random corrosion initiation </w:t>
      </w:r>
    </w:p>
    <w:p w14:paraId="02B5FE86" w14:textId="7180D748" w:rsidR="001568F6" w:rsidRDefault="00000000" w:rsidP="001568F6">
      <w:pPr>
        <w:spacing w:line="360" w:lineRule="auto"/>
        <w:rPr>
          <w:rFonts w:ascii="Arial" w:eastAsiaTheme="minorEastAsia"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REP</m:t>
            </m:r>
          </m:sub>
        </m:sSub>
      </m:oMath>
      <w:r w:rsidR="001568F6" w:rsidRPr="000A12C1">
        <w:rPr>
          <w:rFonts w:ascii="Arial" w:eastAsiaTheme="minorEastAsia" w:hAnsi="Arial" w:cs="Arial"/>
        </w:rPr>
        <w:t xml:space="preserve"> = Periodic repainting period (years)</w:t>
      </w:r>
    </w:p>
    <w:p w14:paraId="76CFD2A0" w14:textId="77777777" w:rsidR="00C037E4" w:rsidRDefault="00C037E4" w:rsidP="001568F6">
      <w:pPr>
        <w:spacing w:line="360" w:lineRule="auto"/>
        <w:rPr>
          <w:rFonts w:ascii="Arial" w:eastAsiaTheme="minorEastAsia" w:hAnsi="Arial" w:cs="Arial"/>
        </w:rPr>
      </w:pPr>
    </w:p>
    <w:p w14:paraId="01465D74" w14:textId="2F557C7B" w:rsidR="002714AB" w:rsidRPr="00AF0B8D" w:rsidRDefault="002714AB" w:rsidP="002714AB">
      <w:pPr>
        <w:pStyle w:val="Heading3"/>
        <w:spacing w:line="360" w:lineRule="auto"/>
        <w:rPr>
          <w:rFonts w:cs="Arial"/>
          <w:b w:val="0"/>
          <w:bCs/>
          <w:color w:val="auto"/>
        </w:rPr>
      </w:pPr>
      <w:bookmarkStart w:id="36" w:name="_Toc66868891"/>
      <w:r w:rsidRPr="00AF0B8D">
        <w:rPr>
          <w:rFonts w:cs="Arial"/>
          <w:bCs/>
          <w:color w:val="auto"/>
        </w:rPr>
        <w:t>Markov Chains</w:t>
      </w:r>
      <w:bookmarkEnd w:id="36"/>
    </w:p>
    <w:p w14:paraId="6B1F8911" w14:textId="6D751E60" w:rsidR="00123B60" w:rsidRPr="001F5E1D" w:rsidRDefault="00123B60" w:rsidP="004A2DD4">
      <w:pPr>
        <w:spacing w:line="360" w:lineRule="auto"/>
        <w:jc w:val="both"/>
        <w:rPr>
          <w:rFonts w:ascii="Arial" w:hAnsi="Arial" w:cs="Arial"/>
        </w:rPr>
      </w:pPr>
      <w:r w:rsidRPr="001F5E1D">
        <w:rPr>
          <w:rFonts w:ascii="Arial" w:hAnsi="Arial" w:cs="Arial"/>
        </w:rPr>
        <w:t>Markov Chains are widely used to predict the rate of deterioration of bridges</w:t>
      </w:r>
      <w:r w:rsidR="00690A21" w:rsidRPr="001F5E1D">
        <w:rPr>
          <w:rFonts w:ascii="Arial" w:hAnsi="Arial" w:cs="Arial"/>
        </w:rPr>
        <w:t xml:space="preserve"> and deemed to be more appropriate</w:t>
      </w:r>
      <w:r w:rsidRPr="001F5E1D">
        <w:rPr>
          <w:rFonts w:ascii="Arial" w:hAnsi="Arial" w:cs="Arial"/>
        </w:rPr>
        <w:t xml:space="preserve">. Markov </w:t>
      </w:r>
      <w:r w:rsidR="00E376CA">
        <w:rPr>
          <w:rFonts w:ascii="Arial" w:hAnsi="Arial" w:cs="Arial"/>
        </w:rPr>
        <w:t>C</w:t>
      </w:r>
      <w:r w:rsidRPr="001F5E1D">
        <w:rPr>
          <w:rFonts w:ascii="Arial" w:hAnsi="Arial" w:cs="Arial"/>
        </w:rPr>
        <w:t>hains are probabilistic models used to determine the possibility of typical bridge element deteriorating from one condition state to another (</w:t>
      </w:r>
      <w:r w:rsidR="0014380D">
        <w:rPr>
          <w:rFonts w:ascii="Arial" w:hAnsi="Arial" w:cs="Arial"/>
        </w:rPr>
        <w:t xml:space="preserve">based on </w:t>
      </w:r>
      <w:r w:rsidRPr="001F5E1D">
        <w:rPr>
          <w:rFonts w:ascii="Arial" w:hAnsi="Arial" w:cs="Arial"/>
        </w:rPr>
        <w:t xml:space="preserve">element condition ratings). Markov </w:t>
      </w:r>
      <w:r w:rsidR="00E376CA">
        <w:rPr>
          <w:rFonts w:ascii="Arial" w:hAnsi="Arial" w:cs="Arial"/>
        </w:rPr>
        <w:t>C</w:t>
      </w:r>
      <w:r w:rsidRPr="001F5E1D">
        <w:rPr>
          <w:rFonts w:ascii="Arial" w:hAnsi="Arial" w:cs="Arial"/>
        </w:rPr>
        <w:t xml:space="preserve">hains are generally reliant on condition data from a portfolio of </w:t>
      </w:r>
      <w:r w:rsidR="0059279B">
        <w:rPr>
          <w:rFonts w:ascii="Arial" w:hAnsi="Arial" w:cs="Arial"/>
        </w:rPr>
        <w:t xml:space="preserve">comparable </w:t>
      </w:r>
      <w:r w:rsidRPr="001F5E1D">
        <w:rPr>
          <w:rFonts w:ascii="Arial" w:hAnsi="Arial" w:cs="Arial"/>
        </w:rPr>
        <w:t>bridges</w:t>
      </w:r>
      <w:r w:rsidR="00D001FF" w:rsidRPr="001F5E1D">
        <w:rPr>
          <w:rFonts w:ascii="Arial" w:hAnsi="Arial" w:cs="Arial"/>
        </w:rPr>
        <w:t xml:space="preserve"> and</w:t>
      </w:r>
      <w:r w:rsidRPr="001F5E1D">
        <w:rPr>
          <w:rFonts w:ascii="Arial" w:hAnsi="Arial" w:cs="Arial"/>
        </w:rPr>
        <w:t xml:space="preserve"> elements in order to determine deterioration profiles. However, there are bridge management systems that have been developed where transition probabilities </w:t>
      </w:r>
      <w:r w:rsidR="00393A19" w:rsidRPr="001F5E1D">
        <w:rPr>
          <w:rFonts w:ascii="Arial" w:hAnsi="Arial" w:cs="Arial"/>
        </w:rPr>
        <w:t>(</w:t>
      </w:r>
      <w:r w:rsidRPr="001F5E1D">
        <w:rPr>
          <w:rFonts w:ascii="Arial" w:hAnsi="Arial" w:cs="Arial"/>
        </w:rPr>
        <w:t>deterioration profiles</w:t>
      </w:r>
      <w:r w:rsidR="00393A19" w:rsidRPr="001F5E1D">
        <w:rPr>
          <w:rFonts w:ascii="Arial" w:hAnsi="Arial" w:cs="Arial"/>
        </w:rPr>
        <w:t>)</w:t>
      </w:r>
      <w:r w:rsidRPr="001F5E1D">
        <w:rPr>
          <w:rFonts w:ascii="Arial" w:hAnsi="Arial" w:cs="Arial"/>
        </w:rPr>
        <w:t xml:space="preserve"> are based on the judgements of industry experts</w:t>
      </w:r>
      <w:r w:rsidR="00734C58">
        <w:rPr>
          <w:rFonts w:ascii="Arial" w:hAnsi="Arial" w:cs="Arial"/>
        </w:rPr>
        <w:t>.</w:t>
      </w:r>
      <w:r w:rsidRPr="001F5E1D">
        <w:rPr>
          <w:rFonts w:ascii="Arial" w:hAnsi="Arial" w:cs="Arial"/>
        </w:rPr>
        <w:t xml:space="preserve"> </w:t>
      </w:r>
      <w:r w:rsidR="00734C58">
        <w:rPr>
          <w:rFonts w:ascii="Arial" w:hAnsi="Arial" w:cs="Arial"/>
        </w:rPr>
        <w:t>T</w:t>
      </w:r>
      <w:r w:rsidRPr="001F5E1D">
        <w:rPr>
          <w:rFonts w:ascii="Arial" w:hAnsi="Arial" w:cs="Arial"/>
        </w:rPr>
        <w:t>his is suitable if there is a lack of historic records</w:t>
      </w:r>
      <w:r w:rsidR="00862BE2" w:rsidRPr="001F5E1D">
        <w:rPr>
          <w:rFonts w:ascii="Arial" w:hAnsi="Arial" w:cs="Arial"/>
        </w:rPr>
        <w:t xml:space="preserve"> and</w:t>
      </w:r>
      <w:r w:rsidRPr="001F5E1D">
        <w:rPr>
          <w:rFonts w:ascii="Arial" w:hAnsi="Arial" w:cs="Arial"/>
        </w:rPr>
        <w:t xml:space="preserve"> condition data. </w:t>
      </w:r>
      <w:r w:rsidR="00F82293" w:rsidRPr="001F5E1D">
        <w:rPr>
          <w:rFonts w:ascii="Arial" w:hAnsi="Arial" w:cs="Arial"/>
        </w:rPr>
        <w:t>(</w:t>
      </w:r>
      <w:r w:rsidR="00E2314A" w:rsidRPr="001F5E1D">
        <w:rPr>
          <w:rFonts w:ascii="Arial" w:hAnsi="Arial" w:cs="Arial"/>
        </w:rPr>
        <w:t>Mckibbins</w:t>
      </w:r>
      <w:r w:rsidR="00D560A8">
        <w:rPr>
          <w:rFonts w:ascii="Arial" w:hAnsi="Arial" w:cs="Arial"/>
        </w:rPr>
        <w:t xml:space="preserve"> et al</w:t>
      </w:r>
      <w:r w:rsidR="00E2314A" w:rsidRPr="001F5E1D">
        <w:rPr>
          <w:rFonts w:ascii="Arial" w:hAnsi="Arial" w:cs="Arial"/>
        </w:rPr>
        <w:t xml:space="preserve">, 2019) </w:t>
      </w:r>
    </w:p>
    <w:p w14:paraId="617B42A9" w14:textId="608633B4" w:rsidR="00AD6062" w:rsidRPr="001F5E1D" w:rsidRDefault="00830840" w:rsidP="004A2DD4">
      <w:pPr>
        <w:spacing w:line="360" w:lineRule="auto"/>
        <w:jc w:val="both"/>
        <w:rPr>
          <w:rFonts w:ascii="Arial" w:hAnsi="Arial" w:cs="Arial"/>
        </w:rPr>
      </w:pPr>
      <w:r w:rsidRPr="001F5E1D">
        <w:rPr>
          <w:rFonts w:ascii="Arial" w:hAnsi="Arial" w:cs="Arial"/>
        </w:rPr>
        <w:t xml:space="preserve">Recently, </w:t>
      </w:r>
      <w:r w:rsidR="001C5C0A" w:rsidRPr="001F5E1D">
        <w:rPr>
          <w:rFonts w:ascii="Arial" w:hAnsi="Arial" w:cs="Arial"/>
        </w:rPr>
        <w:t xml:space="preserve">stand-alone </w:t>
      </w:r>
      <w:r w:rsidRPr="001F5E1D">
        <w:rPr>
          <w:rFonts w:ascii="Arial" w:hAnsi="Arial" w:cs="Arial"/>
        </w:rPr>
        <w:t xml:space="preserve">life cycle planning tools have been developed to help bridge </w:t>
      </w:r>
      <w:r w:rsidR="00BA740C">
        <w:rPr>
          <w:rFonts w:ascii="Arial" w:hAnsi="Arial" w:cs="Arial"/>
        </w:rPr>
        <w:t>engineers</w:t>
      </w:r>
      <w:r w:rsidRPr="001F5E1D">
        <w:rPr>
          <w:rFonts w:ascii="Arial" w:hAnsi="Arial" w:cs="Arial"/>
        </w:rPr>
        <w:t xml:space="preserve"> </w:t>
      </w:r>
      <w:r w:rsidR="0041280D">
        <w:rPr>
          <w:rFonts w:ascii="Arial" w:hAnsi="Arial" w:cs="Arial"/>
        </w:rPr>
        <w:t>with</w:t>
      </w:r>
      <w:r w:rsidR="00860C5A" w:rsidRPr="001F5E1D">
        <w:rPr>
          <w:rFonts w:ascii="Arial" w:hAnsi="Arial" w:cs="Arial"/>
        </w:rPr>
        <w:t xml:space="preserve"> maintenance decisions</w:t>
      </w:r>
      <w:r w:rsidR="00553809" w:rsidRPr="001F5E1D">
        <w:rPr>
          <w:rFonts w:ascii="Arial" w:hAnsi="Arial" w:cs="Arial"/>
        </w:rPr>
        <w:t xml:space="preserve"> and determine budget requirements</w:t>
      </w:r>
      <w:r w:rsidR="00860C5A" w:rsidRPr="001F5E1D">
        <w:rPr>
          <w:rFonts w:ascii="Arial" w:hAnsi="Arial" w:cs="Arial"/>
        </w:rPr>
        <w:t xml:space="preserve">. </w:t>
      </w:r>
      <w:r w:rsidR="00003786" w:rsidRPr="001F5E1D">
        <w:rPr>
          <w:rFonts w:ascii="Arial" w:hAnsi="Arial" w:cs="Arial"/>
        </w:rPr>
        <w:t xml:space="preserve">An example of </w:t>
      </w:r>
      <w:r w:rsidR="00F21359" w:rsidRPr="001F5E1D">
        <w:rPr>
          <w:rFonts w:ascii="Arial" w:hAnsi="Arial" w:cs="Arial"/>
        </w:rPr>
        <w:t xml:space="preserve">one such tool is the </w:t>
      </w:r>
      <w:r w:rsidR="00490A86" w:rsidRPr="001F5E1D">
        <w:rPr>
          <w:rFonts w:ascii="Arial" w:hAnsi="Arial" w:cs="Arial"/>
        </w:rPr>
        <w:t>S</w:t>
      </w:r>
      <w:r w:rsidR="00F21359" w:rsidRPr="001F5E1D">
        <w:rPr>
          <w:rFonts w:ascii="Arial" w:hAnsi="Arial" w:cs="Arial"/>
        </w:rPr>
        <w:t xml:space="preserve">tructures </w:t>
      </w:r>
      <w:r w:rsidR="00490A86" w:rsidRPr="001F5E1D">
        <w:rPr>
          <w:rFonts w:ascii="Arial" w:hAnsi="Arial" w:cs="Arial"/>
        </w:rPr>
        <w:t>A</w:t>
      </w:r>
      <w:r w:rsidR="00F21359" w:rsidRPr="001F5E1D">
        <w:rPr>
          <w:rFonts w:ascii="Arial" w:hAnsi="Arial" w:cs="Arial"/>
        </w:rPr>
        <w:t xml:space="preserve">sset </w:t>
      </w:r>
      <w:r w:rsidR="00490A86" w:rsidRPr="001F5E1D">
        <w:rPr>
          <w:rFonts w:ascii="Arial" w:hAnsi="Arial" w:cs="Arial"/>
        </w:rPr>
        <w:t>Valuation</w:t>
      </w:r>
      <w:r w:rsidR="00F21359" w:rsidRPr="001F5E1D">
        <w:rPr>
          <w:rFonts w:ascii="Arial" w:hAnsi="Arial" w:cs="Arial"/>
        </w:rPr>
        <w:t xml:space="preserve"> and Investment Tool</w:t>
      </w:r>
      <w:r w:rsidR="00490A86" w:rsidRPr="001F5E1D">
        <w:rPr>
          <w:rFonts w:ascii="Arial" w:hAnsi="Arial" w:cs="Arial"/>
        </w:rPr>
        <w:t xml:space="preserve"> (</w:t>
      </w:r>
      <w:r w:rsidR="00C953EA">
        <w:rPr>
          <w:rFonts w:ascii="Arial" w:hAnsi="Arial" w:cs="Arial"/>
        </w:rPr>
        <w:t>‘</w:t>
      </w:r>
      <w:r w:rsidR="00490A86" w:rsidRPr="001F5E1D">
        <w:rPr>
          <w:rFonts w:ascii="Arial" w:hAnsi="Arial" w:cs="Arial"/>
        </w:rPr>
        <w:t>SAVI</w:t>
      </w:r>
      <w:r w:rsidR="00C953EA">
        <w:rPr>
          <w:rFonts w:ascii="Arial" w:hAnsi="Arial" w:cs="Arial"/>
        </w:rPr>
        <w:t>’</w:t>
      </w:r>
      <w:r w:rsidR="00490A86" w:rsidRPr="001F5E1D">
        <w:rPr>
          <w:rFonts w:ascii="Arial" w:hAnsi="Arial" w:cs="Arial"/>
        </w:rPr>
        <w:t>)</w:t>
      </w:r>
      <w:r w:rsidR="00134341" w:rsidRPr="001F5E1D">
        <w:rPr>
          <w:rFonts w:ascii="Arial" w:hAnsi="Arial" w:cs="Arial"/>
        </w:rPr>
        <w:t xml:space="preserve"> which </w:t>
      </w:r>
      <w:r w:rsidR="00BF33E3">
        <w:rPr>
          <w:rFonts w:ascii="Arial" w:hAnsi="Arial" w:cs="Arial"/>
        </w:rPr>
        <w:t>was</w:t>
      </w:r>
      <w:r w:rsidR="00134341" w:rsidRPr="001F5E1D">
        <w:rPr>
          <w:rFonts w:ascii="Arial" w:hAnsi="Arial" w:cs="Arial"/>
        </w:rPr>
        <w:t xml:space="preserve"> developed for the UK Bridges Board</w:t>
      </w:r>
      <w:r w:rsidR="00DA6955" w:rsidRPr="001F5E1D">
        <w:rPr>
          <w:rFonts w:ascii="Arial" w:hAnsi="Arial" w:cs="Arial"/>
        </w:rPr>
        <w:t xml:space="preserve"> and </w:t>
      </w:r>
      <w:r w:rsidR="009625AE" w:rsidRPr="001F5E1D">
        <w:rPr>
          <w:rFonts w:ascii="Arial" w:hAnsi="Arial" w:cs="Arial"/>
        </w:rPr>
        <w:t>released</w:t>
      </w:r>
      <w:r w:rsidR="00DA6955" w:rsidRPr="001F5E1D">
        <w:rPr>
          <w:rFonts w:ascii="Arial" w:hAnsi="Arial" w:cs="Arial"/>
        </w:rPr>
        <w:t xml:space="preserve"> </w:t>
      </w:r>
      <w:r w:rsidR="009625AE" w:rsidRPr="001F5E1D">
        <w:rPr>
          <w:rFonts w:ascii="Arial" w:hAnsi="Arial" w:cs="Arial"/>
        </w:rPr>
        <w:t xml:space="preserve">on the </w:t>
      </w:r>
      <w:r w:rsidR="009E6541" w:rsidRPr="001F5E1D">
        <w:rPr>
          <w:rFonts w:ascii="Arial" w:hAnsi="Arial" w:cs="Arial"/>
        </w:rPr>
        <w:t>11</w:t>
      </w:r>
      <w:r w:rsidR="009625AE" w:rsidRPr="001F5E1D">
        <w:rPr>
          <w:rFonts w:ascii="Arial" w:hAnsi="Arial" w:cs="Arial"/>
          <w:vertAlign w:val="superscript"/>
        </w:rPr>
        <w:t>th</w:t>
      </w:r>
      <w:r w:rsidR="009625AE" w:rsidRPr="001F5E1D">
        <w:rPr>
          <w:rFonts w:ascii="Arial" w:hAnsi="Arial" w:cs="Arial"/>
        </w:rPr>
        <w:t xml:space="preserve"> </w:t>
      </w:r>
      <w:r w:rsidR="009E6541" w:rsidRPr="001F5E1D">
        <w:rPr>
          <w:rFonts w:ascii="Arial" w:hAnsi="Arial" w:cs="Arial"/>
        </w:rPr>
        <w:t>March</w:t>
      </w:r>
      <w:r w:rsidR="009625AE" w:rsidRPr="001F5E1D">
        <w:rPr>
          <w:rFonts w:ascii="Arial" w:hAnsi="Arial" w:cs="Arial"/>
        </w:rPr>
        <w:t xml:space="preserve"> </w:t>
      </w:r>
      <w:r w:rsidR="00DA6955" w:rsidRPr="001F5E1D">
        <w:rPr>
          <w:rFonts w:ascii="Arial" w:hAnsi="Arial" w:cs="Arial"/>
        </w:rPr>
        <w:t>2020</w:t>
      </w:r>
      <w:r w:rsidR="009625AE" w:rsidRPr="001F5E1D">
        <w:rPr>
          <w:rFonts w:ascii="Arial" w:hAnsi="Arial" w:cs="Arial"/>
        </w:rPr>
        <w:t>.</w:t>
      </w:r>
      <w:r w:rsidR="00DB7654" w:rsidRPr="001F5E1D">
        <w:rPr>
          <w:rFonts w:ascii="Arial" w:hAnsi="Arial" w:cs="Arial"/>
        </w:rPr>
        <w:t xml:space="preserve"> </w:t>
      </w:r>
      <w:r w:rsidR="00EF12F8">
        <w:rPr>
          <w:rFonts w:ascii="Arial" w:hAnsi="Arial" w:cs="Arial"/>
        </w:rPr>
        <w:t>The software can be</w:t>
      </w:r>
      <w:r w:rsidR="001B498F" w:rsidRPr="001F5E1D">
        <w:rPr>
          <w:rFonts w:ascii="Arial" w:hAnsi="Arial" w:cs="Arial"/>
        </w:rPr>
        <w:t xml:space="preserve"> can </w:t>
      </w:r>
      <w:r w:rsidR="00EF12F8">
        <w:rPr>
          <w:rFonts w:ascii="Arial" w:hAnsi="Arial" w:cs="Arial"/>
        </w:rPr>
        <w:t xml:space="preserve">used to </w:t>
      </w:r>
      <w:r w:rsidR="001B498F" w:rsidRPr="001F5E1D">
        <w:rPr>
          <w:rFonts w:ascii="Arial" w:hAnsi="Arial" w:cs="Arial"/>
        </w:rPr>
        <w:t xml:space="preserve">compare </w:t>
      </w:r>
      <w:r w:rsidR="00817BE3" w:rsidRPr="001F5E1D">
        <w:rPr>
          <w:rFonts w:ascii="Arial" w:hAnsi="Arial" w:cs="Arial"/>
        </w:rPr>
        <w:t>asset management plans</w:t>
      </w:r>
      <w:r w:rsidR="00FF183F">
        <w:rPr>
          <w:rFonts w:ascii="Arial" w:hAnsi="Arial" w:cs="Arial"/>
        </w:rPr>
        <w:t>,</w:t>
      </w:r>
      <w:r w:rsidR="00817BE3" w:rsidRPr="001F5E1D">
        <w:rPr>
          <w:rFonts w:ascii="Arial" w:hAnsi="Arial" w:cs="Arial"/>
        </w:rPr>
        <w:t xml:space="preserve"> by </w:t>
      </w:r>
      <w:r w:rsidR="002D34F1" w:rsidRPr="001F5E1D">
        <w:rPr>
          <w:rFonts w:ascii="Arial" w:hAnsi="Arial" w:cs="Arial"/>
        </w:rPr>
        <w:t xml:space="preserve">defining </w:t>
      </w:r>
      <w:r w:rsidR="00FF183F">
        <w:rPr>
          <w:rFonts w:ascii="Arial" w:hAnsi="Arial" w:cs="Arial"/>
        </w:rPr>
        <w:t xml:space="preserve">different </w:t>
      </w:r>
      <w:r w:rsidR="002D34F1" w:rsidRPr="001F5E1D">
        <w:rPr>
          <w:rFonts w:ascii="Arial" w:hAnsi="Arial" w:cs="Arial"/>
        </w:rPr>
        <w:t>intervention thr</w:t>
      </w:r>
      <w:r w:rsidR="00AF64D5" w:rsidRPr="001F5E1D">
        <w:rPr>
          <w:rFonts w:ascii="Arial" w:hAnsi="Arial" w:cs="Arial"/>
        </w:rPr>
        <w:t>eshold</w:t>
      </w:r>
      <w:r w:rsidR="0008420E">
        <w:rPr>
          <w:rFonts w:ascii="Arial" w:hAnsi="Arial" w:cs="Arial"/>
        </w:rPr>
        <w:t>s</w:t>
      </w:r>
      <w:r w:rsidR="00AF64D5" w:rsidRPr="001F5E1D">
        <w:rPr>
          <w:rFonts w:ascii="Arial" w:hAnsi="Arial" w:cs="Arial"/>
        </w:rPr>
        <w:t xml:space="preserve"> for </w:t>
      </w:r>
      <w:r w:rsidR="00DE3881" w:rsidRPr="001F5E1D">
        <w:rPr>
          <w:rFonts w:ascii="Arial" w:hAnsi="Arial" w:cs="Arial"/>
        </w:rPr>
        <w:t>remedial works</w:t>
      </w:r>
      <w:r w:rsidR="00C63BDB" w:rsidRPr="001F5E1D">
        <w:rPr>
          <w:rFonts w:ascii="Arial" w:hAnsi="Arial" w:cs="Arial"/>
        </w:rPr>
        <w:t xml:space="preserve"> </w:t>
      </w:r>
      <w:r w:rsidR="002339DD">
        <w:rPr>
          <w:rFonts w:ascii="Arial" w:hAnsi="Arial" w:cs="Arial"/>
        </w:rPr>
        <w:t>(</w:t>
      </w:r>
      <w:r w:rsidR="00C63BDB" w:rsidRPr="001F5E1D">
        <w:rPr>
          <w:rFonts w:ascii="Arial" w:hAnsi="Arial" w:cs="Arial"/>
        </w:rPr>
        <w:t>user defined treatments</w:t>
      </w:r>
      <w:r w:rsidR="002339DD">
        <w:rPr>
          <w:rFonts w:ascii="Arial" w:hAnsi="Arial" w:cs="Arial"/>
        </w:rPr>
        <w:t>)</w:t>
      </w:r>
      <w:r w:rsidR="00170774">
        <w:rPr>
          <w:rFonts w:ascii="Arial" w:hAnsi="Arial" w:cs="Arial"/>
        </w:rPr>
        <w:t>.</w:t>
      </w:r>
      <w:r w:rsidR="002D34F1" w:rsidRPr="001F5E1D">
        <w:rPr>
          <w:rFonts w:ascii="Arial" w:hAnsi="Arial" w:cs="Arial"/>
        </w:rPr>
        <w:t xml:space="preserve"> </w:t>
      </w:r>
      <w:r w:rsidR="002339DD">
        <w:rPr>
          <w:rFonts w:ascii="Arial" w:hAnsi="Arial" w:cs="Arial"/>
        </w:rPr>
        <w:t>This tool can be used to</w:t>
      </w:r>
      <w:r w:rsidR="002D34F1" w:rsidRPr="001F5E1D">
        <w:rPr>
          <w:rFonts w:ascii="Arial" w:hAnsi="Arial" w:cs="Arial"/>
        </w:rPr>
        <w:t xml:space="preserve"> undertake a </w:t>
      </w:r>
      <w:r w:rsidR="001526DA" w:rsidRPr="001F5E1D">
        <w:rPr>
          <w:rFonts w:ascii="Arial" w:hAnsi="Arial" w:cs="Arial"/>
        </w:rPr>
        <w:t>parametric study to identify the most cost-effective maintenance strategy for a structure.</w:t>
      </w:r>
      <w:r w:rsidR="00372545" w:rsidRPr="001F5E1D">
        <w:rPr>
          <w:rFonts w:ascii="Arial" w:hAnsi="Arial" w:cs="Arial"/>
        </w:rPr>
        <w:t xml:space="preserve"> Different levels of </w:t>
      </w:r>
      <w:r w:rsidR="00373E62" w:rsidRPr="001F5E1D">
        <w:rPr>
          <w:rFonts w:ascii="Arial" w:hAnsi="Arial" w:cs="Arial"/>
        </w:rPr>
        <w:t xml:space="preserve">funding can also be defined to determine the effects of different budgets </w:t>
      </w:r>
      <w:r w:rsidR="00EF35D8" w:rsidRPr="001F5E1D">
        <w:rPr>
          <w:rFonts w:ascii="Arial" w:hAnsi="Arial" w:cs="Arial"/>
        </w:rPr>
        <w:t xml:space="preserve"> on performance</w:t>
      </w:r>
      <w:r w:rsidR="00366DF5" w:rsidRPr="001F5E1D">
        <w:rPr>
          <w:rFonts w:ascii="Arial" w:hAnsi="Arial" w:cs="Arial"/>
        </w:rPr>
        <w:t xml:space="preserve"> – this fe</w:t>
      </w:r>
      <w:r w:rsidR="002D1640" w:rsidRPr="001F5E1D">
        <w:rPr>
          <w:rFonts w:ascii="Arial" w:hAnsi="Arial" w:cs="Arial"/>
        </w:rPr>
        <w:t>a</w:t>
      </w:r>
      <w:r w:rsidR="00366DF5" w:rsidRPr="001F5E1D">
        <w:rPr>
          <w:rFonts w:ascii="Arial" w:hAnsi="Arial" w:cs="Arial"/>
        </w:rPr>
        <w:t xml:space="preserve">ture </w:t>
      </w:r>
      <w:r w:rsidR="00B009CD" w:rsidRPr="001F5E1D">
        <w:rPr>
          <w:rFonts w:ascii="Arial" w:hAnsi="Arial" w:cs="Arial"/>
        </w:rPr>
        <w:t>enables</w:t>
      </w:r>
      <w:r w:rsidR="00366DF5" w:rsidRPr="001F5E1D">
        <w:rPr>
          <w:rFonts w:ascii="Arial" w:hAnsi="Arial" w:cs="Arial"/>
        </w:rPr>
        <w:t xml:space="preserve"> sensitiv</w:t>
      </w:r>
      <w:r w:rsidR="00AC18BD" w:rsidRPr="001F5E1D">
        <w:rPr>
          <w:rFonts w:ascii="Arial" w:hAnsi="Arial" w:cs="Arial"/>
        </w:rPr>
        <w:t>ity analysis to be undertaken</w:t>
      </w:r>
      <w:r w:rsidR="00EF35D8" w:rsidRPr="001F5E1D">
        <w:rPr>
          <w:rFonts w:ascii="Arial" w:hAnsi="Arial" w:cs="Arial"/>
        </w:rPr>
        <w:t xml:space="preserve">. </w:t>
      </w:r>
      <w:r w:rsidR="008A1E84" w:rsidRPr="001F5E1D">
        <w:rPr>
          <w:rFonts w:ascii="Arial" w:hAnsi="Arial" w:cs="Arial"/>
        </w:rPr>
        <w:t>Default data</w:t>
      </w:r>
      <w:r w:rsidR="00CF4A77" w:rsidRPr="001F5E1D">
        <w:rPr>
          <w:rFonts w:ascii="Arial" w:hAnsi="Arial" w:cs="Arial"/>
        </w:rPr>
        <w:t xml:space="preserve"> (based on </w:t>
      </w:r>
      <w:r w:rsidR="00C21D60" w:rsidRPr="001F5E1D">
        <w:rPr>
          <w:rFonts w:ascii="Arial" w:hAnsi="Arial" w:cs="Arial"/>
        </w:rPr>
        <w:t>expert opinion)</w:t>
      </w:r>
      <w:r w:rsidR="008A1E84" w:rsidRPr="001F5E1D">
        <w:rPr>
          <w:rFonts w:ascii="Arial" w:hAnsi="Arial" w:cs="Arial"/>
        </w:rPr>
        <w:t xml:space="preserve"> is used in the analysis</w:t>
      </w:r>
      <w:r w:rsidR="009B3C19">
        <w:rPr>
          <w:rFonts w:ascii="Arial" w:hAnsi="Arial" w:cs="Arial"/>
        </w:rPr>
        <w:t>,</w:t>
      </w:r>
      <w:r w:rsidR="008A1E84" w:rsidRPr="001F5E1D">
        <w:rPr>
          <w:rFonts w:ascii="Arial" w:hAnsi="Arial" w:cs="Arial"/>
        </w:rPr>
        <w:t xml:space="preserve"> </w:t>
      </w:r>
      <w:r w:rsidR="00DA26A5" w:rsidRPr="001F5E1D">
        <w:rPr>
          <w:rFonts w:ascii="Arial" w:hAnsi="Arial" w:cs="Arial"/>
        </w:rPr>
        <w:t xml:space="preserve">including </w:t>
      </w:r>
      <w:r w:rsidR="0094020D" w:rsidRPr="001F5E1D">
        <w:rPr>
          <w:rFonts w:ascii="Arial" w:hAnsi="Arial" w:cs="Arial"/>
        </w:rPr>
        <w:t>deterioration</w:t>
      </w:r>
      <w:r w:rsidR="00DA26A5" w:rsidRPr="001F5E1D">
        <w:rPr>
          <w:rFonts w:ascii="Arial" w:hAnsi="Arial" w:cs="Arial"/>
        </w:rPr>
        <w:t xml:space="preserve"> profiles </w:t>
      </w:r>
      <w:r w:rsidR="0094020D" w:rsidRPr="001F5E1D">
        <w:rPr>
          <w:rFonts w:ascii="Arial" w:hAnsi="Arial" w:cs="Arial"/>
        </w:rPr>
        <w:t>and unit costs</w:t>
      </w:r>
      <w:r w:rsidR="00EF778F">
        <w:rPr>
          <w:rFonts w:ascii="Arial" w:hAnsi="Arial" w:cs="Arial"/>
        </w:rPr>
        <w:t>,</w:t>
      </w:r>
      <w:r w:rsidR="0094020D" w:rsidRPr="001F5E1D">
        <w:rPr>
          <w:rFonts w:ascii="Arial" w:hAnsi="Arial" w:cs="Arial"/>
        </w:rPr>
        <w:t xml:space="preserve"> making this extremely well suited where there is a lack of </w:t>
      </w:r>
      <w:r w:rsidR="00AC18BD" w:rsidRPr="001F5E1D">
        <w:rPr>
          <w:rFonts w:ascii="Arial" w:hAnsi="Arial" w:cs="Arial"/>
        </w:rPr>
        <w:t xml:space="preserve">available or reliable </w:t>
      </w:r>
      <w:r w:rsidR="0094020D" w:rsidRPr="001F5E1D">
        <w:rPr>
          <w:rFonts w:ascii="Arial" w:hAnsi="Arial" w:cs="Arial"/>
        </w:rPr>
        <w:t>data.</w:t>
      </w:r>
      <w:r w:rsidR="002D1640" w:rsidRPr="001F5E1D">
        <w:rPr>
          <w:rFonts w:ascii="Arial" w:hAnsi="Arial" w:cs="Arial"/>
        </w:rPr>
        <w:t xml:space="preserve"> </w:t>
      </w:r>
      <w:r w:rsidR="005E3C7B" w:rsidRPr="001F5E1D">
        <w:rPr>
          <w:rFonts w:ascii="Arial" w:hAnsi="Arial" w:cs="Arial"/>
        </w:rPr>
        <w:t xml:space="preserve">Deterioration profiles </w:t>
      </w:r>
      <w:r w:rsidR="00D82FE5" w:rsidRPr="001F5E1D">
        <w:rPr>
          <w:rFonts w:ascii="Arial" w:hAnsi="Arial" w:cs="Arial"/>
        </w:rPr>
        <w:t xml:space="preserve">are determined based </w:t>
      </w:r>
      <w:r w:rsidR="00DE5666" w:rsidRPr="001F5E1D">
        <w:rPr>
          <w:rFonts w:ascii="Arial" w:hAnsi="Arial" w:cs="Arial"/>
        </w:rPr>
        <w:t>on</w:t>
      </w:r>
      <w:r w:rsidR="00706A74" w:rsidRPr="001F5E1D">
        <w:rPr>
          <w:rFonts w:ascii="Arial" w:hAnsi="Arial" w:cs="Arial"/>
        </w:rPr>
        <w:t xml:space="preserve"> defined influencing factors including </w:t>
      </w:r>
      <w:r w:rsidR="00AD6062" w:rsidRPr="001F5E1D">
        <w:rPr>
          <w:rFonts w:ascii="Arial" w:hAnsi="Arial" w:cs="Arial"/>
        </w:rPr>
        <w:t xml:space="preserve">traffic volumes and exposure </w:t>
      </w:r>
      <w:r w:rsidR="00C21D60" w:rsidRPr="001F5E1D">
        <w:rPr>
          <w:rFonts w:ascii="Arial" w:hAnsi="Arial" w:cs="Arial"/>
        </w:rPr>
        <w:t>conditions</w:t>
      </w:r>
      <w:r w:rsidR="00AD6062" w:rsidRPr="001F5E1D">
        <w:rPr>
          <w:rFonts w:ascii="Arial" w:hAnsi="Arial" w:cs="Arial"/>
        </w:rPr>
        <w:t>.</w:t>
      </w:r>
      <w:r w:rsidR="00C74AC3" w:rsidRPr="001F5E1D">
        <w:rPr>
          <w:rFonts w:ascii="Arial" w:hAnsi="Arial" w:cs="Arial"/>
        </w:rPr>
        <w:t xml:space="preserve"> This tool is </w:t>
      </w:r>
      <w:r w:rsidR="00E718BD" w:rsidRPr="001F5E1D">
        <w:rPr>
          <w:rFonts w:ascii="Arial" w:hAnsi="Arial" w:cs="Arial"/>
        </w:rPr>
        <w:t xml:space="preserve">great leap forward to assist bridge engineers </w:t>
      </w:r>
      <w:r w:rsidR="004563AA" w:rsidRPr="001F5E1D">
        <w:rPr>
          <w:rFonts w:ascii="Arial" w:hAnsi="Arial" w:cs="Arial"/>
        </w:rPr>
        <w:t xml:space="preserve">determine the optimal levels of </w:t>
      </w:r>
      <w:r w:rsidR="008C78E0" w:rsidRPr="001F5E1D">
        <w:rPr>
          <w:rFonts w:ascii="Arial" w:hAnsi="Arial" w:cs="Arial"/>
        </w:rPr>
        <w:t>expenditure for bridge maintenance</w:t>
      </w:r>
      <w:r w:rsidR="004563AA" w:rsidRPr="001F5E1D">
        <w:rPr>
          <w:rFonts w:ascii="Arial" w:hAnsi="Arial" w:cs="Arial"/>
        </w:rPr>
        <w:t>.</w:t>
      </w:r>
      <w:r w:rsidR="008C78E0" w:rsidRPr="001F5E1D">
        <w:rPr>
          <w:rFonts w:ascii="Arial" w:hAnsi="Arial" w:cs="Arial"/>
        </w:rPr>
        <w:t xml:space="preserve"> </w:t>
      </w:r>
      <w:r w:rsidR="004563AA" w:rsidRPr="001F5E1D">
        <w:rPr>
          <w:rFonts w:ascii="Arial" w:hAnsi="Arial" w:cs="Arial"/>
        </w:rPr>
        <w:t xml:space="preserve"> </w:t>
      </w:r>
      <w:r w:rsidR="00C21D60" w:rsidRPr="001F5E1D">
        <w:rPr>
          <w:rFonts w:ascii="Arial" w:hAnsi="Arial" w:cs="Arial"/>
        </w:rPr>
        <w:t>However, th</w:t>
      </w:r>
      <w:r w:rsidR="00410B93" w:rsidRPr="001F5E1D">
        <w:rPr>
          <w:rFonts w:ascii="Arial" w:hAnsi="Arial" w:cs="Arial"/>
        </w:rPr>
        <w:t>e</w:t>
      </w:r>
      <w:r w:rsidR="00C21D60" w:rsidRPr="001F5E1D">
        <w:rPr>
          <w:rFonts w:ascii="Arial" w:hAnsi="Arial" w:cs="Arial"/>
        </w:rPr>
        <w:t xml:space="preserve"> decision support tool </w:t>
      </w:r>
      <w:r w:rsidR="000011C3" w:rsidRPr="001F5E1D">
        <w:rPr>
          <w:rFonts w:ascii="Arial" w:hAnsi="Arial" w:cs="Arial"/>
        </w:rPr>
        <w:t>does not</w:t>
      </w:r>
      <w:r w:rsidR="00410B93" w:rsidRPr="001F5E1D">
        <w:rPr>
          <w:rFonts w:ascii="Arial" w:hAnsi="Arial" w:cs="Arial"/>
        </w:rPr>
        <w:t xml:space="preserve"> yet</w:t>
      </w:r>
      <w:r w:rsidR="000011C3" w:rsidRPr="001F5E1D">
        <w:rPr>
          <w:rFonts w:ascii="Arial" w:hAnsi="Arial" w:cs="Arial"/>
        </w:rPr>
        <w:t xml:space="preserve"> consider </w:t>
      </w:r>
      <w:r w:rsidR="003B728D" w:rsidRPr="001F5E1D">
        <w:rPr>
          <w:rFonts w:ascii="Arial" w:hAnsi="Arial" w:cs="Arial"/>
        </w:rPr>
        <w:t>greenhouse</w:t>
      </w:r>
      <w:r w:rsidR="00E83298" w:rsidRPr="001F5E1D">
        <w:rPr>
          <w:rFonts w:ascii="Arial" w:hAnsi="Arial" w:cs="Arial"/>
        </w:rPr>
        <w:t xml:space="preserve"> </w:t>
      </w:r>
      <w:r w:rsidR="003B728D" w:rsidRPr="001F5E1D">
        <w:rPr>
          <w:rFonts w:ascii="Arial" w:hAnsi="Arial" w:cs="Arial"/>
        </w:rPr>
        <w:t>g</w:t>
      </w:r>
      <w:r w:rsidR="00E83298" w:rsidRPr="001F5E1D">
        <w:rPr>
          <w:rFonts w:ascii="Arial" w:hAnsi="Arial" w:cs="Arial"/>
        </w:rPr>
        <w:t>ases</w:t>
      </w:r>
      <w:r w:rsidR="00484954" w:rsidRPr="001F5E1D">
        <w:rPr>
          <w:rFonts w:ascii="Arial" w:hAnsi="Arial" w:cs="Arial"/>
        </w:rPr>
        <w:t xml:space="preserve"> </w:t>
      </w:r>
      <w:r w:rsidR="00805560" w:rsidRPr="001F5E1D">
        <w:rPr>
          <w:rFonts w:ascii="Arial" w:hAnsi="Arial" w:cs="Arial"/>
        </w:rPr>
        <w:t>(e.g. carbon emissions)</w:t>
      </w:r>
      <w:r w:rsidR="000011C3" w:rsidRPr="001F5E1D">
        <w:rPr>
          <w:rFonts w:ascii="Arial" w:hAnsi="Arial" w:cs="Arial"/>
        </w:rPr>
        <w:t>.</w:t>
      </w:r>
      <w:r w:rsidR="00313934" w:rsidRPr="001F5E1D">
        <w:rPr>
          <w:rFonts w:ascii="Arial" w:hAnsi="Arial" w:cs="Arial"/>
        </w:rPr>
        <w:t xml:space="preserve"> (</w:t>
      </w:r>
      <w:r w:rsidR="00DC6B0B" w:rsidRPr="001F5E1D">
        <w:rPr>
          <w:rFonts w:ascii="Arial" w:hAnsi="Arial" w:cs="Arial"/>
        </w:rPr>
        <w:t>CIHT, 2020)</w:t>
      </w:r>
    </w:p>
    <w:p w14:paraId="10B8CCF9" w14:textId="3711D4A8" w:rsidR="00ED3CB5" w:rsidRPr="00C37488" w:rsidRDefault="00ED3CB5" w:rsidP="00C37488">
      <w:pPr>
        <w:pStyle w:val="Heading2"/>
        <w:spacing w:after="240"/>
        <w:rPr>
          <w:rFonts w:ascii="Arial" w:eastAsia="Times New Roman" w:hAnsi="Arial" w:cs="Arial"/>
          <w:b/>
          <w:bCs/>
          <w:color w:val="auto"/>
          <w:sz w:val="24"/>
          <w:szCs w:val="24"/>
          <w:lang w:eastAsia="en-GB"/>
        </w:rPr>
      </w:pPr>
      <w:bookmarkStart w:id="37" w:name="_Toc66868892"/>
      <w:r w:rsidRPr="00C37488">
        <w:rPr>
          <w:rFonts w:ascii="Arial" w:eastAsia="Times New Roman" w:hAnsi="Arial" w:cs="Arial"/>
          <w:b/>
          <w:bCs/>
          <w:color w:val="auto"/>
          <w:sz w:val="24"/>
          <w:szCs w:val="24"/>
          <w:lang w:eastAsia="en-GB"/>
        </w:rPr>
        <w:t>Sustainab</w:t>
      </w:r>
      <w:r w:rsidR="001D6324" w:rsidRPr="00C37488">
        <w:rPr>
          <w:rFonts w:ascii="Arial" w:eastAsia="Times New Roman" w:hAnsi="Arial" w:cs="Arial"/>
          <w:b/>
          <w:bCs/>
          <w:color w:val="auto"/>
          <w:sz w:val="24"/>
          <w:szCs w:val="24"/>
          <w:lang w:eastAsia="en-GB"/>
        </w:rPr>
        <w:t>ility</w:t>
      </w:r>
      <w:bookmarkEnd w:id="37"/>
      <w:r w:rsidR="00662E5A" w:rsidRPr="00C37488">
        <w:rPr>
          <w:rFonts w:ascii="Arial" w:eastAsia="Times New Roman" w:hAnsi="Arial" w:cs="Arial"/>
          <w:b/>
          <w:bCs/>
          <w:color w:val="auto"/>
          <w:sz w:val="24"/>
          <w:szCs w:val="24"/>
          <w:lang w:eastAsia="en-GB"/>
        </w:rPr>
        <w:tab/>
      </w:r>
    </w:p>
    <w:p w14:paraId="6A7A397B" w14:textId="4F6D6EF9" w:rsidR="0004755C" w:rsidRPr="001F5E1D" w:rsidRDefault="00747107" w:rsidP="004A2DD4">
      <w:pPr>
        <w:spacing w:line="360" w:lineRule="auto"/>
        <w:jc w:val="both"/>
        <w:rPr>
          <w:rFonts w:ascii="Arial" w:hAnsi="Arial" w:cs="Arial"/>
        </w:rPr>
      </w:pPr>
      <w:r w:rsidRPr="001F5E1D">
        <w:rPr>
          <w:rFonts w:ascii="Arial" w:hAnsi="Arial" w:cs="Arial"/>
        </w:rPr>
        <w:t xml:space="preserve">In order to determine the optimal maintenance strategy and </w:t>
      </w:r>
      <w:r w:rsidR="00372D19" w:rsidRPr="001F5E1D">
        <w:rPr>
          <w:rFonts w:ascii="Arial" w:hAnsi="Arial" w:cs="Arial"/>
        </w:rPr>
        <w:t>funding requirements,</w:t>
      </w:r>
      <w:r w:rsidRPr="001F5E1D">
        <w:rPr>
          <w:rFonts w:ascii="Arial" w:hAnsi="Arial" w:cs="Arial"/>
        </w:rPr>
        <w:t xml:space="preserve"> it is important to consider both cost and sustainability. </w:t>
      </w:r>
      <w:r w:rsidR="00C2630D" w:rsidRPr="001F5E1D">
        <w:rPr>
          <w:rFonts w:ascii="Arial" w:hAnsi="Arial" w:cs="Arial"/>
        </w:rPr>
        <w:t>Du, Pettersson and Karoumi</w:t>
      </w:r>
      <w:r w:rsidR="00063BD4" w:rsidRPr="001F5E1D">
        <w:rPr>
          <w:rFonts w:ascii="Arial" w:hAnsi="Arial" w:cs="Arial"/>
        </w:rPr>
        <w:t xml:space="preserve"> (2018)</w:t>
      </w:r>
      <w:r w:rsidR="00FC061A" w:rsidRPr="001F5E1D">
        <w:rPr>
          <w:rFonts w:ascii="Arial" w:hAnsi="Arial" w:cs="Arial"/>
        </w:rPr>
        <w:t xml:space="preserve"> </w:t>
      </w:r>
      <w:r w:rsidR="005C6406" w:rsidRPr="001F5E1D">
        <w:rPr>
          <w:rFonts w:ascii="Arial" w:hAnsi="Arial" w:cs="Arial"/>
        </w:rPr>
        <w:t>s</w:t>
      </w:r>
      <w:r w:rsidR="00FC061A" w:rsidRPr="001F5E1D">
        <w:rPr>
          <w:rFonts w:ascii="Arial" w:hAnsi="Arial" w:cs="Arial"/>
        </w:rPr>
        <w:t>tate:</w:t>
      </w:r>
    </w:p>
    <w:p w14:paraId="701D095E" w14:textId="77777777" w:rsidR="00553809" w:rsidRPr="00BB3D44" w:rsidRDefault="0084636B" w:rsidP="004A2DD4">
      <w:pPr>
        <w:spacing w:before="240" w:line="360" w:lineRule="auto"/>
        <w:ind w:left="720"/>
        <w:jc w:val="both"/>
        <w:rPr>
          <w:rFonts w:ascii="Arial" w:hAnsi="Arial" w:cs="Arial"/>
          <w:i/>
          <w:iCs/>
        </w:rPr>
      </w:pPr>
      <w:r w:rsidRPr="00BB3D44">
        <w:rPr>
          <w:rFonts w:ascii="Arial" w:hAnsi="Arial" w:cs="Arial"/>
          <w:i/>
          <w:iCs/>
        </w:rPr>
        <w:t>‘’</w:t>
      </w:r>
      <w:r w:rsidR="001D19E1" w:rsidRPr="00BB3D44">
        <w:rPr>
          <w:rFonts w:ascii="Arial" w:hAnsi="Arial" w:cs="Arial"/>
          <w:i/>
          <w:iCs/>
        </w:rPr>
        <w:t>Life Cycle Assessment (LCA) is a comprehensive, standardized and internationally recognized approach for quantifying all emissions, resource consumptions and the related environmental and health impacts linked to a service, asset or product</w:t>
      </w:r>
      <w:r w:rsidRPr="00BB3D44">
        <w:rPr>
          <w:rFonts w:ascii="Arial" w:hAnsi="Arial" w:cs="Arial"/>
          <w:i/>
          <w:iCs/>
        </w:rPr>
        <w:t>’’</w:t>
      </w:r>
    </w:p>
    <w:p w14:paraId="23A6A3CD" w14:textId="0BE552BC" w:rsidR="00E41AED" w:rsidRPr="001F5E1D" w:rsidRDefault="00BD1C46" w:rsidP="004A2DD4">
      <w:pPr>
        <w:spacing w:line="360" w:lineRule="auto"/>
        <w:jc w:val="both"/>
        <w:rPr>
          <w:rStyle w:val="Hyperlink"/>
          <w:rFonts w:ascii="Arial" w:hAnsi="Arial" w:cs="Arial"/>
          <w:color w:val="auto"/>
          <w:u w:val="none"/>
        </w:rPr>
      </w:pPr>
      <w:r w:rsidRPr="001F5E1D">
        <w:rPr>
          <w:rFonts w:ascii="Arial" w:hAnsi="Arial" w:cs="Arial"/>
        </w:rPr>
        <w:t>Although CO</w:t>
      </w:r>
      <w:r w:rsidRPr="00A85061">
        <w:rPr>
          <w:rFonts w:ascii="Arial" w:hAnsi="Arial" w:cs="Arial"/>
          <w:vertAlign w:val="subscript"/>
        </w:rPr>
        <w:t>2</w:t>
      </w:r>
      <w:r w:rsidRPr="001F5E1D">
        <w:rPr>
          <w:rFonts w:ascii="Arial" w:hAnsi="Arial" w:cs="Arial"/>
        </w:rPr>
        <w:t xml:space="preserve"> </w:t>
      </w:r>
      <w:r w:rsidR="00A13A34" w:rsidRPr="001F5E1D">
        <w:rPr>
          <w:rFonts w:ascii="Arial" w:hAnsi="Arial" w:cs="Arial"/>
        </w:rPr>
        <w:t>emissions</w:t>
      </w:r>
      <w:r w:rsidRPr="001F5E1D">
        <w:rPr>
          <w:rFonts w:ascii="Arial" w:hAnsi="Arial" w:cs="Arial"/>
        </w:rPr>
        <w:t xml:space="preserve"> are considered during </w:t>
      </w:r>
      <w:r w:rsidR="00A13A34" w:rsidRPr="001F5E1D">
        <w:rPr>
          <w:rFonts w:ascii="Arial" w:hAnsi="Arial" w:cs="Arial"/>
        </w:rPr>
        <w:t>design, r</w:t>
      </w:r>
      <w:r w:rsidR="00E827BA" w:rsidRPr="001F5E1D">
        <w:rPr>
          <w:rFonts w:ascii="Arial" w:hAnsi="Arial" w:cs="Arial"/>
        </w:rPr>
        <w:t>esearch undertake</w:t>
      </w:r>
      <w:r w:rsidR="00024AE7" w:rsidRPr="001F5E1D">
        <w:rPr>
          <w:rFonts w:ascii="Arial" w:hAnsi="Arial" w:cs="Arial"/>
        </w:rPr>
        <w:t>n</w:t>
      </w:r>
      <w:r w:rsidR="00E827BA" w:rsidRPr="001F5E1D">
        <w:rPr>
          <w:rFonts w:ascii="Arial" w:hAnsi="Arial" w:cs="Arial"/>
        </w:rPr>
        <w:t xml:space="preserve"> by </w:t>
      </w:r>
      <w:r w:rsidR="00AD11DE" w:rsidRPr="001F5E1D">
        <w:rPr>
          <w:rFonts w:ascii="Arial" w:hAnsi="Arial" w:cs="Arial"/>
        </w:rPr>
        <w:t>Balogun et al</w:t>
      </w:r>
      <w:r w:rsidR="00FA3C81">
        <w:rPr>
          <w:rFonts w:ascii="Arial" w:hAnsi="Arial" w:cs="Arial"/>
        </w:rPr>
        <w:t>.</w:t>
      </w:r>
      <w:r w:rsidR="00AD11DE" w:rsidRPr="001F5E1D">
        <w:rPr>
          <w:rFonts w:ascii="Arial" w:hAnsi="Arial" w:cs="Arial"/>
        </w:rPr>
        <w:t xml:space="preserve"> (2020) </w:t>
      </w:r>
      <w:r w:rsidR="00AE3D94" w:rsidRPr="001F5E1D">
        <w:rPr>
          <w:rFonts w:ascii="Arial" w:hAnsi="Arial" w:cs="Arial"/>
        </w:rPr>
        <w:t xml:space="preserve">found that </w:t>
      </w:r>
      <w:r w:rsidR="00E41AED" w:rsidRPr="001F5E1D">
        <w:rPr>
          <w:rFonts w:ascii="Arial" w:hAnsi="Arial" w:cs="Arial"/>
          <w:shd w:val="clear" w:color="auto" w:fill="FFFFFF"/>
        </w:rPr>
        <w:t xml:space="preserve">maintenance decisions generally do not </w:t>
      </w:r>
      <w:r w:rsidR="00A00830" w:rsidRPr="001F5E1D">
        <w:rPr>
          <w:rFonts w:ascii="Arial" w:hAnsi="Arial" w:cs="Arial"/>
          <w:shd w:val="clear" w:color="auto" w:fill="FFFFFF"/>
        </w:rPr>
        <w:t>consider</w:t>
      </w:r>
      <w:r w:rsidR="00E41AED" w:rsidRPr="001F5E1D">
        <w:rPr>
          <w:rFonts w:ascii="Arial" w:hAnsi="Arial" w:cs="Arial"/>
          <w:shd w:val="clear" w:color="auto" w:fill="FFFFFF"/>
        </w:rPr>
        <w:t xml:space="preserve"> CO</w:t>
      </w:r>
      <w:r w:rsidR="00E41AED" w:rsidRPr="00FA3C81">
        <w:rPr>
          <w:rFonts w:ascii="Arial" w:hAnsi="Arial" w:cs="Arial"/>
          <w:shd w:val="clear" w:color="auto" w:fill="FFFFFF"/>
          <w:vertAlign w:val="subscript"/>
        </w:rPr>
        <w:t>2</w:t>
      </w:r>
      <w:r w:rsidR="00E41AED" w:rsidRPr="001F5E1D">
        <w:rPr>
          <w:rFonts w:ascii="Arial" w:hAnsi="Arial" w:cs="Arial"/>
          <w:shd w:val="clear" w:color="auto" w:fill="FFFFFF"/>
        </w:rPr>
        <w:t xml:space="preserve"> emissions. </w:t>
      </w:r>
      <w:r w:rsidR="00E41AED" w:rsidRPr="001F5E1D">
        <w:rPr>
          <w:rFonts w:ascii="Arial" w:hAnsi="Arial" w:cs="Arial"/>
        </w:rPr>
        <w:t xml:space="preserve">Climate change is one the greatest challenges facing the civil engineering industry. Atmospheric </w:t>
      </w:r>
      <w:r w:rsidR="00017558" w:rsidRPr="001F5E1D">
        <w:rPr>
          <w:rFonts w:ascii="Arial" w:hAnsi="Arial" w:cs="Arial"/>
        </w:rPr>
        <w:t>c</w:t>
      </w:r>
      <w:r w:rsidR="00E41AED" w:rsidRPr="001F5E1D">
        <w:rPr>
          <w:rFonts w:ascii="Arial" w:hAnsi="Arial" w:cs="Arial"/>
        </w:rPr>
        <w:t xml:space="preserve">arbon dioxide levels are </w:t>
      </w:r>
      <w:r w:rsidR="00907A01">
        <w:rPr>
          <w:rFonts w:ascii="Arial" w:hAnsi="Arial" w:cs="Arial"/>
        </w:rPr>
        <w:t xml:space="preserve">currently </w:t>
      </w:r>
      <w:r w:rsidR="00E41AED" w:rsidRPr="001F5E1D">
        <w:rPr>
          <w:rFonts w:ascii="Arial" w:hAnsi="Arial" w:cs="Arial"/>
        </w:rPr>
        <w:t>at the highest levels in the last 3 million years. The construction industry was responsible for 12.7  million metric tons of CO</w:t>
      </w:r>
      <w:r w:rsidR="00E41AED" w:rsidRPr="00FA3C81">
        <w:rPr>
          <w:rFonts w:ascii="Arial" w:hAnsi="Arial" w:cs="Arial"/>
          <w:vertAlign w:val="subscript"/>
        </w:rPr>
        <w:t>2</w:t>
      </w:r>
      <w:r w:rsidR="00E41AED" w:rsidRPr="001F5E1D">
        <w:rPr>
          <w:rFonts w:ascii="Arial" w:hAnsi="Arial" w:cs="Arial"/>
        </w:rPr>
        <w:t xml:space="preserve"> emissions in 2018, which equated to approximately 3% of the UK’s total CO</w:t>
      </w:r>
      <w:r w:rsidR="00E41AED" w:rsidRPr="00FA3C81">
        <w:rPr>
          <w:rFonts w:ascii="Arial" w:hAnsi="Arial" w:cs="Arial"/>
          <w:vertAlign w:val="subscript"/>
        </w:rPr>
        <w:t>2</w:t>
      </w:r>
      <w:r w:rsidR="00E41AED" w:rsidRPr="001F5E1D">
        <w:rPr>
          <w:rFonts w:ascii="Arial" w:hAnsi="Arial" w:cs="Arial"/>
        </w:rPr>
        <w:t xml:space="preserve"> emissions. </w:t>
      </w:r>
      <w:r w:rsidR="005E1412" w:rsidRPr="001F5E1D">
        <w:rPr>
          <w:rStyle w:val="Hyperlink"/>
          <w:rFonts w:ascii="Arial" w:hAnsi="Arial" w:cs="Arial"/>
          <w:color w:val="auto"/>
          <w:u w:val="none"/>
        </w:rPr>
        <w:t>(</w:t>
      </w:r>
      <w:r w:rsidR="005E1412" w:rsidRPr="001F5E1D">
        <w:rPr>
          <w:rFonts w:ascii="Arial" w:hAnsi="Arial" w:cs="Arial"/>
        </w:rPr>
        <w:t>Tiseo, 2020)</w:t>
      </w:r>
    </w:p>
    <w:p w14:paraId="4AE6B229" w14:textId="39C1B402" w:rsidR="00E41AED" w:rsidRPr="001F5E1D" w:rsidRDefault="00E41AED" w:rsidP="004A2DD4">
      <w:pPr>
        <w:shd w:val="clear" w:color="auto" w:fill="FFFFFF"/>
        <w:spacing w:line="360" w:lineRule="auto"/>
        <w:jc w:val="both"/>
        <w:textAlignment w:val="baseline"/>
        <w:rPr>
          <w:rFonts w:ascii="Arial" w:hAnsi="Arial" w:cs="Arial"/>
        </w:rPr>
      </w:pPr>
      <w:r w:rsidRPr="001F5E1D">
        <w:rPr>
          <w:rStyle w:val="Hyperlink"/>
          <w:rFonts w:ascii="Arial" w:hAnsi="Arial" w:cs="Arial"/>
          <w:color w:val="auto"/>
          <w:u w:val="none"/>
        </w:rPr>
        <w:t xml:space="preserve">The </w:t>
      </w:r>
      <w:r w:rsidR="00A05510">
        <w:rPr>
          <w:rStyle w:val="Hyperlink"/>
          <w:rFonts w:ascii="Arial" w:hAnsi="Arial" w:cs="Arial"/>
          <w:color w:val="auto"/>
          <w:u w:val="none"/>
        </w:rPr>
        <w:t>D</w:t>
      </w:r>
      <w:r w:rsidR="001C66C1">
        <w:rPr>
          <w:rStyle w:val="Hyperlink"/>
          <w:rFonts w:ascii="Arial" w:hAnsi="Arial" w:cs="Arial"/>
          <w:color w:val="auto"/>
          <w:u w:val="none"/>
        </w:rPr>
        <w:t>epartment for Transport (</w:t>
      </w:r>
      <w:r w:rsidR="00931017">
        <w:rPr>
          <w:rStyle w:val="Hyperlink"/>
          <w:rFonts w:ascii="Arial" w:hAnsi="Arial" w:cs="Arial"/>
          <w:color w:val="auto"/>
          <w:u w:val="none"/>
        </w:rPr>
        <w:t>‘</w:t>
      </w:r>
      <w:r w:rsidR="001C66C1">
        <w:rPr>
          <w:rStyle w:val="Hyperlink"/>
          <w:rFonts w:ascii="Arial" w:hAnsi="Arial" w:cs="Arial"/>
          <w:color w:val="auto"/>
          <w:u w:val="none"/>
        </w:rPr>
        <w:t>DfT</w:t>
      </w:r>
      <w:r w:rsidR="00931017">
        <w:rPr>
          <w:rStyle w:val="Hyperlink"/>
          <w:rFonts w:ascii="Arial" w:hAnsi="Arial" w:cs="Arial"/>
          <w:color w:val="auto"/>
          <w:u w:val="none"/>
        </w:rPr>
        <w:t>’</w:t>
      </w:r>
      <w:r w:rsidR="001C66C1">
        <w:rPr>
          <w:rStyle w:val="Hyperlink"/>
          <w:rFonts w:ascii="Arial" w:hAnsi="Arial" w:cs="Arial"/>
          <w:color w:val="auto"/>
          <w:u w:val="none"/>
        </w:rPr>
        <w:t>) and local</w:t>
      </w:r>
      <w:r w:rsidR="004E3424">
        <w:rPr>
          <w:rStyle w:val="Hyperlink"/>
          <w:rFonts w:ascii="Arial" w:hAnsi="Arial" w:cs="Arial"/>
          <w:color w:val="auto"/>
          <w:u w:val="none"/>
        </w:rPr>
        <w:t xml:space="preserve"> Government n</w:t>
      </w:r>
      <w:r w:rsidRPr="001F5E1D">
        <w:rPr>
          <w:rStyle w:val="Hyperlink"/>
          <w:rFonts w:ascii="Arial" w:hAnsi="Arial" w:cs="Arial"/>
          <w:color w:val="auto"/>
          <w:u w:val="none"/>
        </w:rPr>
        <w:t>eed to provide adequate levels of funding to minimise whole life costs and reduce carbon emissions. Failure to consider carbon emissions during maintenance planning could undermine the UK’s target to reduce CO</w:t>
      </w:r>
      <w:r w:rsidRPr="00FA3C81">
        <w:rPr>
          <w:rStyle w:val="Hyperlink"/>
          <w:rFonts w:ascii="Arial" w:hAnsi="Arial" w:cs="Arial"/>
          <w:color w:val="auto"/>
          <w:u w:val="none"/>
          <w:vertAlign w:val="subscript"/>
        </w:rPr>
        <w:t>2</w:t>
      </w:r>
      <w:r w:rsidRPr="001F5E1D">
        <w:rPr>
          <w:rStyle w:val="Hyperlink"/>
          <w:rFonts w:ascii="Arial" w:hAnsi="Arial" w:cs="Arial"/>
          <w:color w:val="auto"/>
          <w:u w:val="none"/>
        </w:rPr>
        <w:t xml:space="preserve"> emissions by 2050</w:t>
      </w:r>
      <w:r w:rsidR="009C43CC" w:rsidRPr="001F5E1D">
        <w:rPr>
          <w:rStyle w:val="Hyperlink"/>
          <w:rFonts w:ascii="Arial" w:hAnsi="Arial" w:cs="Arial"/>
          <w:color w:val="auto"/>
          <w:u w:val="none"/>
        </w:rPr>
        <w:t xml:space="preserve"> </w:t>
      </w:r>
      <w:r w:rsidR="009C43CC" w:rsidRPr="001F5E1D">
        <w:rPr>
          <w:rFonts w:ascii="Arial" w:hAnsi="Arial" w:cs="Arial"/>
          <w:shd w:val="clear" w:color="auto" w:fill="FFFFFF"/>
        </w:rPr>
        <w:t>(Baloggun et al., 2020)</w:t>
      </w:r>
      <w:r w:rsidRPr="001F5E1D">
        <w:rPr>
          <w:rStyle w:val="Hyperlink"/>
          <w:rFonts w:ascii="Arial" w:hAnsi="Arial" w:cs="Arial"/>
          <w:color w:val="auto"/>
          <w:u w:val="none"/>
        </w:rPr>
        <w:t>. To support the industry</w:t>
      </w:r>
      <w:r w:rsidR="003F4857" w:rsidRPr="001F5E1D">
        <w:rPr>
          <w:rStyle w:val="Hyperlink"/>
          <w:rFonts w:ascii="Arial" w:hAnsi="Arial" w:cs="Arial"/>
          <w:color w:val="auto"/>
          <w:u w:val="none"/>
        </w:rPr>
        <w:t xml:space="preserve"> and</w:t>
      </w:r>
      <w:r w:rsidRPr="001F5E1D">
        <w:rPr>
          <w:rStyle w:val="Hyperlink"/>
          <w:rFonts w:ascii="Arial" w:hAnsi="Arial" w:cs="Arial"/>
          <w:color w:val="auto"/>
          <w:u w:val="none"/>
        </w:rPr>
        <w:t xml:space="preserve"> adopt a more sustainable approach, good practice guides must be developed</w:t>
      </w:r>
      <w:r w:rsidR="00F35E2D">
        <w:rPr>
          <w:rStyle w:val="Hyperlink"/>
          <w:rFonts w:ascii="Arial" w:hAnsi="Arial" w:cs="Arial"/>
          <w:color w:val="auto"/>
          <w:u w:val="none"/>
        </w:rPr>
        <w:t>,</w:t>
      </w:r>
      <w:r w:rsidRPr="001F5E1D">
        <w:rPr>
          <w:rStyle w:val="Hyperlink"/>
          <w:rFonts w:ascii="Arial" w:hAnsi="Arial" w:cs="Arial"/>
          <w:color w:val="auto"/>
          <w:u w:val="none"/>
        </w:rPr>
        <w:t xml:space="preserve"> as there is little guidance in the current literature</w:t>
      </w:r>
      <w:r w:rsidR="006158F2">
        <w:rPr>
          <w:rStyle w:val="Hyperlink"/>
          <w:rFonts w:ascii="Arial" w:hAnsi="Arial" w:cs="Arial"/>
          <w:color w:val="auto"/>
          <w:u w:val="none"/>
        </w:rPr>
        <w:t xml:space="preserve"> </w:t>
      </w:r>
      <w:r w:rsidR="006158F2" w:rsidRPr="001F5E1D">
        <w:rPr>
          <w:rFonts w:ascii="Arial" w:hAnsi="Arial" w:cs="Arial"/>
        </w:rPr>
        <w:t>(Zhang, 2010)</w:t>
      </w:r>
      <w:r w:rsidRPr="001F5E1D">
        <w:rPr>
          <w:rStyle w:val="Hyperlink"/>
          <w:rFonts w:ascii="Arial" w:hAnsi="Arial" w:cs="Arial"/>
          <w:color w:val="auto"/>
          <w:u w:val="none"/>
        </w:rPr>
        <w:t>.</w:t>
      </w:r>
      <w:r w:rsidRPr="001F5E1D">
        <w:rPr>
          <w:rFonts w:ascii="Arial" w:hAnsi="Arial" w:cs="Arial"/>
        </w:rPr>
        <w:t xml:space="preserve"> </w:t>
      </w:r>
    </w:p>
    <w:p w14:paraId="39CC3228" w14:textId="5B1725D6" w:rsidR="00770974" w:rsidRPr="00EB148F" w:rsidRDefault="00F01497" w:rsidP="00FB130B">
      <w:pPr>
        <w:pStyle w:val="Heading2"/>
        <w:spacing w:after="240"/>
        <w:rPr>
          <w:rFonts w:ascii="Arial" w:eastAsia="Times New Roman" w:hAnsi="Arial" w:cs="Arial"/>
          <w:b/>
          <w:bCs/>
          <w:color w:val="auto"/>
          <w:sz w:val="24"/>
          <w:szCs w:val="24"/>
          <w:lang w:eastAsia="en-GB"/>
        </w:rPr>
      </w:pPr>
      <w:bookmarkStart w:id="38" w:name="_Toc66868893"/>
      <w:r w:rsidRPr="00EB148F">
        <w:rPr>
          <w:rFonts w:ascii="Arial" w:eastAsia="Times New Roman" w:hAnsi="Arial" w:cs="Arial"/>
          <w:b/>
          <w:bCs/>
          <w:color w:val="auto"/>
          <w:sz w:val="24"/>
          <w:szCs w:val="24"/>
          <w:lang w:eastAsia="en-GB"/>
        </w:rPr>
        <w:t>Life Cycle Analysis</w:t>
      </w:r>
      <w:bookmarkEnd w:id="38"/>
    </w:p>
    <w:p w14:paraId="695E112B" w14:textId="069A1B56" w:rsidR="000D598C" w:rsidRDefault="00505900" w:rsidP="004A2DD4">
      <w:pPr>
        <w:spacing w:line="360" w:lineRule="auto"/>
        <w:jc w:val="both"/>
        <w:rPr>
          <w:rFonts w:ascii="Arial" w:hAnsi="Arial" w:cs="Arial"/>
        </w:rPr>
      </w:pPr>
      <w:r w:rsidRPr="001F5E1D">
        <w:rPr>
          <w:rFonts w:ascii="Arial" w:hAnsi="Arial" w:cs="Arial"/>
        </w:rPr>
        <w:t>A study</w:t>
      </w:r>
      <w:r w:rsidR="00267ADB" w:rsidRPr="001F5E1D">
        <w:rPr>
          <w:rFonts w:ascii="Arial" w:hAnsi="Arial" w:cs="Arial"/>
        </w:rPr>
        <w:t xml:space="preserve"> undertaken by </w:t>
      </w:r>
      <w:r w:rsidR="000D598C" w:rsidRPr="001F5E1D">
        <w:rPr>
          <w:rFonts w:ascii="Arial" w:hAnsi="Arial" w:cs="Arial"/>
        </w:rPr>
        <w:t>Itoh &amp; Kitagawa (2003)</w:t>
      </w:r>
      <w:r w:rsidR="009F2E4E" w:rsidRPr="001F5E1D">
        <w:rPr>
          <w:rFonts w:ascii="Arial" w:hAnsi="Arial" w:cs="Arial"/>
        </w:rPr>
        <w:t xml:space="preserve"> </w:t>
      </w:r>
      <w:r w:rsidR="00267ADB" w:rsidRPr="001F5E1D">
        <w:rPr>
          <w:rFonts w:ascii="Arial" w:hAnsi="Arial" w:cs="Arial"/>
        </w:rPr>
        <w:t>aimed</w:t>
      </w:r>
      <w:r w:rsidR="009045DF">
        <w:rPr>
          <w:rFonts w:ascii="Arial" w:hAnsi="Arial" w:cs="Arial"/>
        </w:rPr>
        <w:t xml:space="preserve"> to </w:t>
      </w:r>
      <w:r w:rsidR="009F2E4E" w:rsidRPr="001F5E1D">
        <w:rPr>
          <w:rFonts w:ascii="Arial" w:hAnsi="Arial" w:cs="Arial"/>
        </w:rPr>
        <w:t>develop a life cycle anal</w:t>
      </w:r>
      <w:r w:rsidR="004161E0" w:rsidRPr="001F5E1D">
        <w:rPr>
          <w:rFonts w:ascii="Arial" w:hAnsi="Arial" w:cs="Arial"/>
        </w:rPr>
        <w:t xml:space="preserve">ysis </w:t>
      </w:r>
      <w:r w:rsidR="00506065">
        <w:rPr>
          <w:rFonts w:ascii="Arial" w:hAnsi="Arial" w:cs="Arial"/>
        </w:rPr>
        <w:t xml:space="preserve">(‘LCA’) </w:t>
      </w:r>
      <w:r w:rsidR="004161E0" w:rsidRPr="001F5E1D">
        <w:rPr>
          <w:rFonts w:ascii="Arial" w:hAnsi="Arial" w:cs="Arial"/>
        </w:rPr>
        <w:t xml:space="preserve">methodology to assess </w:t>
      </w:r>
      <w:r w:rsidR="002155D4" w:rsidRPr="001F5E1D">
        <w:rPr>
          <w:rFonts w:ascii="Arial" w:hAnsi="Arial" w:cs="Arial"/>
        </w:rPr>
        <w:t xml:space="preserve">the environmental impact of </w:t>
      </w:r>
      <w:r w:rsidR="000D598C" w:rsidRPr="001F5E1D">
        <w:rPr>
          <w:rFonts w:ascii="Arial" w:hAnsi="Arial" w:cs="Arial"/>
        </w:rPr>
        <w:t xml:space="preserve"> bridge</w:t>
      </w:r>
      <w:r w:rsidR="00267ADB" w:rsidRPr="001F5E1D">
        <w:rPr>
          <w:rFonts w:ascii="Arial" w:hAnsi="Arial" w:cs="Arial"/>
        </w:rPr>
        <w:t>s</w:t>
      </w:r>
      <w:r w:rsidRPr="001F5E1D">
        <w:rPr>
          <w:rFonts w:ascii="Arial" w:hAnsi="Arial" w:cs="Arial"/>
        </w:rPr>
        <w:t>,</w:t>
      </w:r>
      <w:r w:rsidR="001B024D" w:rsidRPr="001F5E1D">
        <w:rPr>
          <w:rFonts w:ascii="Arial" w:hAnsi="Arial" w:cs="Arial"/>
        </w:rPr>
        <w:t xml:space="preserve"> </w:t>
      </w:r>
      <w:r w:rsidR="00267ADB" w:rsidRPr="001F5E1D">
        <w:rPr>
          <w:rFonts w:ascii="Arial" w:hAnsi="Arial" w:cs="Arial"/>
        </w:rPr>
        <w:t>considering energy consumption and CO</w:t>
      </w:r>
      <w:r w:rsidR="00267ADB" w:rsidRPr="00FA3C81">
        <w:rPr>
          <w:rFonts w:ascii="Arial" w:hAnsi="Arial" w:cs="Arial"/>
          <w:vertAlign w:val="subscript"/>
        </w:rPr>
        <w:t>2</w:t>
      </w:r>
      <w:r w:rsidR="00267ADB" w:rsidRPr="001F5E1D">
        <w:rPr>
          <w:rFonts w:ascii="Arial" w:hAnsi="Arial" w:cs="Arial"/>
        </w:rPr>
        <w:t xml:space="preserve"> emissions.</w:t>
      </w:r>
      <w:r w:rsidR="000D598C" w:rsidRPr="001F5E1D">
        <w:rPr>
          <w:rFonts w:ascii="Arial" w:hAnsi="Arial" w:cs="Arial"/>
        </w:rPr>
        <w:t xml:space="preserve"> The environmental impac</w:t>
      </w:r>
      <w:r w:rsidR="006A0600">
        <w:rPr>
          <w:rFonts w:ascii="Arial" w:hAnsi="Arial" w:cs="Arial"/>
        </w:rPr>
        <w:t>t</w:t>
      </w:r>
      <w:r w:rsidR="000D598C" w:rsidRPr="001F5E1D">
        <w:rPr>
          <w:rFonts w:ascii="Arial" w:hAnsi="Arial" w:cs="Arial"/>
        </w:rPr>
        <w:t xml:space="preserve"> during maintenance was determined using the formula</w:t>
      </w:r>
      <w:r w:rsidR="005B1028">
        <w:rPr>
          <w:rFonts w:ascii="Arial" w:hAnsi="Arial" w:cs="Arial"/>
        </w:rPr>
        <w:t xml:space="preserve"> </w:t>
      </w:r>
      <w:r w:rsidR="00BB3E46">
        <w:rPr>
          <w:rFonts w:ascii="Arial" w:hAnsi="Arial" w:cs="Arial"/>
        </w:rPr>
        <w:t xml:space="preserve">in </w:t>
      </w:r>
      <w:r w:rsidR="00BD78E8">
        <w:rPr>
          <w:rFonts w:ascii="Arial" w:hAnsi="Arial" w:cs="Arial"/>
        </w:rPr>
        <w:t>E</w:t>
      </w:r>
      <w:r w:rsidR="00BB3E46">
        <w:rPr>
          <w:rFonts w:ascii="Arial" w:hAnsi="Arial" w:cs="Arial"/>
        </w:rPr>
        <w:t>quation 7</w:t>
      </w:r>
      <w:r w:rsidR="001614B4">
        <w:rPr>
          <w:rFonts w:ascii="Arial" w:hAnsi="Arial" w:cs="Arial"/>
        </w:rPr>
        <w:t xml:space="preserve"> </w:t>
      </w:r>
      <w:r w:rsidR="005B1028" w:rsidRPr="001F5E1D">
        <w:rPr>
          <w:rFonts w:ascii="Arial" w:hAnsi="Arial" w:cs="Arial"/>
        </w:rPr>
        <w:t>(Itoh &amp; Kitagawa, 2003)</w:t>
      </w:r>
      <w:r w:rsidR="00BB3E46">
        <w:rPr>
          <w:rFonts w:ascii="Arial" w:hAnsi="Arial" w:cs="Arial"/>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655"/>
        <w:gridCol w:w="799"/>
      </w:tblGrid>
      <w:tr w:rsidR="00B855F4" w14:paraId="3E2600C5" w14:textId="77777777" w:rsidTr="00C02C8F">
        <w:tc>
          <w:tcPr>
            <w:tcW w:w="562" w:type="dxa"/>
            <w:vAlign w:val="center"/>
          </w:tcPr>
          <w:p w14:paraId="10DCC791" w14:textId="77777777" w:rsidR="00B31EC7" w:rsidRDefault="00B31EC7" w:rsidP="00C02C8F">
            <w:pPr>
              <w:spacing w:line="360" w:lineRule="auto"/>
              <w:jc w:val="center"/>
              <w:rPr>
                <w:rFonts w:ascii="Arial" w:hAnsi="Arial" w:cs="Arial"/>
              </w:rPr>
            </w:pPr>
          </w:p>
        </w:tc>
        <w:tc>
          <w:tcPr>
            <w:tcW w:w="7655" w:type="dxa"/>
            <w:vAlign w:val="center"/>
          </w:tcPr>
          <w:p w14:paraId="4C49D32C" w14:textId="3F357336" w:rsidR="00B31EC7" w:rsidRPr="001F5E1D" w:rsidRDefault="00000000" w:rsidP="00B31EC7">
            <w:pPr>
              <w:rPr>
                <w:rFonts w:ascii="Arial" w:eastAsiaTheme="minorEastAsia" w:hAnsi="Arial" w:cs="Arial"/>
              </w:rPr>
            </w:pPr>
            <m:oMathPara>
              <m:oMath>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m</m:t>
                    </m:r>
                  </m:sub>
                </m:sSub>
                <m:r>
                  <w:rPr>
                    <w:rFonts w:ascii="Cambria Math" w:eastAsiaTheme="minorEastAsia" w:hAnsi="Cambria Math" w:cs="Arial"/>
                  </w:rPr>
                  <m:t>=</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5</m:t>
                    </m:r>
                  </m:sup>
                  <m:e>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iMm</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iMw</m:t>
                            </m:r>
                          </m:sub>
                        </m:sSub>
                      </m:e>
                    </m:d>
                  </m:e>
                </m:nary>
                <m:f>
                  <m:fPr>
                    <m:ctrlPr>
                      <w:rPr>
                        <w:rFonts w:ascii="Cambria Math" w:eastAsiaTheme="minorEastAsia" w:hAnsi="Cambria Math" w:cs="Arial"/>
                        <w:i/>
                      </w:rPr>
                    </m:ctrlPr>
                  </m:fPr>
                  <m:num>
                    <m:r>
                      <w:rPr>
                        <w:rFonts w:ascii="Cambria Math" w:eastAsiaTheme="minorEastAsia" w:hAnsi="Cambria Math" w:cs="Arial"/>
                      </w:rPr>
                      <m:t>L</m:t>
                    </m:r>
                  </m:num>
                  <m:den>
                    <m:sSub>
                      <m:sSubPr>
                        <m:ctrlPr>
                          <w:rPr>
                            <w:rFonts w:ascii="Cambria Math" w:eastAsiaTheme="minorEastAsia" w:hAnsi="Cambria Math" w:cs="Arial"/>
                            <w:i/>
                          </w:rPr>
                        </m:ctrlPr>
                      </m:sSubPr>
                      <m:e>
                        <m:r>
                          <w:rPr>
                            <w:rFonts w:ascii="Cambria Math" w:eastAsiaTheme="minorEastAsia" w:hAnsi="Cambria Math" w:cs="Arial"/>
                          </w:rPr>
                          <m:t>L</m:t>
                        </m:r>
                      </m:e>
                      <m:sub>
                        <m:r>
                          <w:rPr>
                            <w:rFonts w:ascii="Cambria Math" w:eastAsiaTheme="minorEastAsia" w:hAnsi="Cambria Math" w:cs="Arial"/>
                          </w:rPr>
                          <m:t>icc</m:t>
                        </m:r>
                      </m:sub>
                    </m:sSub>
                  </m:den>
                </m:f>
              </m:oMath>
            </m:oMathPara>
          </w:p>
          <w:p w14:paraId="00E0C49F" w14:textId="1DAE350A" w:rsidR="00B31EC7" w:rsidRDefault="00B31EC7" w:rsidP="00C02C8F">
            <w:pPr>
              <w:spacing w:line="360" w:lineRule="auto"/>
              <w:jc w:val="center"/>
              <w:rPr>
                <w:rFonts w:ascii="Arial" w:hAnsi="Arial" w:cs="Arial"/>
              </w:rPr>
            </w:pPr>
          </w:p>
        </w:tc>
        <w:tc>
          <w:tcPr>
            <w:tcW w:w="799" w:type="dxa"/>
            <w:vAlign w:val="center"/>
          </w:tcPr>
          <w:p w14:paraId="49E3AB0D" w14:textId="0878F118" w:rsidR="00B31EC7" w:rsidRDefault="00B31EC7" w:rsidP="00C02C8F">
            <w:pPr>
              <w:spacing w:line="360" w:lineRule="auto"/>
              <w:jc w:val="center"/>
              <w:rPr>
                <w:rFonts w:ascii="Arial" w:hAnsi="Arial" w:cs="Arial"/>
              </w:rPr>
            </w:pPr>
            <w:r>
              <w:rPr>
                <w:rFonts w:ascii="Arial" w:hAnsi="Arial" w:cs="Arial"/>
              </w:rPr>
              <w:t>(</w:t>
            </w:r>
            <w:r>
              <w:rPr>
                <w:rFonts w:ascii="Arial" w:hAnsi="Arial" w:cs="Arial"/>
              </w:rPr>
              <w:fldChar w:fldCharType="begin"/>
            </w:r>
            <w:r>
              <w:rPr>
                <w:rFonts w:ascii="Arial" w:hAnsi="Arial" w:cs="Arial"/>
              </w:rPr>
              <w:instrText xml:space="preserve"> Eq </w:instrText>
            </w:r>
            <w:r>
              <w:rPr>
                <w:rFonts w:ascii="Arial" w:hAnsi="Arial" w:cs="Arial"/>
              </w:rPr>
              <w:fldChar w:fldCharType="end"/>
            </w:r>
            <w:r>
              <w:rPr>
                <w:rFonts w:ascii="Arial" w:hAnsi="Arial" w:cs="Arial"/>
              </w:rPr>
              <w:fldChar w:fldCharType="begin"/>
            </w:r>
            <w:r>
              <w:rPr>
                <w:rFonts w:ascii="Arial" w:hAnsi="Arial" w:cs="Arial"/>
              </w:rPr>
              <w:instrText xml:space="preserve"> SEQ  Eq \* MERGEFORMAT </w:instrText>
            </w:r>
            <w:r>
              <w:rPr>
                <w:rFonts w:ascii="Arial" w:hAnsi="Arial" w:cs="Arial"/>
              </w:rPr>
              <w:fldChar w:fldCharType="separate"/>
            </w:r>
            <w:r>
              <w:rPr>
                <w:rFonts w:ascii="Arial" w:hAnsi="Arial" w:cs="Arial"/>
                <w:noProof/>
              </w:rPr>
              <w:t>7</w:t>
            </w:r>
            <w:r>
              <w:rPr>
                <w:rFonts w:ascii="Arial" w:hAnsi="Arial" w:cs="Arial"/>
              </w:rPr>
              <w:fldChar w:fldCharType="end"/>
            </w:r>
            <w:r>
              <w:rPr>
                <w:rFonts w:ascii="Arial" w:hAnsi="Arial" w:cs="Arial"/>
              </w:rPr>
              <w:t>)</w:t>
            </w:r>
          </w:p>
        </w:tc>
      </w:tr>
    </w:tbl>
    <w:p w14:paraId="7C8F02F7" w14:textId="7FF8F35F" w:rsidR="000D598C" w:rsidRPr="001F5E1D" w:rsidRDefault="000D598C" w:rsidP="000D598C">
      <w:pPr>
        <w:rPr>
          <w:rFonts w:ascii="Arial" w:eastAsiaTheme="minorEastAsia" w:hAnsi="Arial" w:cs="Arial"/>
        </w:rPr>
      </w:pPr>
      <w:r w:rsidRPr="001F5E1D">
        <w:rPr>
          <w:rFonts w:ascii="Arial" w:eastAsiaTheme="minorEastAsia" w:hAnsi="Arial" w:cs="Arial"/>
        </w:rPr>
        <w:t>Where</w:t>
      </w:r>
      <w:r w:rsidR="00931017">
        <w:rPr>
          <w:rFonts w:ascii="Arial" w:eastAsiaTheme="minorEastAsia" w:hAnsi="Arial" w:cs="Arial"/>
        </w:rPr>
        <w:t>;</w:t>
      </w:r>
    </w:p>
    <w:p w14:paraId="1571AC07" w14:textId="77777777" w:rsidR="000D598C" w:rsidRPr="001F5E1D" w:rsidRDefault="00000000" w:rsidP="000D598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m</m:t>
            </m:r>
          </m:sub>
        </m:sSub>
      </m:oMath>
      <w:r w:rsidR="000D598C" w:rsidRPr="001F5E1D">
        <w:rPr>
          <w:rFonts w:ascii="Arial" w:eastAsiaTheme="minorEastAsia" w:hAnsi="Arial" w:cs="Arial"/>
        </w:rPr>
        <w:t>= Environmental impact from maintenance activities</w:t>
      </w:r>
    </w:p>
    <w:p w14:paraId="44E14A68" w14:textId="77777777" w:rsidR="000D598C" w:rsidRPr="001F5E1D" w:rsidRDefault="00000000" w:rsidP="000D598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iMm</m:t>
            </m:r>
          </m:sub>
        </m:sSub>
      </m:oMath>
      <w:r w:rsidR="000D598C" w:rsidRPr="001F5E1D">
        <w:rPr>
          <w:rFonts w:ascii="Arial" w:eastAsiaTheme="minorEastAsia" w:hAnsi="Arial" w:cs="Arial"/>
        </w:rPr>
        <w:t xml:space="preserve">= Environmental impact during maintenance from material and components for bridge component </w:t>
      </w:r>
      <m:oMath>
        <m:r>
          <w:rPr>
            <w:rFonts w:ascii="Cambria Math" w:eastAsiaTheme="minorEastAsia" w:hAnsi="Cambria Math" w:cs="Arial"/>
          </w:rPr>
          <m:t>i</m:t>
        </m:r>
      </m:oMath>
    </w:p>
    <w:p w14:paraId="11F044A9" w14:textId="77777777" w:rsidR="000D598C" w:rsidRPr="001F5E1D" w:rsidRDefault="00000000" w:rsidP="000D598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iMw</m:t>
            </m:r>
          </m:sub>
        </m:sSub>
      </m:oMath>
      <w:r w:rsidR="000D598C" w:rsidRPr="001F5E1D">
        <w:rPr>
          <w:rFonts w:ascii="Arial" w:eastAsiaTheme="minorEastAsia" w:hAnsi="Arial" w:cs="Arial"/>
        </w:rPr>
        <w:t xml:space="preserve">= Environmental impact during maintenance from construction machinery for bridge component </w:t>
      </w:r>
      <m:oMath>
        <m:r>
          <w:rPr>
            <w:rFonts w:ascii="Cambria Math" w:eastAsiaTheme="minorEastAsia" w:hAnsi="Cambria Math" w:cs="Arial"/>
          </w:rPr>
          <m:t>i</m:t>
        </m:r>
      </m:oMath>
    </w:p>
    <w:p w14:paraId="4986C8CF" w14:textId="77777777" w:rsidR="000D598C" w:rsidRPr="001F5E1D" w:rsidRDefault="000D598C" w:rsidP="000D598C">
      <w:pPr>
        <w:rPr>
          <w:rFonts w:ascii="Arial" w:eastAsiaTheme="minorEastAsia" w:hAnsi="Arial" w:cs="Arial"/>
        </w:rPr>
      </w:pPr>
      <m:oMath>
        <m:r>
          <w:rPr>
            <w:rFonts w:ascii="Cambria Math" w:eastAsiaTheme="minorEastAsia" w:hAnsi="Cambria Math" w:cs="Arial"/>
          </w:rPr>
          <m:t>L=</m:t>
        </m:r>
      </m:oMath>
      <w:r w:rsidRPr="001F5E1D">
        <w:rPr>
          <w:rFonts w:ascii="Arial" w:eastAsiaTheme="minorEastAsia" w:hAnsi="Arial" w:cs="Arial"/>
        </w:rPr>
        <w:t xml:space="preserve"> Analysis period</w:t>
      </w:r>
    </w:p>
    <w:p w14:paraId="52A55220" w14:textId="4BEDB807" w:rsidR="00E72E3E" w:rsidRPr="001F5E1D" w:rsidRDefault="00000000" w:rsidP="004A2DD4">
      <w:pPr>
        <w:spacing w:after="0"/>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L</m:t>
            </m:r>
          </m:e>
          <m:sub>
            <m:r>
              <w:rPr>
                <w:rFonts w:ascii="Cambria Math" w:eastAsiaTheme="minorEastAsia" w:hAnsi="Cambria Math" w:cs="Arial"/>
              </w:rPr>
              <m:t>i</m:t>
            </m:r>
          </m:sub>
        </m:sSub>
      </m:oMath>
      <w:r w:rsidR="000D598C" w:rsidRPr="001F5E1D">
        <w:rPr>
          <w:rFonts w:ascii="Arial" w:eastAsiaTheme="minorEastAsia" w:hAnsi="Arial" w:cs="Arial"/>
        </w:rPr>
        <w:t xml:space="preserve"> = Service life of bridge component</w:t>
      </w:r>
    </w:p>
    <w:p w14:paraId="07374EF1" w14:textId="77777777" w:rsidR="004A2DD4" w:rsidRDefault="004A2DD4" w:rsidP="004A2DD4">
      <w:pPr>
        <w:spacing w:after="0" w:line="360" w:lineRule="auto"/>
        <w:rPr>
          <w:rFonts w:ascii="Arial" w:hAnsi="Arial" w:cs="Arial"/>
        </w:rPr>
      </w:pPr>
    </w:p>
    <w:p w14:paraId="670C5FAB" w14:textId="35F15ADB" w:rsidR="000D598C" w:rsidRPr="001F5E1D" w:rsidRDefault="00505900" w:rsidP="004A2DD4">
      <w:pPr>
        <w:spacing w:line="360" w:lineRule="auto"/>
        <w:jc w:val="both"/>
        <w:rPr>
          <w:rFonts w:ascii="Arial" w:eastAsiaTheme="minorEastAsia" w:hAnsi="Arial" w:cs="Arial"/>
        </w:rPr>
      </w:pPr>
      <w:r w:rsidRPr="001F5E1D">
        <w:rPr>
          <w:rFonts w:ascii="Arial" w:hAnsi="Arial" w:cs="Arial"/>
        </w:rPr>
        <w:t>Unfortunately, t</w:t>
      </w:r>
      <w:r w:rsidR="000D598C" w:rsidRPr="001F5E1D">
        <w:rPr>
          <w:rFonts w:ascii="Arial" w:hAnsi="Arial" w:cs="Arial"/>
        </w:rPr>
        <w:t>his calculation excludes CO</w:t>
      </w:r>
      <w:r w:rsidR="000D598C" w:rsidRPr="00FA3C81">
        <w:rPr>
          <w:rFonts w:ascii="Arial" w:hAnsi="Arial" w:cs="Arial"/>
          <w:vertAlign w:val="subscript"/>
        </w:rPr>
        <w:t>2</w:t>
      </w:r>
      <w:r w:rsidR="000D598C" w:rsidRPr="001F5E1D">
        <w:rPr>
          <w:rFonts w:ascii="Arial" w:hAnsi="Arial" w:cs="Arial"/>
        </w:rPr>
        <w:t xml:space="preserve"> arising from traffic diversions and congestion caused as a result of maintenance activities. Transportation of materials and plant to site for maintenance activities</w:t>
      </w:r>
      <w:r w:rsidR="00317FD9" w:rsidRPr="001F5E1D">
        <w:rPr>
          <w:rFonts w:ascii="Arial" w:hAnsi="Arial" w:cs="Arial"/>
        </w:rPr>
        <w:t xml:space="preserve"> is</w:t>
      </w:r>
      <w:r w:rsidR="000D598C" w:rsidRPr="001F5E1D">
        <w:rPr>
          <w:rFonts w:ascii="Arial" w:hAnsi="Arial" w:cs="Arial"/>
        </w:rPr>
        <w:t xml:space="preserve"> also not considered</w:t>
      </w:r>
      <w:r w:rsidR="00317FD9" w:rsidRPr="001F5E1D">
        <w:rPr>
          <w:rFonts w:ascii="Arial" w:hAnsi="Arial" w:cs="Arial"/>
        </w:rPr>
        <w:t xml:space="preserve"> during this study</w:t>
      </w:r>
      <w:r w:rsidR="000D598C" w:rsidRPr="001F5E1D">
        <w:rPr>
          <w:rFonts w:ascii="Arial" w:hAnsi="Arial" w:cs="Arial"/>
        </w:rPr>
        <w:t xml:space="preserve">. </w:t>
      </w:r>
    </w:p>
    <w:p w14:paraId="47CD6D7B" w14:textId="064ACA61" w:rsidR="005659BE" w:rsidRPr="001F5E1D" w:rsidRDefault="005659BE" w:rsidP="004A2DD4">
      <w:pPr>
        <w:spacing w:line="360" w:lineRule="auto"/>
        <w:jc w:val="both"/>
        <w:rPr>
          <w:rFonts w:ascii="Arial" w:hAnsi="Arial" w:cs="Arial"/>
        </w:rPr>
      </w:pPr>
      <w:r w:rsidRPr="001F5E1D">
        <w:rPr>
          <w:rFonts w:ascii="Arial" w:hAnsi="Arial" w:cs="Arial"/>
        </w:rPr>
        <w:t xml:space="preserve">Zhang </w:t>
      </w:r>
      <w:r w:rsidR="007406E7">
        <w:rPr>
          <w:rFonts w:ascii="Arial" w:hAnsi="Arial" w:cs="Arial"/>
        </w:rPr>
        <w:t xml:space="preserve">(2010) </w:t>
      </w:r>
      <w:r w:rsidRPr="001F5E1D">
        <w:rPr>
          <w:rFonts w:ascii="Arial" w:hAnsi="Arial" w:cs="Arial"/>
        </w:rPr>
        <w:t>argues that the main sources of CO</w:t>
      </w:r>
      <w:r w:rsidRPr="00FA3C81">
        <w:rPr>
          <w:rFonts w:ascii="Arial" w:hAnsi="Arial" w:cs="Arial"/>
          <w:vertAlign w:val="subscript"/>
        </w:rPr>
        <w:t>2</w:t>
      </w:r>
      <w:r w:rsidRPr="001F5E1D">
        <w:rPr>
          <w:rFonts w:ascii="Arial" w:hAnsi="Arial" w:cs="Arial"/>
        </w:rPr>
        <w:t xml:space="preserve"> emissions include embodied CO</w:t>
      </w:r>
      <w:r w:rsidRPr="00FA3C81">
        <w:rPr>
          <w:rFonts w:ascii="Arial" w:hAnsi="Arial" w:cs="Arial"/>
          <w:vertAlign w:val="subscript"/>
        </w:rPr>
        <w:t>2</w:t>
      </w:r>
      <w:r w:rsidRPr="001F5E1D">
        <w:rPr>
          <w:rFonts w:ascii="Arial" w:hAnsi="Arial" w:cs="Arial"/>
        </w:rPr>
        <w:t xml:space="preserve"> in construction materials, CO</w:t>
      </w:r>
      <w:r w:rsidRPr="00FA3C81">
        <w:rPr>
          <w:rFonts w:ascii="Arial" w:hAnsi="Arial" w:cs="Arial"/>
          <w:vertAlign w:val="subscript"/>
        </w:rPr>
        <w:t>2</w:t>
      </w:r>
      <w:r w:rsidRPr="001F5E1D">
        <w:rPr>
          <w:rFonts w:ascii="Arial" w:hAnsi="Arial" w:cs="Arial"/>
        </w:rPr>
        <w:t xml:space="preserve"> arising from traffic disruption and diversions</w:t>
      </w:r>
      <w:r w:rsidR="00AC0861">
        <w:rPr>
          <w:rFonts w:ascii="Arial" w:hAnsi="Arial" w:cs="Arial"/>
        </w:rPr>
        <w:t>,</w:t>
      </w:r>
      <w:r w:rsidRPr="001F5E1D">
        <w:rPr>
          <w:rFonts w:ascii="Arial" w:hAnsi="Arial" w:cs="Arial"/>
        </w:rPr>
        <w:t xml:space="preserve"> and construction site activities. Although further sources of CO</w:t>
      </w:r>
      <w:r w:rsidRPr="00FA3C81">
        <w:rPr>
          <w:rFonts w:ascii="Arial" w:hAnsi="Arial" w:cs="Arial"/>
          <w:vertAlign w:val="subscript"/>
        </w:rPr>
        <w:t>2</w:t>
      </w:r>
      <w:r w:rsidRPr="001F5E1D">
        <w:rPr>
          <w:rFonts w:ascii="Arial" w:hAnsi="Arial" w:cs="Arial"/>
        </w:rPr>
        <w:t xml:space="preserve"> emissions arise from waste disposal and project-related personal travel, they are considered negligible</w:t>
      </w:r>
      <w:r w:rsidR="00137560" w:rsidRPr="001F5E1D">
        <w:rPr>
          <w:rFonts w:ascii="Arial" w:hAnsi="Arial" w:cs="Arial"/>
        </w:rPr>
        <w:t xml:space="preserve"> (Zhang, 2010)</w:t>
      </w:r>
      <w:r w:rsidR="007406E7">
        <w:rPr>
          <w:rFonts w:ascii="Arial" w:hAnsi="Arial" w:cs="Arial"/>
        </w:rPr>
        <w:t>.</w:t>
      </w:r>
    </w:p>
    <w:p w14:paraId="1995CBD0" w14:textId="7E42B0FE" w:rsidR="00035D15" w:rsidRPr="001F5E1D" w:rsidRDefault="00035D15" w:rsidP="004A2DD4">
      <w:pPr>
        <w:spacing w:line="360" w:lineRule="auto"/>
        <w:jc w:val="both"/>
        <w:rPr>
          <w:rFonts w:ascii="Arial" w:hAnsi="Arial" w:cs="Arial"/>
        </w:rPr>
      </w:pPr>
      <w:r w:rsidRPr="001F5E1D">
        <w:rPr>
          <w:rFonts w:ascii="Arial" w:hAnsi="Arial" w:cs="Arial"/>
        </w:rPr>
        <w:t>Uncertainties such as distances travelled during transportation of goods and future volumes of traffic highlight</w:t>
      </w:r>
      <w:r w:rsidR="00664562">
        <w:rPr>
          <w:rFonts w:ascii="Arial" w:hAnsi="Arial" w:cs="Arial"/>
        </w:rPr>
        <w:t xml:space="preserve"> the</w:t>
      </w:r>
      <w:r w:rsidRPr="001F5E1D">
        <w:rPr>
          <w:rFonts w:ascii="Arial" w:hAnsi="Arial" w:cs="Arial"/>
        </w:rPr>
        <w:t xml:space="preserve"> importance of sourcing materials locally and using a local work force. The </w:t>
      </w:r>
      <w:r w:rsidR="00664562">
        <w:rPr>
          <w:rFonts w:ascii="Arial" w:hAnsi="Arial" w:cs="Arial"/>
        </w:rPr>
        <w:t xml:space="preserve">UK </w:t>
      </w:r>
      <w:r w:rsidRPr="001F5E1D">
        <w:rPr>
          <w:rFonts w:ascii="Arial" w:hAnsi="Arial" w:cs="Arial"/>
        </w:rPr>
        <w:t>government ha</w:t>
      </w:r>
      <w:r w:rsidR="000037AB" w:rsidRPr="001F5E1D">
        <w:rPr>
          <w:rFonts w:ascii="Arial" w:hAnsi="Arial" w:cs="Arial"/>
        </w:rPr>
        <w:t>s</w:t>
      </w:r>
      <w:r w:rsidRPr="001F5E1D">
        <w:rPr>
          <w:rFonts w:ascii="Arial" w:hAnsi="Arial" w:cs="Arial"/>
        </w:rPr>
        <w:t xml:space="preserve"> also recently announced a ban on all petrol and diesel cars sales from 2030 </w:t>
      </w:r>
      <w:r w:rsidR="000037AB" w:rsidRPr="001F5E1D">
        <w:rPr>
          <w:rFonts w:ascii="Arial" w:hAnsi="Arial" w:cs="Arial"/>
        </w:rPr>
        <w:t xml:space="preserve">which </w:t>
      </w:r>
      <w:r w:rsidR="00D5382F" w:rsidRPr="001F5E1D">
        <w:rPr>
          <w:rFonts w:ascii="Arial" w:hAnsi="Arial" w:cs="Arial"/>
        </w:rPr>
        <w:t xml:space="preserve">adds further uncertainty to any </w:t>
      </w:r>
      <w:r w:rsidR="00F11D39" w:rsidRPr="001F5E1D">
        <w:rPr>
          <w:rFonts w:ascii="Arial" w:hAnsi="Arial" w:cs="Arial"/>
        </w:rPr>
        <w:t xml:space="preserve">life cycle </w:t>
      </w:r>
      <w:r w:rsidR="00D5382F" w:rsidRPr="001F5E1D">
        <w:rPr>
          <w:rFonts w:ascii="Arial" w:hAnsi="Arial" w:cs="Arial"/>
        </w:rPr>
        <w:t>analysis</w:t>
      </w:r>
      <w:r w:rsidR="00572ADE" w:rsidRPr="001F5E1D">
        <w:rPr>
          <w:rFonts w:ascii="Arial" w:hAnsi="Arial" w:cs="Arial"/>
        </w:rPr>
        <w:t xml:space="preserve"> (Harrabin, 2020)</w:t>
      </w:r>
      <w:r w:rsidRPr="001F5E1D">
        <w:rPr>
          <w:rFonts w:ascii="Arial" w:hAnsi="Arial" w:cs="Arial"/>
        </w:rPr>
        <w:t xml:space="preserve">. </w:t>
      </w:r>
      <w:r w:rsidR="00572ADE" w:rsidRPr="001F5E1D">
        <w:rPr>
          <w:rFonts w:ascii="Arial" w:hAnsi="Arial" w:cs="Arial"/>
        </w:rPr>
        <w:t xml:space="preserve"> </w:t>
      </w:r>
    </w:p>
    <w:p w14:paraId="21D37B29" w14:textId="5889ADB2" w:rsidR="00F23AC8" w:rsidRPr="001F5E1D" w:rsidRDefault="00E80EF9" w:rsidP="004A2DD4">
      <w:pPr>
        <w:spacing w:line="360" w:lineRule="auto"/>
        <w:jc w:val="both"/>
        <w:rPr>
          <w:rFonts w:ascii="Arial" w:hAnsi="Arial" w:cs="Arial"/>
        </w:rPr>
      </w:pPr>
      <w:r w:rsidRPr="001F5E1D">
        <w:rPr>
          <w:rFonts w:ascii="Arial" w:hAnsi="Arial" w:cs="Arial"/>
        </w:rPr>
        <w:t>Due to the complexities associated with LCA, s</w:t>
      </w:r>
      <w:r w:rsidR="005F48F5" w:rsidRPr="001F5E1D">
        <w:rPr>
          <w:rFonts w:ascii="Arial" w:hAnsi="Arial" w:cs="Arial"/>
        </w:rPr>
        <w:t xml:space="preserve">oftware </w:t>
      </w:r>
      <w:r w:rsidR="008422E7" w:rsidRPr="001F5E1D">
        <w:rPr>
          <w:rFonts w:ascii="Arial" w:hAnsi="Arial" w:cs="Arial"/>
        </w:rPr>
        <w:t>tools</w:t>
      </w:r>
      <w:r w:rsidR="005F48F5" w:rsidRPr="001F5E1D">
        <w:rPr>
          <w:rFonts w:ascii="Arial" w:hAnsi="Arial" w:cs="Arial"/>
        </w:rPr>
        <w:t xml:space="preserve"> have been developed to simplify the </w:t>
      </w:r>
      <w:r w:rsidR="00C94B27" w:rsidRPr="001F5E1D">
        <w:rPr>
          <w:rFonts w:ascii="Arial" w:hAnsi="Arial" w:cs="Arial"/>
        </w:rPr>
        <w:t>process</w:t>
      </w:r>
      <w:r w:rsidR="00931AAD" w:rsidRPr="001F5E1D">
        <w:rPr>
          <w:rFonts w:ascii="Arial" w:hAnsi="Arial" w:cs="Arial"/>
        </w:rPr>
        <w:t xml:space="preserve">. </w:t>
      </w:r>
      <w:r w:rsidR="008422E7" w:rsidRPr="001F5E1D">
        <w:rPr>
          <w:rFonts w:ascii="Arial" w:hAnsi="Arial" w:cs="Arial"/>
        </w:rPr>
        <w:t xml:space="preserve"> </w:t>
      </w:r>
      <w:r w:rsidR="00F23AC8" w:rsidRPr="001F5E1D">
        <w:rPr>
          <w:rFonts w:ascii="Arial" w:hAnsi="Arial" w:cs="Arial"/>
        </w:rPr>
        <w:t xml:space="preserve">An example of such software is the carbon calculator </w:t>
      </w:r>
      <w:r w:rsidR="00DB397A">
        <w:rPr>
          <w:rFonts w:ascii="Arial" w:hAnsi="Arial" w:cs="Arial"/>
        </w:rPr>
        <w:t xml:space="preserve">design </w:t>
      </w:r>
      <w:r w:rsidR="00F23AC8" w:rsidRPr="001F5E1D">
        <w:rPr>
          <w:rFonts w:ascii="Arial" w:hAnsi="Arial" w:cs="Arial"/>
        </w:rPr>
        <w:t xml:space="preserve">tool </w:t>
      </w:r>
      <w:r w:rsidR="00DB397A">
        <w:rPr>
          <w:rFonts w:ascii="Arial" w:hAnsi="Arial" w:cs="Arial"/>
        </w:rPr>
        <w:t xml:space="preserve">for bridges </w:t>
      </w:r>
      <w:r w:rsidR="00F23AC8" w:rsidRPr="001F5E1D">
        <w:rPr>
          <w:rFonts w:ascii="Arial" w:hAnsi="Arial" w:cs="Arial"/>
        </w:rPr>
        <w:t xml:space="preserve">developed by </w:t>
      </w:r>
      <w:r w:rsidR="00CC7D54" w:rsidRPr="001F5E1D">
        <w:rPr>
          <w:rFonts w:ascii="Arial" w:hAnsi="Arial" w:cs="Arial"/>
        </w:rPr>
        <w:t xml:space="preserve">Atkins </w:t>
      </w:r>
      <w:r w:rsidR="00C74A03" w:rsidRPr="001F5E1D">
        <w:rPr>
          <w:rFonts w:ascii="Arial" w:hAnsi="Arial" w:cs="Arial"/>
        </w:rPr>
        <w:t>for BCSA and Tata Steel</w:t>
      </w:r>
      <w:r w:rsidR="00182670" w:rsidRPr="001F5E1D">
        <w:rPr>
          <w:rFonts w:ascii="Arial" w:hAnsi="Arial" w:cs="Arial"/>
        </w:rPr>
        <w:t xml:space="preserve">. </w:t>
      </w:r>
      <w:r w:rsidR="00F23AC8" w:rsidRPr="001F5E1D">
        <w:rPr>
          <w:rFonts w:ascii="Arial" w:hAnsi="Arial" w:cs="Arial"/>
        </w:rPr>
        <w:t>A study undertaken by</w:t>
      </w:r>
      <w:r w:rsidR="00DB2F99" w:rsidRPr="001F5E1D">
        <w:rPr>
          <w:rFonts w:ascii="Arial" w:hAnsi="Arial" w:cs="Arial"/>
        </w:rPr>
        <w:t xml:space="preserve"> Smith et al</w:t>
      </w:r>
      <w:r w:rsidR="00923173">
        <w:rPr>
          <w:rFonts w:ascii="Arial" w:hAnsi="Arial" w:cs="Arial"/>
        </w:rPr>
        <w:t>. (2014)</w:t>
      </w:r>
      <w:r w:rsidR="00DB2F99" w:rsidRPr="001F5E1D">
        <w:rPr>
          <w:rFonts w:ascii="Arial" w:hAnsi="Arial" w:cs="Arial"/>
        </w:rPr>
        <w:t xml:space="preserve"> </w:t>
      </w:r>
      <w:r w:rsidR="00A23677" w:rsidRPr="001F5E1D">
        <w:rPr>
          <w:rFonts w:ascii="Arial" w:hAnsi="Arial" w:cs="Arial"/>
        </w:rPr>
        <w:t xml:space="preserve">adopted this tool to undertake a </w:t>
      </w:r>
      <w:r w:rsidR="00CE34A6" w:rsidRPr="001F5E1D">
        <w:rPr>
          <w:rFonts w:ascii="Arial" w:hAnsi="Arial" w:cs="Arial"/>
        </w:rPr>
        <w:t>comparison</w:t>
      </w:r>
      <w:r w:rsidR="00A23677" w:rsidRPr="001F5E1D">
        <w:rPr>
          <w:rFonts w:ascii="Arial" w:hAnsi="Arial" w:cs="Arial"/>
        </w:rPr>
        <w:t xml:space="preserve"> </w:t>
      </w:r>
      <w:r w:rsidR="00DB2F99" w:rsidRPr="001F5E1D">
        <w:rPr>
          <w:rFonts w:ascii="Arial" w:hAnsi="Arial" w:cs="Arial"/>
        </w:rPr>
        <w:t xml:space="preserve"> </w:t>
      </w:r>
      <w:r w:rsidR="00A23677" w:rsidRPr="001F5E1D">
        <w:rPr>
          <w:rFonts w:ascii="Arial" w:hAnsi="Arial" w:cs="Arial"/>
        </w:rPr>
        <w:t xml:space="preserve">of two different </w:t>
      </w:r>
      <w:r w:rsidR="00764BB1" w:rsidRPr="001F5E1D">
        <w:rPr>
          <w:rFonts w:ascii="Arial" w:hAnsi="Arial" w:cs="Arial"/>
        </w:rPr>
        <w:t>bridges:</w:t>
      </w:r>
      <w:r w:rsidR="00CE34A6" w:rsidRPr="001F5E1D">
        <w:rPr>
          <w:rFonts w:ascii="Arial" w:hAnsi="Arial" w:cs="Arial"/>
        </w:rPr>
        <w:t xml:space="preserve"> a steel composite bridge and a pre-tensioned precast concrete beam bridge. </w:t>
      </w:r>
      <w:r w:rsidR="00BA72D7" w:rsidRPr="001F5E1D">
        <w:rPr>
          <w:rFonts w:ascii="Arial" w:hAnsi="Arial" w:cs="Arial"/>
        </w:rPr>
        <w:t xml:space="preserve">In this study the </w:t>
      </w:r>
      <w:r w:rsidR="00FC4352" w:rsidRPr="001F5E1D">
        <w:rPr>
          <w:rFonts w:ascii="Arial" w:hAnsi="Arial" w:cs="Arial"/>
        </w:rPr>
        <w:t>carbon calculator was used to determine the CO</w:t>
      </w:r>
      <w:r w:rsidR="00FC4352" w:rsidRPr="00FA3C81">
        <w:rPr>
          <w:rFonts w:ascii="Arial" w:hAnsi="Arial" w:cs="Arial"/>
          <w:vertAlign w:val="subscript"/>
        </w:rPr>
        <w:t>2</w:t>
      </w:r>
      <w:r w:rsidR="00FC4352" w:rsidRPr="001F5E1D">
        <w:rPr>
          <w:rFonts w:ascii="Arial" w:hAnsi="Arial" w:cs="Arial"/>
        </w:rPr>
        <w:t xml:space="preserve"> emissions during construction, </w:t>
      </w:r>
      <w:r w:rsidR="00DB397A" w:rsidRPr="001F5E1D">
        <w:rPr>
          <w:rFonts w:ascii="Arial" w:hAnsi="Arial" w:cs="Arial"/>
        </w:rPr>
        <w:t>operation,</w:t>
      </w:r>
      <w:r w:rsidR="00FC4352" w:rsidRPr="001F5E1D">
        <w:rPr>
          <w:rFonts w:ascii="Arial" w:hAnsi="Arial" w:cs="Arial"/>
        </w:rPr>
        <w:t xml:space="preserve"> </w:t>
      </w:r>
      <w:r w:rsidR="00814C25" w:rsidRPr="001F5E1D">
        <w:rPr>
          <w:rFonts w:ascii="Arial" w:hAnsi="Arial" w:cs="Arial"/>
        </w:rPr>
        <w:t xml:space="preserve">and demolition. </w:t>
      </w:r>
      <w:r w:rsidR="00E93621" w:rsidRPr="001F5E1D">
        <w:rPr>
          <w:rFonts w:ascii="Arial" w:hAnsi="Arial" w:cs="Arial"/>
        </w:rPr>
        <w:t xml:space="preserve">Default data is </w:t>
      </w:r>
      <w:r w:rsidR="007C2C9B" w:rsidRPr="001F5E1D">
        <w:rPr>
          <w:rFonts w:ascii="Arial" w:hAnsi="Arial" w:cs="Arial"/>
        </w:rPr>
        <w:t>provided</w:t>
      </w:r>
      <w:r w:rsidR="00620066" w:rsidRPr="001F5E1D">
        <w:rPr>
          <w:rFonts w:ascii="Arial" w:hAnsi="Arial" w:cs="Arial"/>
        </w:rPr>
        <w:t>,</w:t>
      </w:r>
      <w:r w:rsidR="007C2C9B" w:rsidRPr="001F5E1D">
        <w:rPr>
          <w:rFonts w:ascii="Arial" w:hAnsi="Arial" w:cs="Arial"/>
        </w:rPr>
        <w:t xml:space="preserve"> </w:t>
      </w:r>
      <w:r w:rsidR="00E93621" w:rsidRPr="001F5E1D">
        <w:rPr>
          <w:rFonts w:ascii="Arial" w:hAnsi="Arial" w:cs="Arial"/>
        </w:rPr>
        <w:t xml:space="preserve">although many of the parameters can be </w:t>
      </w:r>
      <w:r w:rsidR="007C2C9B" w:rsidRPr="001F5E1D">
        <w:rPr>
          <w:rFonts w:ascii="Arial" w:hAnsi="Arial" w:cs="Arial"/>
        </w:rPr>
        <w:t>overridden and manually define</w:t>
      </w:r>
      <w:r w:rsidR="00630B2E" w:rsidRPr="001F5E1D">
        <w:rPr>
          <w:rFonts w:ascii="Arial" w:hAnsi="Arial" w:cs="Arial"/>
        </w:rPr>
        <w:t>d</w:t>
      </w:r>
      <w:r w:rsidR="00792931" w:rsidRPr="001F5E1D">
        <w:rPr>
          <w:rFonts w:ascii="Arial" w:hAnsi="Arial" w:cs="Arial"/>
        </w:rPr>
        <w:t xml:space="preserve"> making this </w:t>
      </w:r>
      <w:r w:rsidR="00294AF9" w:rsidRPr="001F5E1D">
        <w:rPr>
          <w:rFonts w:ascii="Arial" w:hAnsi="Arial" w:cs="Arial"/>
        </w:rPr>
        <w:t>an enormously useful tool</w:t>
      </w:r>
      <w:r w:rsidR="00C06479" w:rsidRPr="001F5E1D">
        <w:rPr>
          <w:rFonts w:ascii="Arial" w:hAnsi="Arial" w:cs="Arial"/>
        </w:rPr>
        <w:t xml:space="preserve"> to quantify embodied and operational </w:t>
      </w:r>
      <w:r w:rsidR="00ED5CA3">
        <w:rPr>
          <w:rFonts w:ascii="Arial" w:hAnsi="Arial" w:cs="Arial"/>
        </w:rPr>
        <w:t>CO</w:t>
      </w:r>
      <w:r w:rsidR="00ED5CA3" w:rsidRPr="00ED5CA3">
        <w:rPr>
          <w:rFonts w:ascii="Arial" w:hAnsi="Arial" w:cs="Arial"/>
          <w:vertAlign w:val="subscript"/>
        </w:rPr>
        <w:t>2</w:t>
      </w:r>
      <w:r w:rsidR="00665DDB" w:rsidRPr="001F5E1D">
        <w:rPr>
          <w:rFonts w:ascii="Arial" w:hAnsi="Arial" w:cs="Arial"/>
        </w:rPr>
        <w:t>.</w:t>
      </w:r>
      <w:r w:rsidR="004130BA" w:rsidRPr="001F5E1D">
        <w:rPr>
          <w:rFonts w:ascii="Arial" w:hAnsi="Arial" w:cs="Arial"/>
        </w:rPr>
        <w:t xml:space="preserve"> </w:t>
      </w:r>
      <w:r w:rsidR="00710992">
        <w:rPr>
          <w:rFonts w:ascii="Arial" w:hAnsi="Arial" w:cs="Arial"/>
        </w:rPr>
        <w:t>However, the software does not enable</w:t>
      </w:r>
      <w:r w:rsidR="0096724B">
        <w:rPr>
          <w:rFonts w:ascii="Arial" w:hAnsi="Arial" w:cs="Arial"/>
        </w:rPr>
        <w:t xml:space="preserve"> </w:t>
      </w:r>
      <w:r w:rsidR="00ED5E4D">
        <w:rPr>
          <w:rFonts w:ascii="Arial" w:hAnsi="Arial" w:cs="Arial"/>
        </w:rPr>
        <w:t>the number of vehicle</w:t>
      </w:r>
      <w:r w:rsidR="002A3A4C">
        <w:rPr>
          <w:rFonts w:ascii="Arial" w:hAnsi="Arial" w:cs="Arial"/>
        </w:rPr>
        <w:t>s</w:t>
      </w:r>
      <w:r w:rsidR="00ED5E4D">
        <w:rPr>
          <w:rFonts w:ascii="Arial" w:hAnsi="Arial" w:cs="Arial"/>
        </w:rPr>
        <w:t xml:space="preserve"> affected by </w:t>
      </w:r>
      <w:r w:rsidR="009B7A59">
        <w:rPr>
          <w:rFonts w:ascii="Arial" w:hAnsi="Arial" w:cs="Arial"/>
        </w:rPr>
        <w:t xml:space="preserve">maintenance activities to be </w:t>
      </w:r>
      <w:r w:rsidR="005C0741">
        <w:rPr>
          <w:rFonts w:ascii="Arial" w:hAnsi="Arial" w:cs="Arial"/>
        </w:rPr>
        <w:t>defined</w:t>
      </w:r>
      <w:r w:rsidR="009B7A59">
        <w:rPr>
          <w:rFonts w:ascii="Arial" w:hAnsi="Arial" w:cs="Arial"/>
        </w:rPr>
        <w:t xml:space="preserve"> based on available traffic count data. The software </w:t>
      </w:r>
      <w:r w:rsidR="00BC7B09">
        <w:rPr>
          <w:rFonts w:ascii="Arial" w:hAnsi="Arial" w:cs="Arial"/>
        </w:rPr>
        <w:t>also does not consider traffic growth</w:t>
      </w:r>
      <w:r w:rsidR="002A3A4C">
        <w:rPr>
          <w:rFonts w:ascii="Arial" w:hAnsi="Arial" w:cs="Arial"/>
        </w:rPr>
        <w:t>,</w:t>
      </w:r>
      <w:r w:rsidR="00BC7B09">
        <w:rPr>
          <w:rFonts w:ascii="Arial" w:hAnsi="Arial" w:cs="Arial"/>
        </w:rPr>
        <w:t xml:space="preserve"> or changes in vehicle emissions over time</w:t>
      </w:r>
      <w:r w:rsidR="002A3A4C">
        <w:rPr>
          <w:rFonts w:ascii="Arial" w:hAnsi="Arial" w:cs="Arial"/>
        </w:rPr>
        <w:t xml:space="preserve">. </w:t>
      </w:r>
      <w:r w:rsidR="00C85653">
        <w:rPr>
          <w:rFonts w:ascii="Arial" w:hAnsi="Arial" w:cs="Arial"/>
        </w:rPr>
        <w:t>Additionally</w:t>
      </w:r>
      <w:r w:rsidR="000B02C0">
        <w:rPr>
          <w:rFonts w:ascii="Arial" w:hAnsi="Arial" w:cs="Arial"/>
        </w:rPr>
        <w:t>,</w:t>
      </w:r>
      <w:r w:rsidR="00C85653">
        <w:rPr>
          <w:rFonts w:ascii="Arial" w:hAnsi="Arial" w:cs="Arial"/>
        </w:rPr>
        <w:t xml:space="preserve"> the maintenance activities </w:t>
      </w:r>
      <w:r w:rsidR="00513057">
        <w:rPr>
          <w:rFonts w:ascii="Arial" w:hAnsi="Arial" w:cs="Arial"/>
        </w:rPr>
        <w:t xml:space="preserve">are limited so </w:t>
      </w:r>
      <w:r w:rsidR="00282B15">
        <w:rPr>
          <w:rFonts w:ascii="Arial" w:hAnsi="Arial" w:cs="Arial"/>
        </w:rPr>
        <w:t>the resultant CO</w:t>
      </w:r>
      <w:r w:rsidR="00282B15" w:rsidRPr="00FB37A0">
        <w:rPr>
          <w:rFonts w:ascii="Arial" w:hAnsi="Arial" w:cs="Arial"/>
          <w:vertAlign w:val="subscript"/>
        </w:rPr>
        <w:t>2</w:t>
      </w:r>
      <w:r w:rsidR="00513057">
        <w:rPr>
          <w:rFonts w:ascii="Arial" w:hAnsi="Arial" w:cs="Arial"/>
        </w:rPr>
        <w:t xml:space="preserve"> </w:t>
      </w:r>
      <w:r w:rsidR="00282B15">
        <w:rPr>
          <w:rFonts w:ascii="Arial" w:hAnsi="Arial" w:cs="Arial"/>
        </w:rPr>
        <w:t xml:space="preserve">is </w:t>
      </w:r>
      <w:r w:rsidR="00513057">
        <w:rPr>
          <w:rFonts w:ascii="Arial" w:hAnsi="Arial" w:cs="Arial"/>
        </w:rPr>
        <w:t>not fully represent</w:t>
      </w:r>
      <w:r w:rsidR="00282B15">
        <w:rPr>
          <w:rFonts w:ascii="Arial" w:hAnsi="Arial" w:cs="Arial"/>
        </w:rPr>
        <w:t>ative of</w:t>
      </w:r>
      <w:r w:rsidR="00513057">
        <w:rPr>
          <w:rFonts w:ascii="Arial" w:hAnsi="Arial" w:cs="Arial"/>
        </w:rPr>
        <w:t xml:space="preserve"> the required maintenance. </w:t>
      </w:r>
      <w:r w:rsidR="006974B7" w:rsidRPr="001F5E1D">
        <w:rPr>
          <w:rFonts w:ascii="Arial" w:hAnsi="Arial" w:cs="Arial"/>
        </w:rPr>
        <w:t>(Smith</w:t>
      </w:r>
      <w:r w:rsidR="00923173">
        <w:rPr>
          <w:rFonts w:ascii="Arial" w:hAnsi="Arial" w:cs="Arial"/>
        </w:rPr>
        <w:t xml:space="preserve"> et al.</w:t>
      </w:r>
      <w:r w:rsidR="006974B7" w:rsidRPr="001F5E1D">
        <w:rPr>
          <w:rFonts w:ascii="Arial" w:hAnsi="Arial" w:cs="Arial"/>
        </w:rPr>
        <w:t xml:space="preserve">, </w:t>
      </w:r>
      <w:r w:rsidR="0094660E" w:rsidRPr="001F5E1D">
        <w:rPr>
          <w:rFonts w:ascii="Arial" w:hAnsi="Arial" w:cs="Arial"/>
        </w:rPr>
        <w:t>2014)</w:t>
      </w:r>
    </w:p>
    <w:p w14:paraId="03A9A3AC" w14:textId="30509E9F" w:rsidR="00F734C9" w:rsidRPr="009F7A33" w:rsidRDefault="00F734C9" w:rsidP="008A1408">
      <w:pPr>
        <w:pStyle w:val="Heading2"/>
        <w:spacing w:after="240"/>
        <w:rPr>
          <w:rFonts w:ascii="Arial" w:eastAsia="Times New Roman" w:hAnsi="Arial" w:cs="Arial"/>
          <w:b/>
          <w:bCs/>
          <w:color w:val="auto"/>
          <w:sz w:val="24"/>
          <w:szCs w:val="24"/>
          <w:lang w:eastAsia="en-GB"/>
        </w:rPr>
      </w:pPr>
      <w:bookmarkStart w:id="39" w:name="_Toc66868894"/>
      <w:r w:rsidRPr="009F7A33">
        <w:rPr>
          <w:rFonts w:ascii="Arial" w:eastAsia="Times New Roman" w:hAnsi="Arial" w:cs="Arial"/>
          <w:b/>
          <w:bCs/>
          <w:color w:val="auto"/>
          <w:sz w:val="24"/>
          <w:szCs w:val="24"/>
          <w:lang w:eastAsia="en-GB"/>
        </w:rPr>
        <w:t xml:space="preserve">Monetisation of </w:t>
      </w:r>
      <w:r w:rsidR="009F7D72" w:rsidRPr="009F7A33">
        <w:rPr>
          <w:rFonts w:ascii="Arial" w:eastAsia="Times New Roman" w:hAnsi="Arial" w:cs="Arial"/>
          <w:b/>
          <w:bCs/>
          <w:color w:val="auto"/>
          <w:sz w:val="24"/>
          <w:szCs w:val="24"/>
          <w:lang w:eastAsia="en-GB"/>
        </w:rPr>
        <w:t>C</w:t>
      </w:r>
      <w:r w:rsidRPr="009F7A33">
        <w:rPr>
          <w:rFonts w:ascii="Arial" w:eastAsia="Times New Roman" w:hAnsi="Arial" w:cs="Arial"/>
          <w:b/>
          <w:bCs/>
          <w:color w:val="auto"/>
          <w:sz w:val="24"/>
          <w:szCs w:val="24"/>
          <w:lang w:eastAsia="en-GB"/>
        </w:rPr>
        <w:t>arbon</w:t>
      </w:r>
      <w:bookmarkEnd w:id="39"/>
    </w:p>
    <w:p w14:paraId="2270D0C1" w14:textId="63107E64" w:rsidR="009D2C4F" w:rsidRPr="003E6A7E" w:rsidRDefault="00DC34EC" w:rsidP="004A2DD4">
      <w:pPr>
        <w:spacing w:line="360" w:lineRule="auto"/>
        <w:jc w:val="both"/>
        <w:rPr>
          <w:rFonts w:ascii="Arial" w:hAnsi="Arial" w:cs="Arial"/>
        </w:rPr>
      </w:pPr>
      <w:r w:rsidRPr="003E6A7E">
        <w:rPr>
          <w:rFonts w:ascii="Arial" w:hAnsi="Arial" w:cs="Arial"/>
        </w:rPr>
        <w:t xml:space="preserve">In order to </w:t>
      </w:r>
      <w:r w:rsidR="001849B4" w:rsidRPr="003E6A7E">
        <w:rPr>
          <w:rFonts w:ascii="Arial" w:hAnsi="Arial" w:cs="Arial"/>
        </w:rPr>
        <w:t xml:space="preserve">provide a </w:t>
      </w:r>
      <w:r w:rsidR="00F24E66" w:rsidRPr="003E6A7E">
        <w:rPr>
          <w:rFonts w:ascii="Arial" w:hAnsi="Arial" w:cs="Arial"/>
        </w:rPr>
        <w:t>consistent</w:t>
      </w:r>
      <w:r w:rsidR="001849B4" w:rsidRPr="003E6A7E">
        <w:rPr>
          <w:rFonts w:ascii="Arial" w:hAnsi="Arial" w:cs="Arial"/>
        </w:rPr>
        <w:t xml:space="preserve"> approach</w:t>
      </w:r>
      <w:r w:rsidR="001F2BF7" w:rsidRPr="003E6A7E">
        <w:rPr>
          <w:rFonts w:ascii="Arial" w:hAnsi="Arial" w:cs="Arial"/>
        </w:rPr>
        <w:t xml:space="preserve"> to </w:t>
      </w:r>
      <w:r w:rsidR="00A6243A" w:rsidRPr="003E6A7E">
        <w:rPr>
          <w:rFonts w:ascii="Arial" w:hAnsi="Arial" w:cs="Arial"/>
        </w:rPr>
        <w:t>assess both costs and carbon emissions</w:t>
      </w:r>
      <w:r w:rsidR="001F4A76" w:rsidRPr="003E6A7E">
        <w:rPr>
          <w:rFonts w:ascii="Arial" w:hAnsi="Arial" w:cs="Arial"/>
        </w:rPr>
        <w:t>,</w:t>
      </w:r>
      <w:r w:rsidR="001849B4" w:rsidRPr="003E6A7E">
        <w:rPr>
          <w:rFonts w:ascii="Arial" w:hAnsi="Arial" w:cs="Arial"/>
        </w:rPr>
        <w:t xml:space="preserve"> </w:t>
      </w:r>
      <w:r w:rsidR="00CE77EF" w:rsidRPr="003E6A7E">
        <w:rPr>
          <w:rFonts w:ascii="Arial" w:hAnsi="Arial" w:cs="Arial"/>
        </w:rPr>
        <w:t>a form o</w:t>
      </w:r>
      <w:r w:rsidR="003B2B19" w:rsidRPr="003E6A7E">
        <w:rPr>
          <w:rFonts w:ascii="Arial" w:hAnsi="Arial" w:cs="Arial"/>
        </w:rPr>
        <w:t>f</w:t>
      </w:r>
      <w:r w:rsidR="00CE77EF" w:rsidRPr="003E6A7E">
        <w:rPr>
          <w:rFonts w:ascii="Arial" w:hAnsi="Arial" w:cs="Arial"/>
        </w:rPr>
        <w:t xml:space="preserve"> weighting is necessary </w:t>
      </w:r>
      <w:r w:rsidR="00D80A91" w:rsidRPr="003E6A7E">
        <w:rPr>
          <w:rFonts w:ascii="Arial" w:hAnsi="Arial" w:cs="Arial"/>
        </w:rPr>
        <w:t xml:space="preserve">to </w:t>
      </w:r>
      <w:r w:rsidR="00A6243A" w:rsidRPr="003E6A7E">
        <w:rPr>
          <w:rFonts w:ascii="Arial" w:hAnsi="Arial" w:cs="Arial"/>
        </w:rPr>
        <w:t>enable</w:t>
      </w:r>
      <w:r w:rsidR="00D80A91" w:rsidRPr="003E6A7E">
        <w:rPr>
          <w:rFonts w:ascii="Arial" w:hAnsi="Arial" w:cs="Arial"/>
        </w:rPr>
        <w:t xml:space="preserve"> </w:t>
      </w:r>
      <w:r w:rsidR="00385933" w:rsidRPr="003E6A7E">
        <w:rPr>
          <w:rFonts w:ascii="Arial" w:hAnsi="Arial" w:cs="Arial"/>
        </w:rPr>
        <w:t>the quant</w:t>
      </w:r>
      <w:r w:rsidR="00D53F78" w:rsidRPr="003E6A7E">
        <w:rPr>
          <w:rFonts w:ascii="Arial" w:hAnsi="Arial" w:cs="Arial"/>
        </w:rPr>
        <w:t>it</w:t>
      </w:r>
      <w:r w:rsidR="003B2B19" w:rsidRPr="003E6A7E">
        <w:rPr>
          <w:rFonts w:ascii="Arial" w:hAnsi="Arial" w:cs="Arial"/>
        </w:rPr>
        <w:t>a</w:t>
      </w:r>
      <w:r w:rsidR="00385933" w:rsidRPr="003E6A7E">
        <w:rPr>
          <w:rFonts w:ascii="Arial" w:hAnsi="Arial" w:cs="Arial"/>
        </w:rPr>
        <w:t>tive</w:t>
      </w:r>
      <w:r w:rsidR="00D80A91" w:rsidRPr="003E6A7E">
        <w:rPr>
          <w:rFonts w:ascii="Arial" w:hAnsi="Arial" w:cs="Arial"/>
        </w:rPr>
        <w:t xml:space="preserve"> </w:t>
      </w:r>
      <w:r w:rsidR="00D53F78" w:rsidRPr="003E6A7E">
        <w:rPr>
          <w:rFonts w:ascii="Arial" w:hAnsi="Arial" w:cs="Arial"/>
        </w:rPr>
        <w:t>assessment.</w:t>
      </w:r>
      <w:r w:rsidR="00526195" w:rsidRPr="003E6A7E">
        <w:rPr>
          <w:rFonts w:ascii="Arial" w:hAnsi="Arial" w:cs="Arial"/>
        </w:rPr>
        <w:t xml:space="preserve"> </w:t>
      </w:r>
      <w:r w:rsidR="009D2C4F" w:rsidRPr="003E6A7E">
        <w:rPr>
          <w:rFonts w:ascii="Arial" w:hAnsi="Arial" w:cs="Arial"/>
        </w:rPr>
        <w:t xml:space="preserve">A study </w:t>
      </w:r>
      <w:r w:rsidR="00931FC0" w:rsidRPr="003E6A7E">
        <w:rPr>
          <w:rFonts w:ascii="Arial" w:hAnsi="Arial" w:cs="Arial"/>
        </w:rPr>
        <w:t xml:space="preserve">was </w:t>
      </w:r>
      <w:r w:rsidR="009D2C4F" w:rsidRPr="003E6A7E">
        <w:rPr>
          <w:rFonts w:ascii="Arial" w:hAnsi="Arial" w:cs="Arial"/>
        </w:rPr>
        <w:t xml:space="preserve">undertaken </w:t>
      </w:r>
      <w:r w:rsidR="00DB618F" w:rsidRPr="003E6A7E">
        <w:rPr>
          <w:rFonts w:ascii="Arial" w:hAnsi="Arial" w:cs="Arial"/>
        </w:rPr>
        <w:t xml:space="preserve">by Mott Macdonald </w:t>
      </w:r>
      <w:r w:rsidR="004E6CFF">
        <w:rPr>
          <w:rFonts w:ascii="Arial" w:hAnsi="Arial" w:cs="Arial"/>
        </w:rPr>
        <w:t xml:space="preserve">(2012) </w:t>
      </w:r>
      <w:r w:rsidR="00DB618F" w:rsidRPr="003E6A7E">
        <w:rPr>
          <w:rFonts w:ascii="Arial" w:hAnsi="Arial" w:cs="Arial"/>
        </w:rPr>
        <w:t xml:space="preserve">on the </w:t>
      </w:r>
      <w:r w:rsidR="009B0940" w:rsidRPr="003E6A7E">
        <w:rPr>
          <w:rFonts w:ascii="Arial" w:hAnsi="Arial" w:cs="Arial"/>
        </w:rPr>
        <w:t xml:space="preserve">monetisation of carbon in WLC in </w:t>
      </w:r>
      <w:r w:rsidR="00AF24E8" w:rsidRPr="003E6A7E">
        <w:rPr>
          <w:rFonts w:ascii="Arial" w:hAnsi="Arial" w:cs="Arial"/>
        </w:rPr>
        <w:t>c</w:t>
      </w:r>
      <w:r w:rsidR="009B0940" w:rsidRPr="003E6A7E">
        <w:rPr>
          <w:rFonts w:ascii="Arial" w:hAnsi="Arial" w:cs="Arial"/>
        </w:rPr>
        <w:t>onstruction</w:t>
      </w:r>
      <w:r w:rsidR="00DF4D19" w:rsidRPr="003E6A7E">
        <w:rPr>
          <w:rFonts w:ascii="Arial" w:hAnsi="Arial" w:cs="Arial"/>
        </w:rPr>
        <w:t>. The study</w:t>
      </w:r>
      <w:r w:rsidR="009B0940" w:rsidRPr="003E6A7E">
        <w:rPr>
          <w:rFonts w:ascii="Arial" w:hAnsi="Arial" w:cs="Arial"/>
        </w:rPr>
        <w:t xml:space="preserve"> concluded </w:t>
      </w:r>
      <w:r w:rsidR="009A1F96" w:rsidRPr="003E6A7E">
        <w:rPr>
          <w:rFonts w:ascii="Arial" w:hAnsi="Arial" w:cs="Arial"/>
        </w:rPr>
        <w:t>that monetisation of car</w:t>
      </w:r>
      <w:r w:rsidR="00247966" w:rsidRPr="003E6A7E">
        <w:rPr>
          <w:rFonts w:ascii="Arial" w:hAnsi="Arial" w:cs="Arial"/>
        </w:rPr>
        <w:t xml:space="preserve">bon is unlikely to be included </w:t>
      </w:r>
      <w:r w:rsidR="007222E5" w:rsidRPr="003E6A7E">
        <w:rPr>
          <w:rFonts w:ascii="Arial" w:hAnsi="Arial" w:cs="Arial"/>
        </w:rPr>
        <w:t>in WLC</w:t>
      </w:r>
      <w:r w:rsidR="00DF4D19" w:rsidRPr="003E6A7E">
        <w:rPr>
          <w:rFonts w:ascii="Arial" w:hAnsi="Arial" w:cs="Arial"/>
        </w:rPr>
        <w:t>,</w:t>
      </w:r>
      <w:r w:rsidR="007222E5" w:rsidRPr="003E6A7E">
        <w:rPr>
          <w:rFonts w:ascii="Arial" w:hAnsi="Arial" w:cs="Arial"/>
        </w:rPr>
        <w:t xml:space="preserve"> as carbon </w:t>
      </w:r>
      <w:r w:rsidR="00DA1997" w:rsidRPr="003E6A7E">
        <w:rPr>
          <w:rFonts w:ascii="Arial" w:hAnsi="Arial" w:cs="Arial"/>
        </w:rPr>
        <w:t>emissions</w:t>
      </w:r>
      <w:r w:rsidR="003E19FB" w:rsidRPr="003E6A7E">
        <w:rPr>
          <w:rFonts w:ascii="Arial" w:hAnsi="Arial" w:cs="Arial"/>
        </w:rPr>
        <w:t xml:space="preserve"> during </w:t>
      </w:r>
      <w:r w:rsidR="00F40C19">
        <w:rPr>
          <w:rFonts w:ascii="Arial" w:hAnsi="Arial" w:cs="Arial"/>
        </w:rPr>
        <w:t>‘</w:t>
      </w:r>
      <w:r w:rsidR="00DF4D19" w:rsidRPr="003E6A7E">
        <w:rPr>
          <w:rFonts w:ascii="Arial" w:hAnsi="Arial" w:cs="Arial"/>
        </w:rPr>
        <w:t>service life</w:t>
      </w:r>
      <w:r w:rsidR="00F40C19">
        <w:rPr>
          <w:rFonts w:ascii="Arial" w:hAnsi="Arial" w:cs="Arial"/>
        </w:rPr>
        <w:t>’</w:t>
      </w:r>
      <w:r w:rsidR="003E19FB" w:rsidRPr="003E6A7E">
        <w:rPr>
          <w:rFonts w:ascii="Arial" w:hAnsi="Arial" w:cs="Arial"/>
        </w:rPr>
        <w:t xml:space="preserve"> </w:t>
      </w:r>
      <w:r w:rsidR="00DA1997" w:rsidRPr="003E6A7E">
        <w:rPr>
          <w:rFonts w:ascii="Arial" w:hAnsi="Arial" w:cs="Arial"/>
        </w:rPr>
        <w:t>r</w:t>
      </w:r>
      <w:r w:rsidR="003E19FB" w:rsidRPr="003E6A7E">
        <w:rPr>
          <w:rFonts w:ascii="Arial" w:hAnsi="Arial" w:cs="Arial"/>
        </w:rPr>
        <w:t>epresent</w:t>
      </w:r>
      <w:r w:rsidR="00DF4D19" w:rsidRPr="003E6A7E">
        <w:rPr>
          <w:rFonts w:ascii="Arial" w:hAnsi="Arial" w:cs="Arial"/>
        </w:rPr>
        <w:t>s</w:t>
      </w:r>
      <w:r w:rsidR="003E19FB" w:rsidRPr="003E6A7E">
        <w:rPr>
          <w:rFonts w:ascii="Arial" w:hAnsi="Arial" w:cs="Arial"/>
        </w:rPr>
        <w:t xml:space="preserve"> a smaller </w:t>
      </w:r>
      <w:r w:rsidR="00DA1997" w:rsidRPr="003E6A7E">
        <w:rPr>
          <w:rFonts w:ascii="Arial" w:hAnsi="Arial" w:cs="Arial"/>
        </w:rPr>
        <w:t>portion of overall emissions</w:t>
      </w:r>
      <w:r w:rsidR="00A3537C" w:rsidRPr="003E6A7E">
        <w:rPr>
          <w:rFonts w:ascii="Arial" w:hAnsi="Arial" w:cs="Arial"/>
        </w:rPr>
        <w:t>;</w:t>
      </w:r>
      <w:r w:rsidR="00DA1997" w:rsidRPr="003E6A7E">
        <w:rPr>
          <w:rFonts w:ascii="Arial" w:hAnsi="Arial" w:cs="Arial"/>
        </w:rPr>
        <w:t xml:space="preserve"> </w:t>
      </w:r>
      <w:r w:rsidR="00A3537C" w:rsidRPr="003E6A7E">
        <w:rPr>
          <w:rFonts w:ascii="Arial" w:hAnsi="Arial" w:cs="Arial"/>
        </w:rPr>
        <w:t xml:space="preserve">it is difficult to quantify </w:t>
      </w:r>
      <w:r w:rsidR="00E21A5B" w:rsidRPr="003E6A7E">
        <w:rPr>
          <w:rFonts w:ascii="Arial" w:hAnsi="Arial" w:cs="Arial"/>
        </w:rPr>
        <w:t xml:space="preserve">and there is minimal </w:t>
      </w:r>
      <w:r w:rsidR="00931FC0" w:rsidRPr="003E6A7E">
        <w:rPr>
          <w:rFonts w:ascii="Arial" w:hAnsi="Arial" w:cs="Arial"/>
        </w:rPr>
        <w:t>regulation and taxes in place</w:t>
      </w:r>
      <w:r w:rsidR="007D1BBD" w:rsidRPr="003E6A7E">
        <w:rPr>
          <w:rFonts w:ascii="Arial" w:hAnsi="Arial" w:cs="Arial"/>
        </w:rPr>
        <w:t xml:space="preserve"> (Mott M</w:t>
      </w:r>
      <w:r w:rsidR="007F21F0" w:rsidRPr="003E6A7E">
        <w:rPr>
          <w:rFonts w:ascii="Arial" w:hAnsi="Arial" w:cs="Arial"/>
        </w:rPr>
        <w:t>acdonald, 2012)</w:t>
      </w:r>
      <w:r w:rsidR="00573F9E">
        <w:rPr>
          <w:rFonts w:ascii="Arial" w:hAnsi="Arial" w:cs="Arial"/>
        </w:rPr>
        <w:t>.</w:t>
      </w:r>
    </w:p>
    <w:p w14:paraId="048667F3" w14:textId="0ACD9CEC" w:rsidR="00D03CD5" w:rsidRPr="003E6A7E" w:rsidRDefault="00E6176C" w:rsidP="004A2DD4">
      <w:pPr>
        <w:spacing w:line="360" w:lineRule="auto"/>
        <w:jc w:val="both"/>
        <w:rPr>
          <w:rFonts w:ascii="Arial" w:hAnsi="Arial" w:cs="Arial"/>
        </w:rPr>
      </w:pPr>
      <w:r w:rsidRPr="003E6A7E">
        <w:rPr>
          <w:rFonts w:ascii="Arial" w:hAnsi="Arial" w:cs="Arial"/>
        </w:rPr>
        <w:t>Du</w:t>
      </w:r>
      <w:r w:rsidR="0070778F" w:rsidRPr="003E6A7E">
        <w:rPr>
          <w:rFonts w:ascii="Arial" w:hAnsi="Arial" w:cs="Arial"/>
        </w:rPr>
        <w:t xml:space="preserve"> &amp; </w:t>
      </w:r>
      <w:r w:rsidRPr="003E6A7E">
        <w:rPr>
          <w:rFonts w:ascii="Arial" w:hAnsi="Arial" w:cs="Arial"/>
        </w:rPr>
        <w:t xml:space="preserve">Karoumi (2012) </w:t>
      </w:r>
      <w:r w:rsidR="001F4164" w:rsidRPr="003E6A7E">
        <w:rPr>
          <w:rFonts w:ascii="Arial" w:hAnsi="Arial" w:cs="Arial"/>
        </w:rPr>
        <w:t>carried out a research on the life cycle assessment framework for railway bridges and a</w:t>
      </w:r>
      <w:r w:rsidR="008D5894" w:rsidRPr="003E6A7E">
        <w:rPr>
          <w:rFonts w:ascii="Arial" w:hAnsi="Arial" w:cs="Arial"/>
        </w:rPr>
        <w:t>r</w:t>
      </w:r>
      <w:r w:rsidR="001F4164" w:rsidRPr="003E6A7E">
        <w:rPr>
          <w:rFonts w:ascii="Arial" w:hAnsi="Arial" w:cs="Arial"/>
        </w:rPr>
        <w:t xml:space="preserve">gues that the </w:t>
      </w:r>
      <w:r w:rsidR="00197527" w:rsidRPr="003E6A7E">
        <w:rPr>
          <w:rFonts w:ascii="Arial" w:hAnsi="Arial" w:cs="Arial"/>
        </w:rPr>
        <w:t>environmental</w:t>
      </w:r>
      <w:r w:rsidR="00AF6547" w:rsidRPr="003E6A7E">
        <w:rPr>
          <w:rFonts w:ascii="Arial" w:hAnsi="Arial" w:cs="Arial"/>
        </w:rPr>
        <w:t xml:space="preserve"> burdens during the service life of bridges represent </w:t>
      </w:r>
      <w:r w:rsidR="00BE4C7F" w:rsidRPr="003E6A7E">
        <w:rPr>
          <w:rFonts w:ascii="Arial" w:hAnsi="Arial" w:cs="Arial"/>
        </w:rPr>
        <w:t xml:space="preserve">a larger portion </w:t>
      </w:r>
      <w:r w:rsidR="00EF7291" w:rsidRPr="003E6A7E">
        <w:rPr>
          <w:rFonts w:ascii="Arial" w:hAnsi="Arial" w:cs="Arial"/>
        </w:rPr>
        <w:t xml:space="preserve">of </w:t>
      </w:r>
      <w:r w:rsidR="001F4573" w:rsidRPr="003E6A7E">
        <w:rPr>
          <w:rFonts w:ascii="Arial" w:hAnsi="Arial" w:cs="Arial"/>
        </w:rPr>
        <w:t>the overall</w:t>
      </w:r>
      <w:r w:rsidRPr="003E6A7E">
        <w:rPr>
          <w:rFonts w:ascii="Arial" w:hAnsi="Arial" w:cs="Arial"/>
        </w:rPr>
        <w:t xml:space="preserve"> environmental</w:t>
      </w:r>
      <w:r w:rsidR="001F4573" w:rsidRPr="003E6A7E">
        <w:rPr>
          <w:rFonts w:ascii="Arial" w:hAnsi="Arial" w:cs="Arial"/>
        </w:rPr>
        <w:t xml:space="preserve"> impact due to</w:t>
      </w:r>
      <w:r w:rsidR="00526195" w:rsidRPr="003E6A7E">
        <w:rPr>
          <w:rFonts w:ascii="Arial" w:hAnsi="Arial" w:cs="Arial"/>
        </w:rPr>
        <w:t xml:space="preserve"> the</w:t>
      </w:r>
      <w:r w:rsidR="001F4573" w:rsidRPr="003E6A7E">
        <w:rPr>
          <w:rFonts w:ascii="Arial" w:hAnsi="Arial" w:cs="Arial"/>
        </w:rPr>
        <w:t xml:space="preserve"> subsequent traffic dis</w:t>
      </w:r>
      <w:r w:rsidRPr="003E6A7E">
        <w:rPr>
          <w:rFonts w:ascii="Arial" w:hAnsi="Arial" w:cs="Arial"/>
        </w:rPr>
        <w:t>t</w:t>
      </w:r>
      <w:r w:rsidR="001F4573" w:rsidRPr="003E6A7E">
        <w:rPr>
          <w:rFonts w:ascii="Arial" w:hAnsi="Arial" w:cs="Arial"/>
        </w:rPr>
        <w:t>urbances.</w:t>
      </w:r>
      <w:r w:rsidRPr="003E6A7E">
        <w:rPr>
          <w:rFonts w:ascii="Arial" w:hAnsi="Arial" w:cs="Arial"/>
        </w:rPr>
        <w:t xml:space="preserve"> However, Du </w:t>
      </w:r>
      <w:r w:rsidR="007E3AF0" w:rsidRPr="003E6A7E">
        <w:rPr>
          <w:rFonts w:ascii="Arial" w:hAnsi="Arial" w:cs="Arial"/>
        </w:rPr>
        <w:t>&amp;</w:t>
      </w:r>
      <w:r w:rsidRPr="003E6A7E">
        <w:rPr>
          <w:rFonts w:ascii="Arial" w:hAnsi="Arial" w:cs="Arial"/>
        </w:rPr>
        <w:t xml:space="preserve"> Karoumi (2012) </w:t>
      </w:r>
      <w:r w:rsidR="00526195" w:rsidRPr="003E6A7E">
        <w:rPr>
          <w:rFonts w:ascii="Arial" w:hAnsi="Arial" w:cs="Arial"/>
        </w:rPr>
        <w:t xml:space="preserve">also </w:t>
      </w:r>
      <w:r w:rsidRPr="003E6A7E">
        <w:rPr>
          <w:rFonts w:ascii="Arial" w:hAnsi="Arial" w:cs="Arial"/>
        </w:rPr>
        <w:t>states</w:t>
      </w:r>
      <w:r w:rsidR="00681498">
        <w:rPr>
          <w:rFonts w:ascii="Arial" w:hAnsi="Arial" w:cs="Arial"/>
        </w:rPr>
        <w:t>;</w:t>
      </w:r>
      <w:r w:rsidRPr="003E6A7E">
        <w:rPr>
          <w:rFonts w:ascii="Arial" w:hAnsi="Arial" w:cs="Arial"/>
        </w:rPr>
        <w:t xml:space="preserve"> </w:t>
      </w:r>
    </w:p>
    <w:p w14:paraId="4196E600" w14:textId="0C854E37" w:rsidR="00FF6FEB" w:rsidRPr="003E6A7E" w:rsidRDefault="00D03CD5" w:rsidP="004A2DD4">
      <w:pPr>
        <w:spacing w:line="360" w:lineRule="auto"/>
        <w:ind w:left="720"/>
        <w:jc w:val="both"/>
        <w:rPr>
          <w:rFonts w:ascii="Arial" w:hAnsi="Arial" w:cs="Arial"/>
        </w:rPr>
      </w:pPr>
      <w:r w:rsidRPr="003E6A7E">
        <w:rPr>
          <w:rFonts w:ascii="Arial" w:hAnsi="Arial" w:cs="Arial"/>
        </w:rPr>
        <w:t>‘</w:t>
      </w:r>
      <w:r w:rsidRPr="00356EA7">
        <w:rPr>
          <w:rFonts w:ascii="Arial" w:hAnsi="Arial" w:cs="Arial"/>
        </w:rPr>
        <w:t>’</w:t>
      </w:r>
      <w:r w:rsidR="00356EA7">
        <w:rPr>
          <w:rFonts w:ascii="Arial" w:hAnsi="Arial" w:cs="Arial"/>
          <w:i/>
          <w:iCs/>
        </w:rPr>
        <w:t>W</w:t>
      </w:r>
      <w:r w:rsidRPr="00356EA7">
        <w:rPr>
          <w:rFonts w:ascii="Arial" w:hAnsi="Arial" w:cs="Arial"/>
          <w:i/>
          <w:iCs/>
        </w:rPr>
        <w:t>eighting relies on political, monetary, ethical and cultural viewpoints. Since there is no societal consensus on these fundamental values, there is no reason to expect consensus either on weighting factors or on the weighting method, or even on the choice of using a weighting method at all</w:t>
      </w:r>
      <w:r w:rsidR="00EC3F0F">
        <w:rPr>
          <w:rFonts w:ascii="Arial" w:hAnsi="Arial" w:cs="Arial"/>
          <w:i/>
          <w:iCs/>
        </w:rPr>
        <w:t>.</w:t>
      </w:r>
      <w:r w:rsidRPr="00356EA7">
        <w:rPr>
          <w:rFonts w:ascii="Arial" w:hAnsi="Arial" w:cs="Arial"/>
          <w:i/>
          <w:iCs/>
        </w:rPr>
        <w:t>’’</w:t>
      </w:r>
      <w:r w:rsidRPr="003E6A7E">
        <w:rPr>
          <w:rFonts w:ascii="Arial" w:hAnsi="Arial" w:cs="Arial"/>
        </w:rPr>
        <w:t xml:space="preserve"> </w:t>
      </w:r>
      <w:r w:rsidR="005B0E6F" w:rsidRPr="003E6A7E">
        <w:rPr>
          <w:rFonts w:ascii="Arial" w:hAnsi="Arial" w:cs="Arial"/>
        </w:rPr>
        <w:t xml:space="preserve"> </w:t>
      </w:r>
    </w:p>
    <w:p w14:paraId="27536F61" w14:textId="171C032B" w:rsidR="00F07D4C" w:rsidRDefault="00A21B60" w:rsidP="004A2DD4">
      <w:pPr>
        <w:pStyle w:val="CommentText"/>
        <w:spacing w:line="360" w:lineRule="auto"/>
        <w:jc w:val="both"/>
        <w:rPr>
          <w:rFonts w:ascii="Arial" w:hAnsi="Arial" w:cs="Arial"/>
          <w:color w:val="FF0000"/>
        </w:rPr>
      </w:pPr>
      <w:r w:rsidRPr="003E6A7E">
        <w:rPr>
          <w:rFonts w:ascii="Arial" w:hAnsi="Arial" w:cs="Arial"/>
          <w:sz w:val="22"/>
          <w:szCs w:val="22"/>
        </w:rPr>
        <w:t>Recently, a study has been undertaken by Du</w:t>
      </w:r>
      <w:r w:rsidR="00EC5F04">
        <w:rPr>
          <w:rFonts w:ascii="Arial" w:hAnsi="Arial" w:cs="Arial"/>
          <w:sz w:val="22"/>
          <w:szCs w:val="22"/>
        </w:rPr>
        <w:t xml:space="preserve"> et al. </w:t>
      </w:r>
      <w:r w:rsidRPr="003E6A7E">
        <w:rPr>
          <w:rFonts w:ascii="Arial" w:hAnsi="Arial" w:cs="Arial"/>
          <w:sz w:val="22"/>
          <w:szCs w:val="22"/>
        </w:rPr>
        <w:t>(2018)</w:t>
      </w:r>
      <w:r w:rsidR="0093593A" w:rsidRPr="003E6A7E">
        <w:rPr>
          <w:rFonts w:ascii="Arial" w:hAnsi="Arial" w:cs="Arial"/>
          <w:sz w:val="22"/>
          <w:szCs w:val="22"/>
        </w:rPr>
        <w:t xml:space="preserve"> to determine </w:t>
      </w:r>
      <w:r w:rsidR="00096BDF" w:rsidRPr="003E6A7E">
        <w:rPr>
          <w:rFonts w:ascii="Arial" w:hAnsi="Arial" w:cs="Arial"/>
          <w:sz w:val="22"/>
          <w:szCs w:val="22"/>
        </w:rPr>
        <w:t xml:space="preserve">an alternative design solution for short spans considering LCA. </w:t>
      </w:r>
      <w:r w:rsidR="003E2BC7" w:rsidRPr="003E6A7E">
        <w:rPr>
          <w:rFonts w:ascii="Arial" w:hAnsi="Arial" w:cs="Arial"/>
          <w:sz w:val="22"/>
          <w:szCs w:val="22"/>
        </w:rPr>
        <w:t xml:space="preserve">In the study the environmental impacts were monetised </w:t>
      </w:r>
      <w:r w:rsidR="00167664" w:rsidRPr="003E6A7E">
        <w:rPr>
          <w:rFonts w:ascii="Arial" w:hAnsi="Arial" w:cs="Arial"/>
          <w:sz w:val="22"/>
          <w:szCs w:val="22"/>
        </w:rPr>
        <w:t xml:space="preserve">using two different weighting approaches, Ecovalue 08 </w:t>
      </w:r>
      <w:r w:rsidR="003C3011" w:rsidRPr="003E6A7E">
        <w:rPr>
          <w:rFonts w:ascii="Arial" w:hAnsi="Arial" w:cs="Arial"/>
          <w:sz w:val="22"/>
          <w:szCs w:val="22"/>
        </w:rPr>
        <w:t>(</w:t>
      </w:r>
      <w:r w:rsidR="00167664" w:rsidRPr="003E6A7E">
        <w:rPr>
          <w:rFonts w:ascii="Arial" w:hAnsi="Arial" w:cs="Arial"/>
          <w:sz w:val="22"/>
          <w:szCs w:val="22"/>
        </w:rPr>
        <w:t>with updated value of Eco</w:t>
      </w:r>
      <w:r w:rsidR="003C3011" w:rsidRPr="003E6A7E">
        <w:rPr>
          <w:rFonts w:ascii="Arial" w:hAnsi="Arial" w:cs="Arial"/>
          <w:sz w:val="22"/>
          <w:szCs w:val="22"/>
        </w:rPr>
        <w:t>value 12) &amp;</w:t>
      </w:r>
      <w:r w:rsidR="002C5F0A" w:rsidRPr="003E6A7E">
        <w:rPr>
          <w:rFonts w:ascii="Arial" w:hAnsi="Arial" w:cs="Arial"/>
          <w:sz w:val="22"/>
          <w:szCs w:val="22"/>
        </w:rPr>
        <w:t xml:space="preserve"> Ecotax02 to determine the environmental cost of each design</w:t>
      </w:r>
      <w:r w:rsidR="007E2D94">
        <w:rPr>
          <w:rFonts w:ascii="Arial" w:hAnsi="Arial" w:cs="Arial"/>
          <w:sz w:val="22"/>
          <w:szCs w:val="22"/>
        </w:rPr>
        <w:t xml:space="preserve">. Ecovalue and Ecotax02 </w:t>
      </w:r>
      <w:r w:rsidR="001B4211">
        <w:rPr>
          <w:rFonts w:ascii="Arial" w:hAnsi="Arial" w:cs="Arial"/>
          <w:sz w:val="22"/>
          <w:szCs w:val="22"/>
        </w:rPr>
        <w:t>are shown</w:t>
      </w:r>
      <w:r w:rsidR="00784C1B" w:rsidRPr="003E6A7E">
        <w:rPr>
          <w:rFonts w:ascii="Arial" w:hAnsi="Arial" w:cs="Arial"/>
          <w:sz w:val="22"/>
          <w:szCs w:val="22"/>
        </w:rPr>
        <w:t xml:space="preserve"> Table 1</w:t>
      </w:r>
      <w:r w:rsidR="00F07D4C" w:rsidRPr="003E6A7E">
        <w:rPr>
          <w:rFonts w:ascii="Arial" w:hAnsi="Arial" w:cs="Arial"/>
          <w:sz w:val="22"/>
          <w:szCs w:val="22"/>
        </w:rPr>
        <w:t xml:space="preserve">. </w:t>
      </w:r>
    </w:p>
    <w:tbl>
      <w:tblPr>
        <w:tblStyle w:val="TableGrid"/>
        <w:tblW w:w="0" w:type="auto"/>
        <w:tblInd w:w="0" w:type="dxa"/>
        <w:tblLook w:val="04A0" w:firstRow="1" w:lastRow="0" w:firstColumn="1" w:lastColumn="0" w:noHBand="0" w:noVBand="1"/>
      </w:tblPr>
      <w:tblGrid>
        <w:gridCol w:w="2949"/>
        <w:gridCol w:w="1170"/>
        <w:gridCol w:w="1607"/>
        <w:gridCol w:w="1645"/>
        <w:gridCol w:w="1645"/>
      </w:tblGrid>
      <w:tr w:rsidR="00177C49" w14:paraId="0DBD6BD5" w14:textId="77777777" w:rsidTr="00741D9B">
        <w:tc>
          <w:tcPr>
            <w:tcW w:w="9016" w:type="dxa"/>
            <w:gridSpan w:val="5"/>
            <w:shd w:val="clear" w:color="auto" w:fill="1A0FA4" w:themeFill="accent1" w:themeFillShade="BF"/>
          </w:tcPr>
          <w:p w14:paraId="1F0B5732" w14:textId="58F1DA2B" w:rsidR="0053019D" w:rsidRPr="004811F4" w:rsidRDefault="00041AAD" w:rsidP="0072468A">
            <w:pPr>
              <w:jc w:val="center"/>
              <w:rPr>
                <w:rFonts w:ascii="Arial" w:hAnsi="Arial" w:cs="Arial"/>
              </w:rPr>
            </w:pPr>
            <w:r w:rsidRPr="004052E6">
              <w:rPr>
                <w:rFonts w:ascii="Arial" w:hAnsi="Arial" w:cs="Arial"/>
                <w:b/>
                <w:bCs/>
              </w:rPr>
              <w:t>C</w:t>
            </w:r>
            <w:r w:rsidR="009321E0" w:rsidRPr="004052E6">
              <w:rPr>
                <w:rFonts w:ascii="Arial" w:hAnsi="Arial" w:cs="Arial"/>
                <w:b/>
                <w:bCs/>
              </w:rPr>
              <w:t>haracterized environmental impact categories and monetary weighting factors</w:t>
            </w:r>
            <w:r w:rsidR="0053019D">
              <w:rPr>
                <w:rFonts w:ascii="Arial" w:hAnsi="Arial" w:cs="Arial"/>
                <w:b/>
                <w:bCs/>
              </w:rPr>
              <w:t xml:space="preserve"> </w:t>
            </w:r>
            <w:r w:rsidR="0053019D" w:rsidRPr="0053019D">
              <w:rPr>
                <w:rFonts w:ascii="Arial" w:hAnsi="Arial" w:cs="Arial"/>
                <w:b/>
                <w:bCs/>
              </w:rPr>
              <w:t>(Du</w:t>
            </w:r>
            <w:r w:rsidR="00EC5F04">
              <w:rPr>
                <w:rFonts w:ascii="Arial" w:hAnsi="Arial" w:cs="Arial"/>
                <w:b/>
                <w:bCs/>
              </w:rPr>
              <w:t xml:space="preserve"> et al.</w:t>
            </w:r>
            <w:r w:rsidR="0053019D" w:rsidRPr="0053019D">
              <w:rPr>
                <w:rFonts w:ascii="Arial" w:hAnsi="Arial" w:cs="Arial"/>
                <w:b/>
                <w:bCs/>
              </w:rPr>
              <w:t>, 2018)</w:t>
            </w:r>
          </w:p>
          <w:p w14:paraId="16D53E22" w14:textId="111CD256" w:rsidR="00177C49" w:rsidRPr="004052E6" w:rsidRDefault="00177C49" w:rsidP="00F07D4C">
            <w:pPr>
              <w:rPr>
                <w:rFonts w:ascii="Arial" w:hAnsi="Arial" w:cs="Arial"/>
                <w:b/>
                <w:bCs/>
              </w:rPr>
            </w:pPr>
          </w:p>
        </w:tc>
      </w:tr>
      <w:tr w:rsidR="003E3582" w14:paraId="1E10BB8C" w14:textId="77777777" w:rsidTr="0072468A">
        <w:tc>
          <w:tcPr>
            <w:tcW w:w="3363" w:type="dxa"/>
            <w:shd w:val="clear" w:color="auto" w:fill="99CCFF"/>
          </w:tcPr>
          <w:p w14:paraId="36DE76D0" w14:textId="641160C7" w:rsidR="003E3582" w:rsidRPr="00781689" w:rsidRDefault="007431BE" w:rsidP="00F07D4C">
            <w:pPr>
              <w:rPr>
                <w:rFonts w:ascii="Arial" w:hAnsi="Arial" w:cs="Arial"/>
                <w:b/>
                <w:bCs/>
                <w:color w:val="1A0FA4" w:themeColor="accent1" w:themeShade="BF"/>
              </w:rPr>
            </w:pPr>
            <w:r w:rsidRPr="00781689">
              <w:rPr>
                <w:rFonts w:ascii="Arial" w:hAnsi="Arial" w:cs="Arial"/>
                <w:b/>
                <w:bCs/>
                <w:color w:val="1A0FA4" w:themeColor="accent1" w:themeShade="BF"/>
              </w:rPr>
              <w:t>Environmental impact category</w:t>
            </w:r>
          </w:p>
        </w:tc>
        <w:tc>
          <w:tcPr>
            <w:tcW w:w="243" w:type="dxa"/>
            <w:shd w:val="clear" w:color="auto" w:fill="99CCFF"/>
          </w:tcPr>
          <w:p w14:paraId="0F80D864" w14:textId="7D021238" w:rsidR="003E3582" w:rsidRPr="00781689" w:rsidRDefault="007431BE" w:rsidP="00F07D4C">
            <w:pPr>
              <w:rPr>
                <w:rFonts w:ascii="Arial" w:hAnsi="Arial" w:cs="Arial"/>
                <w:b/>
                <w:bCs/>
                <w:color w:val="1A0FA4" w:themeColor="accent1" w:themeShade="BF"/>
              </w:rPr>
            </w:pPr>
            <w:r w:rsidRPr="00781689">
              <w:rPr>
                <w:rFonts w:ascii="Arial" w:hAnsi="Arial" w:cs="Arial"/>
                <w:b/>
                <w:bCs/>
                <w:color w:val="1A0FA4" w:themeColor="accent1" w:themeShade="BF"/>
              </w:rPr>
              <w:t>Acron</w:t>
            </w:r>
            <w:r w:rsidR="001465C2" w:rsidRPr="00781689">
              <w:rPr>
                <w:rFonts w:ascii="Arial" w:hAnsi="Arial" w:cs="Arial"/>
                <w:b/>
                <w:bCs/>
                <w:color w:val="1A0FA4" w:themeColor="accent1" w:themeShade="BF"/>
              </w:rPr>
              <w:t>ym</w:t>
            </w:r>
          </w:p>
        </w:tc>
        <w:tc>
          <w:tcPr>
            <w:tcW w:w="1803" w:type="dxa"/>
            <w:shd w:val="clear" w:color="auto" w:fill="99CCFF"/>
          </w:tcPr>
          <w:p w14:paraId="5CFA2B19" w14:textId="4D5B026D" w:rsidR="003E3582" w:rsidRPr="00781689" w:rsidRDefault="001465C2" w:rsidP="00F07D4C">
            <w:pPr>
              <w:rPr>
                <w:rFonts w:ascii="Arial" w:hAnsi="Arial" w:cs="Arial"/>
                <w:b/>
                <w:bCs/>
                <w:color w:val="1A0FA4" w:themeColor="accent1" w:themeShade="BF"/>
              </w:rPr>
            </w:pPr>
            <w:r w:rsidRPr="00781689">
              <w:rPr>
                <w:rFonts w:ascii="Arial" w:hAnsi="Arial" w:cs="Arial"/>
                <w:b/>
                <w:bCs/>
                <w:color w:val="1A0FA4" w:themeColor="accent1" w:themeShade="BF"/>
              </w:rPr>
              <w:t>Unit</w:t>
            </w:r>
          </w:p>
        </w:tc>
        <w:tc>
          <w:tcPr>
            <w:tcW w:w="1803" w:type="dxa"/>
            <w:shd w:val="clear" w:color="auto" w:fill="99CCFF"/>
          </w:tcPr>
          <w:p w14:paraId="045455D2" w14:textId="669B618D" w:rsidR="003E3582" w:rsidRPr="00781689" w:rsidRDefault="001465C2" w:rsidP="00F07D4C">
            <w:pPr>
              <w:rPr>
                <w:rFonts w:ascii="Arial" w:hAnsi="Arial" w:cs="Arial"/>
                <w:b/>
                <w:bCs/>
                <w:color w:val="1A0FA4" w:themeColor="accent1" w:themeShade="BF"/>
              </w:rPr>
            </w:pPr>
            <w:r w:rsidRPr="00781689">
              <w:rPr>
                <w:rFonts w:ascii="Arial" w:hAnsi="Arial" w:cs="Arial"/>
                <w:b/>
                <w:bCs/>
                <w:color w:val="1A0FA4" w:themeColor="accent1" w:themeShade="BF"/>
              </w:rPr>
              <w:t>Ecovalue (SEK)</w:t>
            </w:r>
          </w:p>
        </w:tc>
        <w:tc>
          <w:tcPr>
            <w:tcW w:w="1804" w:type="dxa"/>
            <w:shd w:val="clear" w:color="auto" w:fill="99CCFF"/>
          </w:tcPr>
          <w:p w14:paraId="326D16CE" w14:textId="21BD6597" w:rsidR="003E3582" w:rsidRPr="00781689" w:rsidRDefault="001465C2" w:rsidP="00F07D4C">
            <w:pPr>
              <w:rPr>
                <w:rFonts w:ascii="Arial" w:hAnsi="Arial" w:cs="Arial"/>
                <w:b/>
                <w:bCs/>
                <w:color w:val="1A0FA4" w:themeColor="accent1" w:themeShade="BF"/>
              </w:rPr>
            </w:pPr>
            <w:r w:rsidRPr="00781689">
              <w:rPr>
                <w:rFonts w:ascii="Arial" w:hAnsi="Arial" w:cs="Arial"/>
                <w:b/>
                <w:bCs/>
                <w:color w:val="1A0FA4" w:themeColor="accent1" w:themeShade="BF"/>
              </w:rPr>
              <w:t>Ecotax02 (SEK)</w:t>
            </w:r>
          </w:p>
        </w:tc>
      </w:tr>
      <w:tr w:rsidR="003E3582" w14:paraId="727B158E" w14:textId="77777777" w:rsidTr="0072468A">
        <w:tc>
          <w:tcPr>
            <w:tcW w:w="3363" w:type="dxa"/>
          </w:tcPr>
          <w:p w14:paraId="02F7B41E" w14:textId="1EF25146" w:rsidR="003E3582" w:rsidRPr="004052E6" w:rsidRDefault="00A0033D" w:rsidP="00F07D4C">
            <w:pPr>
              <w:rPr>
                <w:rFonts w:ascii="Arial" w:hAnsi="Arial" w:cs="Arial"/>
              </w:rPr>
            </w:pPr>
            <w:r w:rsidRPr="004052E6">
              <w:rPr>
                <w:rFonts w:ascii="Arial" w:hAnsi="Arial" w:cs="Arial"/>
              </w:rPr>
              <w:t>Global warming</w:t>
            </w:r>
          </w:p>
        </w:tc>
        <w:tc>
          <w:tcPr>
            <w:tcW w:w="243" w:type="dxa"/>
          </w:tcPr>
          <w:p w14:paraId="73C59699" w14:textId="579588AA" w:rsidR="003E3582" w:rsidRPr="004052E6" w:rsidRDefault="00B97995" w:rsidP="00F07D4C">
            <w:pPr>
              <w:rPr>
                <w:rFonts w:ascii="Arial" w:hAnsi="Arial" w:cs="Arial"/>
              </w:rPr>
            </w:pPr>
            <w:r>
              <w:rPr>
                <w:rFonts w:ascii="Arial" w:hAnsi="Arial" w:cs="Arial"/>
              </w:rPr>
              <w:t>GWP</w:t>
            </w:r>
          </w:p>
        </w:tc>
        <w:tc>
          <w:tcPr>
            <w:tcW w:w="1803" w:type="dxa"/>
          </w:tcPr>
          <w:p w14:paraId="7E2F5228" w14:textId="1A87ECBA" w:rsidR="003E3582" w:rsidRPr="004052E6" w:rsidRDefault="009E1D42" w:rsidP="00F07D4C">
            <w:pPr>
              <w:rPr>
                <w:rFonts w:ascii="Arial" w:hAnsi="Arial" w:cs="Arial"/>
              </w:rPr>
            </w:pPr>
            <w:r>
              <w:rPr>
                <w:rFonts w:ascii="Arial" w:hAnsi="Arial" w:cs="Arial"/>
              </w:rPr>
              <w:t>Kg CO</w:t>
            </w:r>
            <w:r>
              <w:rPr>
                <w:rFonts w:ascii="Arial" w:hAnsi="Arial" w:cs="Arial"/>
                <w:vertAlign w:val="subscript"/>
              </w:rPr>
              <w:t>2</w:t>
            </w:r>
            <w:r>
              <w:rPr>
                <w:rFonts w:ascii="Arial" w:hAnsi="Arial" w:cs="Arial"/>
              </w:rPr>
              <w:t xml:space="preserve"> eq.</w:t>
            </w:r>
          </w:p>
        </w:tc>
        <w:tc>
          <w:tcPr>
            <w:tcW w:w="1803" w:type="dxa"/>
          </w:tcPr>
          <w:p w14:paraId="786FD2EC" w14:textId="2F73B44C" w:rsidR="003E3582" w:rsidRPr="004052E6" w:rsidRDefault="00136768" w:rsidP="00F07D4C">
            <w:pPr>
              <w:rPr>
                <w:rFonts w:ascii="Arial" w:hAnsi="Arial" w:cs="Arial"/>
              </w:rPr>
            </w:pPr>
            <w:r>
              <w:rPr>
                <w:rFonts w:ascii="Arial" w:hAnsi="Arial" w:cs="Arial"/>
              </w:rPr>
              <w:t>2,85</w:t>
            </w:r>
          </w:p>
        </w:tc>
        <w:tc>
          <w:tcPr>
            <w:tcW w:w="1804" w:type="dxa"/>
          </w:tcPr>
          <w:p w14:paraId="74FB9474" w14:textId="59E92798" w:rsidR="003E3582" w:rsidRPr="004052E6" w:rsidRDefault="009E1D42" w:rsidP="00F07D4C">
            <w:pPr>
              <w:rPr>
                <w:rFonts w:ascii="Arial" w:hAnsi="Arial" w:cs="Arial"/>
              </w:rPr>
            </w:pPr>
            <w:r>
              <w:rPr>
                <w:rFonts w:ascii="Arial" w:hAnsi="Arial" w:cs="Arial"/>
              </w:rPr>
              <w:t>0,63</w:t>
            </w:r>
          </w:p>
        </w:tc>
      </w:tr>
      <w:tr w:rsidR="003E3582" w14:paraId="032AF8C4" w14:textId="77777777" w:rsidTr="0072468A">
        <w:tc>
          <w:tcPr>
            <w:tcW w:w="3363" w:type="dxa"/>
          </w:tcPr>
          <w:p w14:paraId="76F6ECAE" w14:textId="79429EAF" w:rsidR="003E3582" w:rsidRPr="004052E6" w:rsidRDefault="00A0033D" w:rsidP="00F07D4C">
            <w:pPr>
              <w:rPr>
                <w:rFonts w:ascii="Arial" w:hAnsi="Arial" w:cs="Arial"/>
              </w:rPr>
            </w:pPr>
            <w:r w:rsidRPr="004052E6">
              <w:rPr>
                <w:rFonts w:ascii="Arial" w:hAnsi="Arial" w:cs="Arial"/>
              </w:rPr>
              <w:t>Ozone</w:t>
            </w:r>
            <w:r w:rsidR="004052E6" w:rsidRPr="004052E6">
              <w:rPr>
                <w:rFonts w:ascii="Arial" w:hAnsi="Arial" w:cs="Arial"/>
              </w:rPr>
              <w:t xml:space="preserve"> depletion</w:t>
            </w:r>
          </w:p>
        </w:tc>
        <w:tc>
          <w:tcPr>
            <w:tcW w:w="243" w:type="dxa"/>
          </w:tcPr>
          <w:p w14:paraId="79E2D867" w14:textId="60ADA7B3" w:rsidR="003E3582" w:rsidRPr="004052E6" w:rsidRDefault="00B97995" w:rsidP="00F07D4C">
            <w:pPr>
              <w:rPr>
                <w:rFonts w:ascii="Arial" w:hAnsi="Arial" w:cs="Arial"/>
              </w:rPr>
            </w:pPr>
            <w:r>
              <w:rPr>
                <w:rFonts w:ascii="Arial" w:hAnsi="Arial" w:cs="Arial"/>
              </w:rPr>
              <w:t>ODP</w:t>
            </w:r>
          </w:p>
        </w:tc>
        <w:tc>
          <w:tcPr>
            <w:tcW w:w="1803" w:type="dxa"/>
          </w:tcPr>
          <w:p w14:paraId="0E94D7BD" w14:textId="35A74404" w:rsidR="003E3582" w:rsidRPr="00136768" w:rsidRDefault="009E1D42" w:rsidP="00F07D4C">
            <w:pPr>
              <w:rPr>
                <w:rFonts w:ascii="Arial" w:hAnsi="Arial" w:cs="Arial"/>
              </w:rPr>
            </w:pPr>
            <w:r>
              <w:rPr>
                <w:rFonts w:ascii="Arial" w:hAnsi="Arial" w:cs="Arial"/>
              </w:rPr>
              <w:t>Kg CFC-11 eq.</w:t>
            </w:r>
          </w:p>
        </w:tc>
        <w:tc>
          <w:tcPr>
            <w:tcW w:w="1803" w:type="dxa"/>
          </w:tcPr>
          <w:p w14:paraId="7F252BEC" w14:textId="627A93C2" w:rsidR="003E3582" w:rsidRPr="004052E6" w:rsidRDefault="00E26E13" w:rsidP="00F07D4C">
            <w:pPr>
              <w:rPr>
                <w:rFonts w:ascii="Arial" w:hAnsi="Arial" w:cs="Arial"/>
              </w:rPr>
            </w:pPr>
            <w:r>
              <w:rPr>
                <w:rFonts w:ascii="Arial" w:hAnsi="Arial" w:cs="Arial"/>
              </w:rPr>
              <w:t>-</w:t>
            </w:r>
          </w:p>
        </w:tc>
        <w:tc>
          <w:tcPr>
            <w:tcW w:w="1804" w:type="dxa"/>
          </w:tcPr>
          <w:p w14:paraId="5012FAC3" w14:textId="3169F50C" w:rsidR="003E3582" w:rsidRPr="004052E6" w:rsidRDefault="004244E3" w:rsidP="00F07D4C">
            <w:pPr>
              <w:rPr>
                <w:rFonts w:ascii="Arial" w:hAnsi="Arial" w:cs="Arial"/>
              </w:rPr>
            </w:pPr>
            <w:r>
              <w:rPr>
                <w:rFonts w:ascii="Arial" w:hAnsi="Arial" w:cs="Arial"/>
              </w:rPr>
              <w:t>1200</w:t>
            </w:r>
          </w:p>
        </w:tc>
      </w:tr>
      <w:tr w:rsidR="003E3582" w14:paraId="07BD5EA6" w14:textId="77777777" w:rsidTr="0072468A">
        <w:tc>
          <w:tcPr>
            <w:tcW w:w="3363" w:type="dxa"/>
          </w:tcPr>
          <w:p w14:paraId="2296163A" w14:textId="46E561FE" w:rsidR="003E3582" w:rsidRPr="004052E6" w:rsidRDefault="004052E6" w:rsidP="00F07D4C">
            <w:pPr>
              <w:rPr>
                <w:rFonts w:ascii="Arial" w:hAnsi="Arial" w:cs="Arial"/>
              </w:rPr>
            </w:pPr>
            <w:r w:rsidRPr="004052E6">
              <w:rPr>
                <w:rFonts w:ascii="Arial" w:hAnsi="Arial" w:cs="Arial"/>
              </w:rPr>
              <w:t>Human toxicity</w:t>
            </w:r>
          </w:p>
        </w:tc>
        <w:tc>
          <w:tcPr>
            <w:tcW w:w="243" w:type="dxa"/>
          </w:tcPr>
          <w:p w14:paraId="72DF6A30" w14:textId="4F620893" w:rsidR="003E3582" w:rsidRPr="004052E6" w:rsidRDefault="00B97995" w:rsidP="00F07D4C">
            <w:pPr>
              <w:rPr>
                <w:rFonts w:ascii="Arial" w:hAnsi="Arial" w:cs="Arial"/>
              </w:rPr>
            </w:pPr>
            <w:r>
              <w:rPr>
                <w:rFonts w:ascii="Arial" w:hAnsi="Arial" w:cs="Arial"/>
              </w:rPr>
              <w:t>HTP</w:t>
            </w:r>
          </w:p>
        </w:tc>
        <w:tc>
          <w:tcPr>
            <w:tcW w:w="1803" w:type="dxa"/>
          </w:tcPr>
          <w:p w14:paraId="7FF9B057" w14:textId="7F4EF871" w:rsidR="003E3582" w:rsidRPr="004052E6" w:rsidRDefault="009E1D42" w:rsidP="00F07D4C">
            <w:pPr>
              <w:rPr>
                <w:rFonts w:ascii="Arial" w:hAnsi="Arial" w:cs="Arial"/>
              </w:rPr>
            </w:pPr>
            <w:r>
              <w:rPr>
                <w:rFonts w:ascii="Arial" w:hAnsi="Arial" w:cs="Arial"/>
              </w:rPr>
              <w:t>Kg 1,4</w:t>
            </w:r>
            <w:r w:rsidR="00372A90">
              <w:rPr>
                <w:rFonts w:ascii="Arial" w:hAnsi="Arial" w:cs="Arial"/>
              </w:rPr>
              <w:t>-DB</w:t>
            </w:r>
            <w:r>
              <w:rPr>
                <w:rFonts w:ascii="Arial" w:hAnsi="Arial" w:cs="Arial"/>
              </w:rPr>
              <w:t xml:space="preserve"> eq.</w:t>
            </w:r>
          </w:p>
        </w:tc>
        <w:tc>
          <w:tcPr>
            <w:tcW w:w="1803" w:type="dxa"/>
          </w:tcPr>
          <w:p w14:paraId="28EEF204" w14:textId="2425794A" w:rsidR="003E3582" w:rsidRPr="004052E6" w:rsidRDefault="00E26E13" w:rsidP="00F07D4C">
            <w:pPr>
              <w:rPr>
                <w:rFonts w:ascii="Arial" w:hAnsi="Arial" w:cs="Arial"/>
              </w:rPr>
            </w:pPr>
            <w:r>
              <w:rPr>
                <w:rFonts w:ascii="Arial" w:hAnsi="Arial" w:cs="Arial"/>
              </w:rPr>
              <w:t>2,81</w:t>
            </w:r>
          </w:p>
        </w:tc>
        <w:tc>
          <w:tcPr>
            <w:tcW w:w="1804" w:type="dxa"/>
          </w:tcPr>
          <w:p w14:paraId="71C75965" w14:textId="14310DA0" w:rsidR="003E3582" w:rsidRPr="004052E6" w:rsidRDefault="004244E3" w:rsidP="00F07D4C">
            <w:pPr>
              <w:rPr>
                <w:rFonts w:ascii="Arial" w:hAnsi="Arial" w:cs="Arial"/>
              </w:rPr>
            </w:pPr>
            <w:r>
              <w:rPr>
                <w:rFonts w:ascii="Arial" w:hAnsi="Arial" w:cs="Arial"/>
              </w:rPr>
              <w:t>1,5</w:t>
            </w:r>
          </w:p>
        </w:tc>
      </w:tr>
      <w:tr w:rsidR="003E3582" w14:paraId="2F325F5F" w14:textId="77777777" w:rsidTr="0072468A">
        <w:tc>
          <w:tcPr>
            <w:tcW w:w="3363" w:type="dxa"/>
          </w:tcPr>
          <w:p w14:paraId="06E4A99A" w14:textId="652E9201" w:rsidR="003E3582" w:rsidRPr="004052E6" w:rsidRDefault="004052E6" w:rsidP="00F07D4C">
            <w:pPr>
              <w:rPr>
                <w:rFonts w:ascii="Arial" w:hAnsi="Arial" w:cs="Arial"/>
              </w:rPr>
            </w:pPr>
            <w:r>
              <w:rPr>
                <w:rFonts w:ascii="Arial" w:hAnsi="Arial" w:cs="Arial"/>
              </w:rPr>
              <w:t>Photo</w:t>
            </w:r>
            <w:r w:rsidR="005B192A">
              <w:rPr>
                <w:rFonts w:ascii="Arial" w:hAnsi="Arial" w:cs="Arial"/>
              </w:rPr>
              <w:t>chemical oxidant</w:t>
            </w:r>
            <w:r w:rsidR="00EB7E15">
              <w:rPr>
                <w:rFonts w:ascii="Arial" w:hAnsi="Arial" w:cs="Arial"/>
              </w:rPr>
              <w:t xml:space="preserve"> formation</w:t>
            </w:r>
            <w:r w:rsidR="005B192A">
              <w:rPr>
                <w:rFonts w:ascii="Arial" w:hAnsi="Arial" w:cs="Arial"/>
              </w:rPr>
              <w:t xml:space="preserve"> </w:t>
            </w:r>
          </w:p>
        </w:tc>
        <w:tc>
          <w:tcPr>
            <w:tcW w:w="243" w:type="dxa"/>
          </w:tcPr>
          <w:p w14:paraId="0D4B1B44" w14:textId="71BD30F1" w:rsidR="003E3582" w:rsidRPr="004052E6" w:rsidRDefault="00A44C8A" w:rsidP="00F07D4C">
            <w:pPr>
              <w:rPr>
                <w:rFonts w:ascii="Arial" w:hAnsi="Arial" w:cs="Arial"/>
              </w:rPr>
            </w:pPr>
            <w:r>
              <w:rPr>
                <w:rFonts w:ascii="Arial" w:hAnsi="Arial" w:cs="Arial"/>
              </w:rPr>
              <w:t>POFP</w:t>
            </w:r>
          </w:p>
        </w:tc>
        <w:tc>
          <w:tcPr>
            <w:tcW w:w="1803" w:type="dxa"/>
          </w:tcPr>
          <w:p w14:paraId="1561BA86" w14:textId="67D023B4" w:rsidR="003E3582" w:rsidRPr="004052E6" w:rsidRDefault="00372A90" w:rsidP="00F07D4C">
            <w:pPr>
              <w:rPr>
                <w:rFonts w:ascii="Arial" w:hAnsi="Arial" w:cs="Arial"/>
              </w:rPr>
            </w:pPr>
            <w:r>
              <w:rPr>
                <w:rFonts w:ascii="Arial" w:hAnsi="Arial" w:cs="Arial"/>
              </w:rPr>
              <w:t>Kg NMVOC</w:t>
            </w:r>
          </w:p>
        </w:tc>
        <w:tc>
          <w:tcPr>
            <w:tcW w:w="1803" w:type="dxa"/>
          </w:tcPr>
          <w:p w14:paraId="613D70B5" w14:textId="524766DF" w:rsidR="003E3582" w:rsidRPr="004052E6" w:rsidRDefault="00E26E13" w:rsidP="00F07D4C">
            <w:pPr>
              <w:rPr>
                <w:rFonts w:ascii="Arial" w:hAnsi="Arial" w:cs="Arial"/>
              </w:rPr>
            </w:pPr>
            <w:r>
              <w:rPr>
                <w:rFonts w:ascii="Arial" w:hAnsi="Arial" w:cs="Arial"/>
              </w:rPr>
              <w:t>16</w:t>
            </w:r>
          </w:p>
        </w:tc>
        <w:tc>
          <w:tcPr>
            <w:tcW w:w="1804" w:type="dxa"/>
          </w:tcPr>
          <w:p w14:paraId="0D19BB48" w14:textId="2BA3AE57" w:rsidR="003E3582" w:rsidRPr="004052E6" w:rsidRDefault="004244E3" w:rsidP="00F07D4C">
            <w:pPr>
              <w:rPr>
                <w:rFonts w:ascii="Arial" w:hAnsi="Arial" w:cs="Arial"/>
              </w:rPr>
            </w:pPr>
            <w:r>
              <w:rPr>
                <w:rFonts w:ascii="Arial" w:hAnsi="Arial" w:cs="Arial"/>
              </w:rPr>
              <w:t>156</w:t>
            </w:r>
          </w:p>
        </w:tc>
      </w:tr>
      <w:tr w:rsidR="004244E3" w:rsidRPr="004244E3" w14:paraId="2ED47458" w14:textId="77777777" w:rsidTr="0072468A">
        <w:tc>
          <w:tcPr>
            <w:tcW w:w="3363" w:type="dxa"/>
          </w:tcPr>
          <w:p w14:paraId="3A818B6A" w14:textId="20E6F969" w:rsidR="003E3582" w:rsidRDefault="00EB7E15" w:rsidP="00F07D4C">
            <w:pPr>
              <w:rPr>
                <w:rFonts w:ascii="Arial" w:hAnsi="Arial" w:cs="Arial"/>
                <w:color w:val="FF0000"/>
              </w:rPr>
            </w:pPr>
            <w:r w:rsidRPr="00EB7E15">
              <w:rPr>
                <w:rFonts w:ascii="Arial" w:hAnsi="Arial" w:cs="Arial"/>
              </w:rPr>
              <w:t>Particulate matter formation</w:t>
            </w:r>
          </w:p>
        </w:tc>
        <w:tc>
          <w:tcPr>
            <w:tcW w:w="243" w:type="dxa"/>
          </w:tcPr>
          <w:p w14:paraId="16CE3B6D" w14:textId="06FD3F73" w:rsidR="003E3582" w:rsidRPr="009D0D45" w:rsidRDefault="00A44C8A" w:rsidP="00F07D4C">
            <w:pPr>
              <w:rPr>
                <w:rFonts w:ascii="Arial" w:hAnsi="Arial" w:cs="Arial"/>
              </w:rPr>
            </w:pPr>
            <w:r w:rsidRPr="009D0D45">
              <w:rPr>
                <w:rFonts w:ascii="Arial" w:hAnsi="Arial" w:cs="Arial"/>
              </w:rPr>
              <w:t>PMFP</w:t>
            </w:r>
          </w:p>
        </w:tc>
        <w:tc>
          <w:tcPr>
            <w:tcW w:w="1803" w:type="dxa"/>
          </w:tcPr>
          <w:p w14:paraId="00CA76E1" w14:textId="3C8711B0" w:rsidR="003E3582" w:rsidRPr="00106844" w:rsidRDefault="00106844" w:rsidP="00F07D4C">
            <w:pPr>
              <w:rPr>
                <w:rFonts w:ascii="Arial" w:hAnsi="Arial" w:cs="Arial"/>
                <w:color w:val="FF0000"/>
              </w:rPr>
            </w:pPr>
            <w:r>
              <w:rPr>
                <w:rFonts w:ascii="Arial" w:hAnsi="Arial" w:cs="Arial"/>
              </w:rPr>
              <w:t>Kg PM</w:t>
            </w:r>
            <w:r>
              <w:rPr>
                <w:rFonts w:ascii="Arial" w:hAnsi="Arial" w:cs="Arial"/>
                <w:vertAlign w:val="subscript"/>
              </w:rPr>
              <w:t>10</w:t>
            </w:r>
            <w:r>
              <w:rPr>
                <w:rFonts w:ascii="Arial" w:hAnsi="Arial" w:cs="Arial"/>
              </w:rPr>
              <w:t xml:space="preserve"> eq.</w:t>
            </w:r>
          </w:p>
        </w:tc>
        <w:tc>
          <w:tcPr>
            <w:tcW w:w="1803" w:type="dxa"/>
          </w:tcPr>
          <w:p w14:paraId="723F44A4" w14:textId="327FC75F" w:rsidR="003E3582" w:rsidRPr="004244E3" w:rsidRDefault="00E26E13" w:rsidP="00F07D4C">
            <w:pPr>
              <w:rPr>
                <w:rFonts w:ascii="Arial" w:hAnsi="Arial" w:cs="Arial"/>
              </w:rPr>
            </w:pPr>
            <w:r w:rsidRPr="004244E3">
              <w:rPr>
                <w:rFonts w:ascii="Arial" w:hAnsi="Arial" w:cs="Arial"/>
              </w:rPr>
              <w:t>273</w:t>
            </w:r>
          </w:p>
        </w:tc>
        <w:tc>
          <w:tcPr>
            <w:tcW w:w="1804" w:type="dxa"/>
          </w:tcPr>
          <w:p w14:paraId="00393C8C" w14:textId="4164158C" w:rsidR="003E3582" w:rsidRPr="004244E3" w:rsidRDefault="004244E3" w:rsidP="00F07D4C">
            <w:pPr>
              <w:rPr>
                <w:rFonts w:ascii="Arial" w:hAnsi="Arial" w:cs="Arial"/>
              </w:rPr>
            </w:pPr>
            <w:r w:rsidRPr="004244E3">
              <w:rPr>
                <w:rFonts w:ascii="Arial" w:hAnsi="Arial" w:cs="Arial"/>
              </w:rPr>
              <w:t>-</w:t>
            </w:r>
          </w:p>
        </w:tc>
      </w:tr>
      <w:tr w:rsidR="004244E3" w:rsidRPr="004244E3" w14:paraId="7ACC5522" w14:textId="77777777" w:rsidTr="0072468A">
        <w:tc>
          <w:tcPr>
            <w:tcW w:w="3363" w:type="dxa"/>
          </w:tcPr>
          <w:p w14:paraId="27801143" w14:textId="7E9A22E2" w:rsidR="003E3582" w:rsidRDefault="00932756" w:rsidP="00F07D4C">
            <w:pPr>
              <w:rPr>
                <w:rFonts w:ascii="Arial" w:hAnsi="Arial" w:cs="Arial"/>
                <w:color w:val="FF0000"/>
              </w:rPr>
            </w:pPr>
            <w:r w:rsidRPr="00F843DE">
              <w:rPr>
                <w:rFonts w:ascii="Arial" w:hAnsi="Arial" w:cs="Arial"/>
              </w:rPr>
              <w:t>Ion</w:t>
            </w:r>
            <w:r w:rsidR="00CC277D" w:rsidRPr="00F843DE">
              <w:rPr>
                <w:rFonts w:ascii="Arial" w:hAnsi="Arial" w:cs="Arial"/>
              </w:rPr>
              <w:t>izing radiation</w:t>
            </w:r>
          </w:p>
        </w:tc>
        <w:tc>
          <w:tcPr>
            <w:tcW w:w="243" w:type="dxa"/>
          </w:tcPr>
          <w:p w14:paraId="77230F87" w14:textId="2C2E2C47" w:rsidR="003E3582" w:rsidRPr="009D0D45" w:rsidRDefault="00A44C8A" w:rsidP="00F07D4C">
            <w:pPr>
              <w:rPr>
                <w:rFonts w:ascii="Arial" w:hAnsi="Arial" w:cs="Arial"/>
              </w:rPr>
            </w:pPr>
            <w:r w:rsidRPr="009D0D45">
              <w:rPr>
                <w:rFonts w:ascii="Arial" w:hAnsi="Arial" w:cs="Arial"/>
              </w:rPr>
              <w:t>IRP</w:t>
            </w:r>
          </w:p>
        </w:tc>
        <w:tc>
          <w:tcPr>
            <w:tcW w:w="1803" w:type="dxa"/>
          </w:tcPr>
          <w:p w14:paraId="1717A63B" w14:textId="7A42C780" w:rsidR="003E3582" w:rsidRDefault="00860768" w:rsidP="00F07D4C">
            <w:pPr>
              <w:rPr>
                <w:rFonts w:ascii="Arial" w:hAnsi="Arial" w:cs="Arial"/>
                <w:color w:val="FF0000"/>
              </w:rPr>
            </w:pPr>
            <w:r>
              <w:rPr>
                <w:rFonts w:ascii="Arial" w:hAnsi="Arial" w:cs="Arial"/>
              </w:rPr>
              <w:t>Kg U235 eq.</w:t>
            </w:r>
          </w:p>
        </w:tc>
        <w:tc>
          <w:tcPr>
            <w:tcW w:w="1803" w:type="dxa"/>
          </w:tcPr>
          <w:p w14:paraId="0150E667" w14:textId="6B104639" w:rsidR="003E3582" w:rsidRPr="004244E3" w:rsidRDefault="00E26E13" w:rsidP="00F07D4C">
            <w:pPr>
              <w:rPr>
                <w:rFonts w:ascii="Arial" w:hAnsi="Arial" w:cs="Arial"/>
              </w:rPr>
            </w:pPr>
            <w:r w:rsidRPr="004244E3">
              <w:rPr>
                <w:rFonts w:ascii="Arial" w:hAnsi="Arial" w:cs="Arial"/>
              </w:rPr>
              <w:t>-</w:t>
            </w:r>
          </w:p>
        </w:tc>
        <w:tc>
          <w:tcPr>
            <w:tcW w:w="1804" w:type="dxa"/>
          </w:tcPr>
          <w:p w14:paraId="17A39D0A" w14:textId="379B82D0" w:rsidR="003E3582" w:rsidRPr="004244E3" w:rsidRDefault="004244E3" w:rsidP="00F07D4C">
            <w:pPr>
              <w:rPr>
                <w:rFonts w:ascii="Arial" w:hAnsi="Arial" w:cs="Arial"/>
              </w:rPr>
            </w:pPr>
            <w:r w:rsidRPr="004244E3">
              <w:rPr>
                <w:rFonts w:ascii="Arial" w:hAnsi="Arial" w:cs="Arial"/>
              </w:rPr>
              <w:t>-</w:t>
            </w:r>
          </w:p>
        </w:tc>
      </w:tr>
      <w:tr w:rsidR="004244E3" w:rsidRPr="004244E3" w14:paraId="26DBE465" w14:textId="77777777" w:rsidTr="0072468A">
        <w:tc>
          <w:tcPr>
            <w:tcW w:w="3363" w:type="dxa"/>
          </w:tcPr>
          <w:p w14:paraId="0BEAF027" w14:textId="71D61EC3" w:rsidR="003E3582" w:rsidRDefault="0099661B" w:rsidP="00F07D4C">
            <w:pPr>
              <w:rPr>
                <w:rFonts w:ascii="Arial" w:hAnsi="Arial" w:cs="Arial"/>
                <w:color w:val="FF0000"/>
              </w:rPr>
            </w:pPr>
            <w:r w:rsidRPr="00D473AA">
              <w:rPr>
                <w:rFonts w:ascii="Arial" w:hAnsi="Arial" w:cs="Arial"/>
              </w:rPr>
              <w:t>Terrest</w:t>
            </w:r>
            <w:r w:rsidR="001F39B9" w:rsidRPr="00D473AA">
              <w:rPr>
                <w:rFonts w:ascii="Arial" w:hAnsi="Arial" w:cs="Arial"/>
              </w:rPr>
              <w:t xml:space="preserve">rial acidification </w:t>
            </w:r>
          </w:p>
        </w:tc>
        <w:tc>
          <w:tcPr>
            <w:tcW w:w="243" w:type="dxa"/>
          </w:tcPr>
          <w:p w14:paraId="4F0BCE86" w14:textId="3C011487" w:rsidR="003E3582" w:rsidRPr="009D0D45" w:rsidRDefault="00A44C8A" w:rsidP="00F07D4C">
            <w:pPr>
              <w:rPr>
                <w:rFonts w:ascii="Arial" w:hAnsi="Arial" w:cs="Arial"/>
              </w:rPr>
            </w:pPr>
            <w:r w:rsidRPr="009D0D45">
              <w:rPr>
                <w:rFonts w:ascii="Arial" w:hAnsi="Arial" w:cs="Arial"/>
              </w:rPr>
              <w:t>TAP</w:t>
            </w:r>
          </w:p>
        </w:tc>
        <w:tc>
          <w:tcPr>
            <w:tcW w:w="1803" w:type="dxa"/>
          </w:tcPr>
          <w:p w14:paraId="12FEDA07" w14:textId="7C59572E" w:rsidR="003E3582" w:rsidRDefault="00F85A00" w:rsidP="00F07D4C">
            <w:pPr>
              <w:rPr>
                <w:rFonts w:ascii="Arial" w:hAnsi="Arial" w:cs="Arial"/>
                <w:color w:val="FF0000"/>
              </w:rPr>
            </w:pPr>
            <w:r>
              <w:rPr>
                <w:rFonts w:ascii="Arial" w:hAnsi="Arial" w:cs="Arial"/>
              </w:rPr>
              <w:t>Kg SO</w:t>
            </w:r>
            <w:r>
              <w:rPr>
                <w:rFonts w:ascii="Arial" w:hAnsi="Arial" w:cs="Arial"/>
                <w:vertAlign w:val="subscript"/>
              </w:rPr>
              <w:t>2</w:t>
            </w:r>
            <w:r>
              <w:rPr>
                <w:rFonts w:ascii="Arial" w:hAnsi="Arial" w:cs="Arial"/>
              </w:rPr>
              <w:t xml:space="preserve"> eq.</w:t>
            </w:r>
          </w:p>
        </w:tc>
        <w:tc>
          <w:tcPr>
            <w:tcW w:w="1803" w:type="dxa"/>
          </w:tcPr>
          <w:p w14:paraId="55FEEEDF" w14:textId="7224B21D" w:rsidR="003E3582" w:rsidRPr="004244E3" w:rsidRDefault="00E26E13" w:rsidP="00F07D4C">
            <w:pPr>
              <w:rPr>
                <w:rFonts w:ascii="Arial" w:hAnsi="Arial" w:cs="Arial"/>
              </w:rPr>
            </w:pPr>
            <w:r w:rsidRPr="004244E3">
              <w:rPr>
                <w:rFonts w:ascii="Arial" w:hAnsi="Arial" w:cs="Arial"/>
              </w:rPr>
              <w:t>30</w:t>
            </w:r>
          </w:p>
        </w:tc>
        <w:tc>
          <w:tcPr>
            <w:tcW w:w="1804" w:type="dxa"/>
          </w:tcPr>
          <w:p w14:paraId="301EC0EC" w14:textId="76788048" w:rsidR="003E3582" w:rsidRPr="004244E3" w:rsidRDefault="004244E3" w:rsidP="00F07D4C">
            <w:pPr>
              <w:rPr>
                <w:rFonts w:ascii="Arial" w:hAnsi="Arial" w:cs="Arial"/>
              </w:rPr>
            </w:pPr>
            <w:r w:rsidRPr="004244E3">
              <w:rPr>
                <w:rFonts w:ascii="Arial" w:hAnsi="Arial" w:cs="Arial"/>
              </w:rPr>
              <w:t>15</w:t>
            </w:r>
          </w:p>
        </w:tc>
      </w:tr>
      <w:tr w:rsidR="004244E3" w:rsidRPr="004244E3" w14:paraId="5F147E0F" w14:textId="77777777" w:rsidTr="0072468A">
        <w:tc>
          <w:tcPr>
            <w:tcW w:w="3363" w:type="dxa"/>
          </w:tcPr>
          <w:p w14:paraId="5CD5B52E" w14:textId="660B82F3" w:rsidR="0099661B" w:rsidRDefault="00D973C1" w:rsidP="0099661B">
            <w:pPr>
              <w:rPr>
                <w:rFonts w:ascii="Arial" w:hAnsi="Arial" w:cs="Arial"/>
                <w:color w:val="FF0000"/>
              </w:rPr>
            </w:pPr>
            <w:r w:rsidRPr="00D473AA">
              <w:rPr>
                <w:rFonts w:ascii="Arial" w:hAnsi="Arial" w:cs="Arial"/>
              </w:rPr>
              <w:t xml:space="preserve">Freshwater </w:t>
            </w:r>
            <w:r w:rsidR="009725F0" w:rsidRPr="00D473AA">
              <w:rPr>
                <w:rFonts w:ascii="Arial" w:hAnsi="Arial" w:cs="Arial"/>
              </w:rPr>
              <w:t>eutrophi</w:t>
            </w:r>
            <w:r w:rsidR="009B6C81" w:rsidRPr="00D473AA">
              <w:rPr>
                <w:rFonts w:ascii="Arial" w:hAnsi="Arial" w:cs="Arial"/>
              </w:rPr>
              <w:t>cation</w:t>
            </w:r>
          </w:p>
        </w:tc>
        <w:tc>
          <w:tcPr>
            <w:tcW w:w="243" w:type="dxa"/>
          </w:tcPr>
          <w:p w14:paraId="0D949249" w14:textId="26F18AC3" w:rsidR="0099661B" w:rsidRPr="009D0D45" w:rsidRDefault="007640D9" w:rsidP="0099661B">
            <w:pPr>
              <w:rPr>
                <w:rFonts w:ascii="Arial" w:hAnsi="Arial" w:cs="Arial"/>
              </w:rPr>
            </w:pPr>
            <w:r w:rsidRPr="009D0D45">
              <w:rPr>
                <w:rFonts w:ascii="Arial" w:hAnsi="Arial" w:cs="Arial"/>
              </w:rPr>
              <w:t>FEP</w:t>
            </w:r>
          </w:p>
        </w:tc>
        <w:tc>
          <w:tcPr>
            <w:tcW w:w="1803" w:type="dxa"/>
          </w:tcPr>
          <w:p w14:paraId="17BCB591" w14:textId="6F26D124" w:rsidR="0099661B" w:rsidRDefault="00D513FA" w:rsidP="0099661B">
            <w:pPr>
              <w:rPr>
                <w:rFonts w:ascii="Arial" w:hAnsi="Arial" w:cs="Arial"/>
                <w:color w:val="FF0000"/>
              </w:rPr>
            </w:pPr>
            <w:r>
              <w:rPr>
                <w:rFonts w:ascii="Arial" w:hAnsi="Arial" w:cs="Arial"/>
              </w:rPr>
              <w:t>Kg P eq.</w:t>
            </w:r>
          </w:p>
        </w:tc>
        <w:tc>
          <w:tcPr>
            <w:tcW w:w="1803" w:type="dxa"/>
          </w:tcPr>
          <w:p w14:paraId="3D8E343F" w14:textId="279B50F0" w:rsidR="0099661B" w:rsidRPr="004244E3" w:rsidRDefault="00E26E13" w:rsidP="0099661B">
            <w:pPr>
              <w:rPr>
                <w:rFonts w:ascii="Arial" w:hAnsi="Arial" w:cs="Arial"/>
              </w:rPr>
            </w:pPr>
            <w:r w:rsidRPr="004244E3">
              <w:rPr>
                <w:rFonts w:ascii="Arial" w:hAnsi="Arial" w:cs="Arial"/>
              </w:rPr>
              <w:t>670</w:t>
            </w:r>
          </w:p>
        </w:tc>
        <w:tc>
          <w:tcPr>
            <w:tcW w:w="1804" w:type="dxa"/>
          </w:tcPr>
          <w:p w14:paraId="1377340C" w14:textId="07DE3396" w:rsidR="0099661B" w:rsidRPr="004244E3" w:rsidRDefault="004244E3" w:rsidP="0099661B">
            <w:pPr>
              <w:rPr>
                <w:rFonts w:ascii="Arial" w:hAnsi="Arial" w:cs="Arial"/>
              </w:rPr>
            </w:pPr>
            <w:r w:rsidRPr="004244E3">
              <w:rPr>
                <w:rFonts w:ascii="Arial" w:hAnsi="Arial" w:cs="Arial"/>
              </w:rPr>
              <w:t>-</w:t>
            </w:r>
          </w:p>
        </w:tc>
      </w:tr>
      <w:tr w:rsidR="004244E3" w:rsidRPr="004244E3" w14:paraId="0F0B11EF" w14:textId="77777777" w:rsidTr="0072468A">
        <w:tc>
          <w:tcPr>
            <w:tcW w:w="3363" w:type="dxa"/>
          </w:tcPr>
          <w:p w14:paraId="3034ED27" w14:textId="409B7292" w:rsidR="0099661B" w:rsidRDefault="00D473AA" w:rsidP="0099661B">
            <w:pPr>
              <w:rPr>
                <w:rFonts w:ascii="Arial" w:hAnsi="Arial" w:cs="Arial"/>
                <w:color w:val="FF0000"/>
              </w:rPr>
            </w:pPr>
            <w:r w:rsidRPr="00D473AA">
              <w:rPr>
                <w:rFonts w:ascii="Arial" w:hAnsi="Arial" w:cs="Arial"/>
              </w:rPr>
              <w:t>Marine</w:t>
            </w:r>
            <w:r>
              <w:rPr>
                <w:rFonts w:ascii="Arial" w:hAnsi="Arial" w:cs="Arial"/>
                <w:color w:val="FF0000"/>
              </w:rPr>
              <w:t xml:space="preserve"> </w:t>
            </w:r>
            <w:r w:rsidRPr="00D473AA">
              <w:rPr>
                <w:rFonts w:ascii="Arial" w:hAnsi="Arial" w:cs="Arial"/>
              </w:rPr>
              <w:t>eutrophication</w:t>
            </w:r>
          </w:p>
        </w:tc>
        <w:tc>
          <w:tcPr>
            <w:tcW w:w="243" w:type="dxa"/>
          </w:tcPr>
          <w:p w14:paraId="797AB3A0" w14:textId="55F92FD0" w:rsidR="0099661B" w:rsidRPr="009D0D45" w:rsidRDefault="007640D9" w:rsidP="0099661B">
            <w:pPr>
              <w:rPr>
                <w:rFonts w:ascii="Arial" w:hAnsi="Arial" w:cs="Arial"/>
              </w:rPr>
            </w:pPr>
            <w:r w:rsidRPr="009D0D45">
              <w:rPr>
                <w:rFonts w:ascii="Arial" w:hAnsi="Arial" w:cs="Arial"/>
              </w:rPr>
              <w:t>MEP</w:t>
            </w:r>
          </w:p>
        </w:tc>
        <w:tc>
          <w:tcPr>
            <w:tcW w:w="1803" w:type="dxa"/>
          </w:tcPr>
          <w:p w14:paraId="734A05BF" w14:textId="0D4D6636" w:rsidR="0099661B" w:rsidRDefault="00D513FA" w:rsidP="0099661B">
            <w:pPr>
              <w:rPr>
                <w:rFonts w:ascii="Arial" w:hAnsi="Arial" w:cs="Arial"/>
                <w:color w:val="FF0000"/>
              </w:rPr>
            </w:pPr>
            <w:r>
              <w:rPr>
                <w:rFonts w:ascii="Arial" w:hAnsi="Arial" w:cs="Arial"/>
              </w:rPr>
              <w:t>Kg N eq.</w:t>
            </w:r>
          </w:p>
        </w:tc>
        <w:tc>
          <w:tcPr>
            <w:tcW w:w="1803" w:type="dxa"/>
          </w:tcPr>
          <w:p w14:paraId="79CB5DB4" w14:textId="29C10A08" w:rsidR="0099661B" w:rsidRPr="004244E3" w:rsidRDefault="00E26E13" w:rsidP="0099661B">
            <w:pPr>
              <w:rPr>
                <w:rFonts w:ascii="Arial" w:hAnsi="Arial" w:cs="Arial"/>
              </w:rPr>
            </w:pPr>
            <w:r w:rsidRPr="004244E3">
              <w:rPr>
                <w:rFonts w:ascii="Arial" w:hAnsi="Arial" w:cs="Arial"/>
              </w:rPr>
              <w:t>90</w:t>
            </w:r>
          </w:p>
        </w:tc>
        <w:tc>
          <w:tcPr>
            <w:tcW w:w="1804" w:type="dxa"/>
          </w:tcPr>
          <w:p w14:paraId="09D6C332" w14:textId="734BFC37" w:rsidR="0099661B" w:rsidRPr="004244E3" w:rsidRDefault="004244E3" w:rsidP="0099661B">
            <w:pPr>
              <w:rPr>
                <w:rFonts w:ascii="Arial" w:hAnsi="Arial" w:cs="Arial"/>
              </w:rPr>
            </w:pPr>
            <w:r w:rsidRPr="004244E3">
              <w:rPr>
                <w:rFonts w:ascii="Arial" w:hAnsi="Arial" w:cs="Arial"/>
              </w:rPr>
              <w:t>12</w:t>
            </w:r>
          </w:p>
        </w:tc>
      </w:tr>
      <w:tr w:rsidR="004244E3" w:rsidRPr="004244E3" w14:paraId="662D3369" w14:textId="77777777" w:rsidTr="0072468A">
        <w:tc>
          <w:tcPr>
            <w:tcW w:w="3363" w:type="dxa"/>
          </w:tcPr>
          <w:p w14:paraId="36BBBD37" w14:textId="3C5D54AC" w:rsidR="0099661B" w:rsidRDefault="001067F7" w:rsidP="0099661B">
            <w:pPr>
              <w:rPr>
                <w:rFonts w:ascii="Arial" w:hAnsi="Arial" w:cs="Arial"/>
                <w:color w:val="FF0000"/>
              </w:rPr>
            </w:pPr>
            <w:r w:rsidRPr="00D473AA">
              <w:rPr>
                <w:rFonts w:ascii="Arial" w:hAnsi="Arial" w:cs="Arial"/>
              </w:rPr>
              <w:t>Terrestrial</w:t>
            </w:r>
            <w:r>
              <w:rPr>
                <w:rFonts w:ascii="Arial" w:hAnsi="Arial" w:cs="Arial"/>
              </w:rPr>
              <w:t xml:space="preserve"> </w:t>
            </w:r>
            <w:r w:rsidRPr="001067F7">
              <w:rPr>
                <w:rFonts w:ascii="Arial" w:hAnsi="Arial" w:cs="Arial"/>
              </w:rPr>
              <w:t>ecotoxicity</w:t>
            </w:r>
          </w:p>
        </w:tc>
        <w:tc>
          <w:tcPr>
            <w:tcW w:w="243" w:type="dxa"/>
          </w:tcPr>
          <w:p w14:paraId="5B56B415" w14:textId="4AC924E1" w:rsidR="0099661B" w:rsidRPr="009D0D45" w:rsidRDefault="007640D9" w:rsidP="0099661B">
            <w:pPr>
              <w:rPr>
                <w:rFonts w:ascii="Arial" w:hAnsi="Arial" w:cs="Arial"/>
              </w:rPr>
            </w:pPr>
            <w:r w:rsidRPr="009D0D45">
              <w:rPr>
                <w:rFonts w:ascii="Arial" w:hAnsi="Arial" w:cs="Arial"/>
              </w:rPr>
              <w:t>TETP</w:t>
            </w:r>
          </w:p>
        </w:tc>
        <w:tc>
          <w:tcPr>
            <w:tcW w:w="1803" w:type="dxa"/>
          </w:tcPr>
          <w:p w14:paraId="28475FF3" w14:textId="18255021" w:rsidR="0099661B" w:rsidRDefault="00E26E13" w:rsidP="0099661B">
            <w:pPr>
              <w:rPr>
                <w:rFonts w:ascii="Arial" w:hAnsi="Arial" w:cs="Arial"/>
                <w:color w:val="FF0000"/>
              </w:rPr>
            </w:pPr>
            <w:r>
              <w:rPr>
                <w:rFonts w:ascii="Arial" w:hAnsi="Arial" w:cs="Arial"/>
              </w:rPr>
              <w:t>Kg 1,4-DB eq</w:t>
            </w:r>
          </w:p>
        </w:tc>
        <w:tc>
          <w:tcPr>
            <w:tcW w:w="1803" w:type="dxa"/>
          </w:tcPr>
          <w:p w14:paraId="5538AA58" w14:textId="4C37D7E6" w:rsidR="0099661B" w:rsidRPr="004244E3" w:rsidRDefault="004244E3" w:rsidP="0099661B">
            <w:pPr>
              <w:rPr>
                <w:rFonts w:ascii="Arial" w:hAnsi="Arial" w:cs="Arial"/>
              </w:rPr>
            </w:pPr>
            <w:r w:rsidRPr="004244E3">
              <w:rPr>
                <w:rFonts w:ascii="Arial" w:hAnsi="Arial" w:cs="Arial"/>
              </w:rPr>
              <w:t>-</w:t>
            </w:r>
          </w:p>
        </w:tc>
        <w:tc>
          <w:tcPr>
            <w:tcW w:w="1804" w:type="dxa"/>
          </w:tcPr>
          <w:p w14:paraId="79EBCD3A" w14:textId="350B73A4" w:rsidR="0099661B" w:rsidRPr="004244E3" w:rsidRDefault="004244E3" w:rsidP="0099661B">
            <w:pPr>
              <w:rPr>
                <w:rFonts w:ascii="Arial" w:hAnsi="Arial" w:cs="Arial"/>
              </w:rPr>
            </w:pPr>
            <w:r w:rsidRPr="004244E3">
              <w:rPr>
                <w:rFonts w:ascii="Arial" w:hAnsi="Arial" w:cs="Arial"/>
              </w:rPr>
              <w:t>176</w:t>
            </w:r>
          </w:p>
        </w:tc>
      </w:tr>
      <w:tr w:rsidR="004244E3" w:rsidRPr="004244E3" w14:paraId="073CDED6" w14:textId="77777777" w:rsidTr="0072468A">
        <w:tc>
          <w:tcPr>
            <w:tcW w:w="3363" w:type="dxa"/>
          </w:tcPr>
          <w:p w14:paraId="6F1A4165" w14:textId="66B03672" w:rsidR="00E26E13" w:rsidRPr="00793826" w:rsidRDefault="00E26E13" w:rsidP="00E26E13">
            <w:pPr>
              <w:rPr>
                <w:rFonts w:ascii="Arial" w:hAnsi="Arial" w:cs="Arial"/>
              </w:rPr>
            </w:pPr>
            <w:r w:rsidRPr="00793826">
              <w:rPr>
                <w:rFonts w:ascii="Arial" w:hAnsi="Arial" w:cs="Arial"/>
              </w:rPr>
              <w:t>Freshwater ecotoxicity</w:t>
            </w:r>
          </w:p>
        </w:tc>
        <w:tc>
          <w:tcPr>
            <w:tcW w:w="243" w:type="dxa"/>
          </w:tcPr>
          <w:p w14:paraId="5D4BC25D" w14:textId="154A3681" w:rsidR="00E26E13" w:rsidRPr="009D0D45" w:rsidRDefault="00E26E13" w:rsidP="00E26E13">
            <w:pPr>
              <w:rPr>
                <w:rFonts w:ascii="Arial" w:hAnsi="Arial" w:cs="Arial"/>
              </w:rPr>
            </w:pPr>
            <w:r w:rsidRPr="009D0D45">
              <w:rPr>
                <w:rFonts w:ascii="Arial" w:hAnsi="Arial" w:cs="Arial"/>
              </w:rPr>
              <w:t>FETP</w:t>
            </w:r>
          </w:p>
        </w:tc>
        <w:tc>
          <w:tcPr>
            <w:tcW w:w="1803" w:type="dxa"/>
          </w:tcPr>
          <w:p w14:paraId="3E6C6199" w14:textId="32271321" w:rsidR="00E26E13" w:rsidRDefault="00E26E13" w:rsidP="00E26E13">
            <w:pPr>
              <w:rPr>
                <w:rFonts w:ascii="Arial" w:hAnsi="Arial" w:cs="Arial"/>
                <w:color w:val="FF0000"/>
              </w:rPr>
            </w:pPr>
            <w:r w:rsidRPr="00903DA3">
              <w:rPr>
                <w:rFonts w:ascii="Arial" w:hAnsi="Arial" w:cs="Arial"/>
              </w:rPr>
              <w:t>Kg 1,4-DB eq</w:t>
            </w:r>
          </w:p>
        </w:tc>
        <w:tc>
          <w:tcPr>
            <w:tcW w:w="1803" w:type="dxa"/>
          </w:tcPr>
          <w:p w14:paraId="5EE8EF11" w14:textId="156267E7" w:rsidR="00E26E13" w:rsidRPr="004244E3" w:rsidRDefault="004244E3" w:rsidP="00E26E13">
            <w:pPr>
              <w:rPr>
                <w:rFonts w:ascii="Arial" w:hAnsi="Arial" w:cs="Arial"/>
              </w:rPr>
            </w:pPr>
            <w:r w:rsidRPr="004244E3">
              <w:rPr>
                <w:rFonts w:ascii="Arial" w:hAnsi="Arial" w:cs="Arial"/>
              </w:rPr>
              <w:t>-</w:t>
            </w:r>
          </w:p>
        </w:tc>
        <w:tc>
          <w:tcPr>
            <w:tcW w:w="1804" w:type="dxa"/>
          </w:tcPr>
          <w:p w14:paraId="292839C4" w14:textId="6B24116C" w:rsidR="00E26E13" w:rsidRPr="004244E3" w:rsidRDefault="004244E3" w:rsidP="00E26E13">
            <w:pPr>
              <w:rPr>
                <w:rFonts w:ascii="Arial" w:hAnsi="Arial" w:cs="Arial"/>
              </w:rPr>
            </w:pPr>
            <w:r w:rsidRPr="004244E3">
              <w:rPr>
                <w:rFonts w:ascii="Arial" w:hAnsi="Arial" w:cs="Arial"/>
              </w:rPr>
              <w:t>92</w:t>
            </w:r>
          </w:p>
        </w:tc>
      </w:tr>
      <w:tr w:rsidR="004244E3" w:rsidRPr="004244E3" w14:paraId="3871D7F7" w14:textId="77777777" w:rsidTr="0072468A">
        <w:tc>
          <w:tcPr>
            <w:tcW w:w="3363" w:type="dxa"/>
          </w:tcPr>
          <w:p w14:paraId="453D67EC" w14:textId="359D3382" w:rsidR="00E26E13" w:rsidRPr="00793826" w:rsidRDefault="00E26E13" w:rsidP="00E26E13">
            <w:pPr>
              <w:rPr>
                <w:rFonts w:ascii="Arial" w:hAnsi="Arial" w:cs="Arial"/>
              </w:rPr>
            </w:pPr>
            <w:r w:rsidRPr="00793826">
              <w:rPr>
                <w:rFonts w:ascii="Arial" w:hAnsi="Arial" w:cs="Arial"/>
              </w:rPr>
              <w:t>Marine ecotoxicity</w:t>
            </w:r>
          </w:p>
        </w:tc>
        <w:tc>
          <w:tcPr>
            <w:tcW w:w="243" w:type="dxa"/>
          </w:tcPr>
          <w:p w14:paraId="5FC89AB4" w14:textId="64DD5B14" w:rsidR="00E26E13" w:rsidRPr="009D0D45" w:rsidRDefault="00E26E13" w:rsidP="00E26E13">
            <w:pPr>
              <w:rPr>
                <w:rFonts w:ascii="Arial" w:hAnsi="Arial" w:cs="Arial"/>
              </w:rPr>
            </w:pPr>
            <w:r w:rsidRPr="009D0D45">
              <w:rPr>
                <w:rFonts w:ascii="Arial" w:hAnsi="Arial" w:cs="Arial"/>
              </w:rPr>
              <w:t>METP</w:t>
            </w:r>
          </w:p>
        </w:tc>
        <w:tc>
          <w:tcPr>
            <w:tcW w:w="1803" w:type="dxa"/>
          </w:tcPr>
          <w:p w14:paraId="2DE3E0A8" w14:textId="201597DB" w:rsidR="00E26E13" w:rsidRDefault="00E26E13" w:rsidP="00E26E13">
            <w:pPr>
              <w:rPr>
                <w:rFonts w:ascii="Arial" w:hAnsi="Arial" w:cs="Arial"/>
                <w:color w:val="FF0000"/>
              </w:rPr>
            </w:pPr>
            <w:r w:rsidRPr="00903DA3">
              <w:rPr>
                <w:rFonts w:ascii="Arial" w:hAnsi="Arial" w:cs="Arial"/>
              </w:rPr>
              <w:t>Kg 1,4-DB eq</w:t>
            </w:r>
          </w:p>
        </w:tc>
        <w:tc>
          <w:tcPr>
            <w:tcW w:w="1803" w:type="dxa"/>
          </w:tcPr>
          <w:p w14:paraId="1A2E4AC6" w14:textId="49FC67BC" w:rsidR="00E26E13" w:rsidRPr="004244E3" w:rsidRDefault="004244E3" w:rsidP="00E26E13">
            <w:pPr>
              <w:rPr>
                <w:rFonts w:ascii="Arial" w:hAnsi="Arial" w:cs="Arial"/>
              </w:rPr>
            </w:pPr>
            <w:r w:rsidRPr="004244E3">
              <w:rPr>
                <w:rFonts w:ascii="Arial" w:hAnsi="Arial" w:cs="Arial"/>
              </w:rPr>
              <w:t>12</w:t>
            </w:r>
          </w:p>
        </w:tc>
        <w:tc>
          <w:tcPr>
            <w:tcW w:w="1804" w:type="dxa"/>
          </w:tcPr>
          <w:p w14:paraId="7CF75B2D" w14:textId="2A1E330D" w:rsidR="00E26E13" w:rsidRPr="004244E3" w:rsidRDefault="004244E3" w:rsidP="00E26E13">
            <w:pPr>
              <w:rPr>
                <w:rFonts w:ascii="Arial" w:hAnsi="Arial" w:cs="Arial"/>
              </w:rPr>
            </w:pPr>
            <w:r w:rsidRPr="004244E3">
              <w:rPr>
                <w:rFonts w:ascii="Arial" w:hAnsi="Arial" w:cs="Arial"/>
              </w:rPr>
              <w:t>0,3</w:t>
            </w:r>
          </w:p>
        </w:tc>
      </w:tr>
      <w:tr w:rsidR="009D0D45" w14:paraId="64D96156" w14:textId="77777777" w:rsidTr="00741D9B">
        <w:tc>
          <w:tcPr>
            <w:tcW w:w="9016" w:type="dxa"/>
            <w:gridSpan w:val="5"/>
          </w:tcPr>
          <w:p w14:paraId="05DF5C02" w14:textId="2D44A930" w:rsidR="009D0D45" w:rsidRDefault="009D0D45" w:rsidP="00F07D4C">
            <w:pPr>
              <w:rPr>
                <w:rFonts w:ascii="Arial" w:hAnsi="Arial" w:cs="Arial"/>
                <w:color w:val="FF0000"/>
              </w:rPr>
            </w:pPr>
            <w:r w:rsidRPr="00486883">
              <w:rPr>
                <w:rFonts w:ascii="Arial" w:hAnsi="Arial" w:cs="Arial"/>
              </w:rPr>
              <w:t>The P in each acronym refers to potential.</w:t>
            </w:r>
          </w:p>
        </w:tc>
      </w:tr>
    </w:tbl>
    <w:p w14:paraId="46E4A478" w14:textId="60EA4EBE" w:rsidR="00F07D4C" w:rsidRPr="006717B3" w:rsidRDefault="00F07D4C" w:rsidP="007E69C5">
      <w:pPr>
        <w:pStyle w:val="Caption"/>
        <w:jc w:val="center"/>
        <w:rPr>
          <w:rFonts w:ascii="Arial" w:hAnsi="Arial" w:cs="Arial"/>
          <w:color w:val="auto"/>
          <w:sz w:val="22"/>
          <w:szCs w:val="22"/>
        </w:rPr>
      </w:pPr>
      <w:bookmarkStart w:id="40" w:name="_Toc66868985"/>
      <w:r w:rsidRPr="006717B3">
        <w:rPr>
          <w:rFonts w:ascii="Arial" w:hAnsi="Arial" w:cs="Arial"/>
          <w:color w:val="auto"/>
          <w:sz w:val="22"/>
          <w:szCs w:val="22"/>
        </w:rPr>
        <w:t xml:space="preserve">Table </w:t>
      </w:r>
      <w:r w:rsidR="005F0DF6" w:rsidRPr="006717B3">
        <w:rPr>
          <w:rFonts w:ascii="Arial" w:hAnsi="Arial" w:cs="Arial"/>
          <w:i w:val="0"/>
          <w:iCs w:val="0"/>
          <w:color w:val="auto"/>
          <w:sz w:val="22"/>
          <w:szCs w:val="22"/>
        </w:rPr>
        <w:fldChar w:fldCharType="begin"/>
      </w:r>
      <w:r w:rsidR="005F0DF6" w:rsidRPr="006717B3">
        <w:rPr>
          <w:rFonts w:ascii="Arial" w:hAnsi="Arial" w:cs="Arial"/>
          <w:color w:val="auto"/>
          <w:sz w:val="22"/>
          <w:szCs w:val="22"/>
        </w:rPr>
        <w:instrText xml:space="preserve"> SEQ Table \* ARABIC </w:instrText>
      </w:r>
      <w:r w:rsidR="005F0DF6" w:rsidRPr="006717B3">
        <w:rPr>
          <w:rFonts w:ascii="Arial" w:hAnsi="Arial" w:cs="Arial"/>
          <w:i w:val="0"/>
          <w:iCs w:val="0"/>
          <w:color w:val="auto"/>
          <w:sz w:val="22"/>
          <w:szCs w:val="22"/>
        </w:rPr>
        <w:fldChar w:fldCharType="separate"/>
      </w:r>
      <w:r w:rsidR="00B97B5D" w:rsidRPr="006717B3">
        <w:rPr>
          <w:rFonts w:ascii="Arial" w:hAnsi="Arial" w:cs="Arial"/>
          <w:noProof/>
          <w:color w:val="auto"/>
          <w:sz w:val="22"/>
          <w:szCs w:val="22"/>
        </w:rPr>
        <w:t>1</w:t>
      </w:r>
      <w:r w:rsidR="005F0DF6" w:rsidRPr="006717B3">
        <w:rPr>
          <w:rFonts w:ascii="Arial" w:hAnsi="Arial" w:cs="Arial"/>
          <w:i w:val="0"/>
          <w:iCs w:val="0"/>
          <w:noProof/>
          <w:color w:val="auto"/>
          <w:sz w:val="22"/>
          <w:szCs w:val="22"/>
        </w:rPr>
        <w:fldChar w:fldCharType="end"/>
      </w:r>
      <w:r w:rsidRPr="006717B3">
        <w:rPr>
          <w:rFonts w:ascii="Arial" w:hAnsi="Arial" w:cs="Arial"/>
          <w:color w:val="auto"/>
          <w:sz w:val="22"/>
          <w:szCs w:val="22"/>
        </w:rPr>
        <w:t>- Characterised environmental impact categories and monetary weighting factors</w:t>
      </w:r>
      <w:bookmarkEnd w:id="40"/>
    </w:p>
    <w:p w14:paraId="5BEA7467" w14:textId="49E5777B" w:rsidR="0035557E" w:rsidRPr="006717B3" w:rsidRDefault="000F1E16" w:rsidP="004A2DD4">
      <w:pPr>
        <w:spacing w:line="360" w:lineRule="auto"/>
        <w:jc w:val="both"/>
        <w:rPr>
          <w:rFonts w:ascii="Arial" w:hAnsi="Arial" w:cs="Arial"/>
        </w:rPr>
      </w:pPr>
      <w:r w:rsidRPr="006717B3">
        <w:rPr>
          <w:rFonts w:ascii="Arial" w:hAnsi="Arial" w:cs="Arial"/>
        </w:rPr>
        <w:t xml:space="preserve">Ecovalue 08 is </w:t>
      </w:r>
      <w:r w:rsidR="000D2CB7" w:rsidRPr="006717B3">
        <w:rPr>
          <w:rFonts w:ascii="Arial" w:hAnsi="Arial" w:cs="Arial"/>
        </w:rPr>
        <w:t>derived from</w:t>
      </w:r>
      <w:r w:rsidR="00295C7D" w:rsidRPr="006717B3">
        <w:rPr>
          <w:rFonts w:ascii="Arial" w:hAnsi="Arial" w:cs="Arial"/>
        </w:rPr>
        <w:t xml:space="preserve"> market valuations </w:t>
      </w:r>
      <w:r w:rsidR="000D2CB7" w:rsidRPr="006717B3">
        <w:rPr>
          <w:rFonts w:ascii="Arial" w:hAnsi="Arial" w:cs="Arial"/>
        </w:rPr>
        <w:t>of</w:t>
      </w:r>
      <w:r w:rsidR="00295C7D" w:rsidRPr="006717B3">
        <w:rPr>
          <w:rFonts w:ascii="Arial" w:hAnsi="Arial" w:cs="Arial"/>
        </w:rPr>
        <w:t xml:space="preserve"> resource depletion </w:t>
      </w:r>
      <w:r w:rsidR="00DD4DAF" w:rsidRPr="006717B3">
        <w:rPr>
          <w:rFonts w:ascii="Arial" w:hAnsi="Arial" w:cs="Arial"/>
        </w:rPr>
        <w:t>and estimates on willingness to pay for environmental quality.</w:t>
      </w:r>
      <w:r w:rsidR="006628F4" w:rsidRPr="006717B3">
        <w:rPr>
          <w:rFonts w:ascii="Arial" w:hAnsi="Arial" w:cs="Arial"/>
        </w:rPr>
        <w:t xml:space="preserve"> Ecotax 2002</w:t>
      </w:r>
      <w:r w:rsidR="00127558" w:rsidRPr="006717B3">
        <w:rPr>
          <w:rFonts w:ascii="Arial" w:hAnsi="Arial" w:cs="Arial"/>
        </w:rPr>
        <w:t xml:space="preserve"> is </w:t>
      </w:r>
      <w:r w:rsidR="008B219A" w:rsidRPr="006717B3">
        <w:rPr>
          <w:rFonts w:ascii="Arial" w:hAnsi="Arial" w:cs="Arial"/>
        </w:rPr>
        <w:t xml:space="preserve">derived from </w:t>
      </w:r>
      <w:r w:rsidR="00F6610A" w:rsidRPr="006717B3">
        <w:rPr>
          <w:rFonts w:ascii="Arial" w:hAnsi="Arial" w:cs="Arial"/>
        </w:rPr>
        <w:t>Swedish eco-taxes on emissions and fees on resource</w:t>
      </w:r>
      <w:r w:rsidR="00FD122C" w:rsidRPr="006717B3">
        <w:rPr>
          <w:rFonts w:ascii="Arial" w:hAnsi="Arial" w:cs="Arial"/>
        </w:rPr>
        <w:t xml:space="preserve"> use.</w:t>
      </w:r>
      <w:r w:rsidR="00A5115D" w:rsidRPr="006717B3">
        <w:rPr>
          <w:rFonts w:ascii="Arial" w:hAnsi="Arial" w:cs="Arial"/>
        </w:rPr>
        <w:t xml:space="preserve"> The application of monetised environmental impacts allows both cost and </w:t>
      </w:r>
      <w:r w:rsidR="0097046A" w:rsidRPr="006717B3">
        <w:rPr>
          <w:rFonts w:ascii="Arial" w:hAnsi="Arial" w:cs="Arial"/>
        </w:rPr>
        <w:t xml:space="preserve">carbon emissions to be considered in a consistent </w:t>
      </w:r>
      <w:r w:rsidR="00B43E75" w:rsidRPr="006717B3">
        <w:rPr>
          <w:rFonts w:ascii="Arial" w:hAnsi="Arial" w:cs="Arial"/>
        </w:rPr>
        <w:t xml:space="preserve">manor. </w:t>
      </w:r>
      <w:r w:rsidR="0035557E" w:rsidRPr="006717B3">
        <w:rPr>
          <w:rFonts w:ascii="Arial" w:hAnsi="Arial" w:cs="Arial"/>
        </w:rPr>
        <w:t>(Durão et al., 2019)</w:t>
      </w:r>
    </w:p>
    <w:p w14:paraId="1AFCC311" w14:textId="772A9A96" w:rsidR="00991A94" w:rsidRPr="00991A94" w:rsidRDefault="006D7ED5" w:rsidP="004A2DD4">
      <w:pPr>
        <w:spacing w:line="360" w:lineRule="auto"/>
        <w:jc w:val="both"/>
        <w:rPr>
          <w:rFonts w:ascii="Arial" w:hAnsi="Arial" w:cs="Arial"/>
        </w:rPr>
      </w:pPr>
      <w:r>
        <w:rPr>
          <w:rFonts w:ascii="Arial" w:hAnsi="Arial" w:cs="Arial"/>
        </w:rPr>
        <w:t xml:space="preserve">The UK has </w:t>
      </w:r>
      <w:r w:rsidR="00063E90">
        <w:rPr>
          <w:rFonts w:ascii="Arial" w:hAnsi="Arial" w:cs="Arial"/>
        </w:rPr>
        <w:t xml:space="preserve">an agreed set of carbon valuations </w:t>
      </w:r>
      <w:r w:rsidR="00056BA8">
        <w:rPr>
          <w:rFonts w:ascii="Arial" w:hAnsi="Arial" w:cs="Arial"/>
        </w:rPr>
        <w:t>for</w:t>
      </w:r>
      <w:r w:rsidR="00063E90">
        <w:rPr>
          <w:rFonts w:ascii="Arial" w:hAnsi="Arial" w:cs="Arial"/>
        </w:rPr>
        <w:t xml:space="preserve"> policy appraisal</w:t>
      </w:r>
      <w:r w:rsidR="00430861">
        <w:rPr>
          <w:rFonts w:ascii="Arial" w:hAnsi="Arial" w:cs="Arial"/>
        </w:rPr>
        <w:t xml:space="preserve"> as shown in </w:t>
      </w:r>
      <w:r w:rsidR="00736CAB">
        <w:rPr>
          <w:rFonts w:ascii="Arial" w:hAnsi="Arial" w:cs="Arial"/>
        </w:rPr>
        <w:t>Table 2</w:t>
      </w:r>
      <w:r w:rsidR="00056BA8">
        <w:rPr>
          <w:rFonts w:ascii="Arial" w:hAnsi="Arial" w:cs="Arial"/>
        </w:rPr>
        <w:t xml:space="preserve">. </w:t>
      </w:r>
      <w:r w:rsidR="008F10DF">
        <w:rPr>
          <w:rFonts w:ascii="Arial" w:hAnsi="Arial" w:cs="Arial"/>
        </w:rPr>
        <w:t xml:space="preserve">UK guidance on carbon valuation </w:t>
      </w:r>
      <w:r w:rsidR="00A73591">
        <w:rPr>
          <w:rFonts w:ascii="Arial" w:hAnsi="Arial" w:cs="Arial"/>
        </w:rPr>
        <w:t xml:space="preserve">for </w:t>
      </w:r>
      <w:r w:rsidR="003A7D7F">
        <w:rPr>
          <w:rFonts w:ascii="Arial" w:hAnsi="Arial" w:cs="Arial"/>
        </w:rPr>
        <w:t xml:space="preserve">sectors not covered under the EU </w:t>
      </w:r>
      <w:r w:rsidR="00B47C50">
        <w:rPr>
          <w:rFonts w:ascii="Arial" w:hAnsi="Arial" w:cs="Arial"/>
        </w:rPr>
        <w:t>emissions trading scheme</w:t>
      </w:r>
      <w:r w:rsidR="004F6593">
        <w:rPr>
          <w:rFonts w:ascii="Arial" w:hAnsi="Arial" w:cs="Arial"/>
        </w:rPr>
        <w:t xml:space="preserve"> </w:t>
      </w:r>
      <w:r w:rsidR="004E6694">
        <w:rPr>
          <w:rFonts w:ascii="Arial" w:hAnsi="Arial" w:cs="Arial"/>
        </w:rPr>
        <w:t xml:space="preserve">(ETS) </w:t>
      </w:r>
      <w:r w:rsidR="00B47C50">
        <w:rPr>
          <w:rFonts w:ascii="Arial" w:hAnsi="Arial" w:cs="Arial"/>
        </w:rPr>
        <w:t xml:space="preserve">provide central </w:t>
      </w:r>
      <w:r w:rsidR="00A263E8">
        <w:rPr>
          <w:rFonts w:ascii="Arial" w:hAnsi="Arial" w:cs="Arial"/>
        </w:rPr>
        <w:t>estima</w:t>
      </w:r>
      <w:r w:rsidR="00846AD3">
        <w:rPr>
          <w:rFonts w:ascii="Arial" w:hAnsi="Arial" w:cs="Arial"/>
        </w:rPr>
        <w:t>t</w:t>
      </w:r>
      <w:r w:rsidR="00A263E8">
        <w:rPr>
          <w:rFonts w:ascii="Arial" w:hAnsi="Arial" w:cs="Arial"/>
        </w:rPr>
        <w:t>es</w:t>
      </w:r>
      <w:r w:rsidR="00B47C50">
        <w:rPr>
          <w:rFonts w:ascii="Arial" w:hAnsi="Arial" w:cs="Arial"/>
        </w:rPr>
        <w:t xml:space="preserve"> </w:t>
      </w:r>
      <w:r w:rsidR="00F16BDA">
        <w:rPr>
          <w:rFonts w:ascii="Arial" w:hAnsi="Arial" w:cs="Arial"/>
        </w:rPr>
        <w:t>for 2020 of</w:t>
      </w:r>
      <w:r w:rsidR="002A65B7">
        <w:rPr>
          <w:rFonts w:ascii="Arial" w:hAnsi="Arial" w:cs="Arial"/>
        </w:rPr>
        <w:t xml:space="preserve"> </w:t>
      </w:r>
      <w:r w:rsidR="00275351">
        <w:rPr>
          <w:rFonts w:ascii="Arial" w:hAnsi="Arial" w:cs="Arial"/>
        </w:rPr>
        <w:t>60 GBP/t CO</w:t>
      </w:r>
      <w:r w:rsidR="0041419D">
        <w:rPr>
          <w:rFonts w:ascii="Arial" w:hAnsi="Arial" w:cs="Arial"/>
          <w:vertAlign w:val="subscript"/>
        </w:rPr>
        <w:t>2</w:t>
      </w:r>
      <w:r w:rsidR="0041419D">
        <w:rPr>
          <w:rFonts w:ascii="Arial" w:hAnsi="Arial" w:cs="Arial"/>
        </w:rPr>
        <w:t>e</w:t>
      </w:r>
      <w:r w:rsidR="004D2D60">
        <w:rPr>
          <w:rFonts w:ascii="Arial" w:hAnsi="Arial" w:cs="Arial"/>
        </w:rPr>
        <w:t>,</w:t>
      </w:r>
      <w:r w:rsidR="00497F61">
        <w:rPr>
          <w:rFonts w:ascii="Arial" w:hAnsi="Arial" w:cs="Arial"/>
        </w:rPr>
        <w:t xml:space="preserve"> rising to </w:t>
      </w:r>
      <w:r w:rsidR="00322CF7">
        <w:rPr>
          <w:rFonts w:ascii="Arial" w:hAnsi="Arial" w:cs="Arial"/>
        </w:rPr>
        <w:t>308 GBP/t CO</w:t>
      </w:r>
      <w:r w:rsidR="00322CF7">
        <w:rPr>
          <w:rFonts w:ascii="Arial" w:hAnsi="Arial" w:cs="Arial"/>
          <w:vertAlign w:val="subscript"/>
        </w:rPr>
        <w:t>2</w:t>
      </w:r>
      <w:r w:rsidR="00322CF7">
        <w:rPr>
          <w:rFonts w:ascii="Arial" w:hAnsi="Arial" w:cs="Arial"/>
        </w:rPr>
        <w:t xml:space="preserve">e in </w:t>
      </w:r>
      <w:r w:rsidR="00970E07">
        <w:rPr>
          <w:rFonts w:ascii="Arial" w:hAnsi="Arial" w:cs="Arial"/>
        </w:rPr>
        <w:t xml:space="preserve">2075 </w:t>
      </w:r>
      <w:r w:rsidR="004764AD">
        <w:rPr>
          <w:rFonts w:ascii="Arial" w:hAnsi="Arial" w:cs="Arial"/>
        </w:rPr>
        <w:t>before declining</w:t>
      </w:r>
      <w:r w:rsidR="009F4EAA">
        <w:rPr>
          <w:rFonts w:ascii="Arial" w:hAnsi="Arial" w:cs="Arial"/>
        </w:rPr>
        <w:t xml:space="preserve"> (</w:t>
      </w:r>
      <w:r w:rsidR="005457D7">
        <w:rPr>
          <w:rFonts w:ascii="Arial" w:hAnsi="Arial" w:cs="Arial"/>
        </w:rPr>
        <w:t xml:space="preserve">Department of Energy &amp; Climate Change, </w:t>
      </w:r>
      <w:r w:rsidR="003273A5">
        <w:rPr>
          <w:rFonts w:ascii="Arial" w:hAnsi="Arial" w:cs="Arial"/>
        </w:rPr>
        <w:t>2011)</w:t>
      </w:r>
      <w:r w:rsidR="004764AD">
        <w:rPr>
          <w:rFonts w:ascii="Arial" w:hAnsi="Arial" w:cs="Arial"/>
        </w:rPr>
        <w:t>.</w:t>
      </w:r>
      <w:r w:rsidR="00937B28">
        <w:rPr>
          <w:rFonts w:ascii="Arial" w:hAnsi="Arial" w:cs="Arial"/>
        </w:rPr>
        <w:t xml:space="preserve"> </w:t>
      </w:r>
      <w:r w:rsidR="00691385">
        <w:rPr>
          <w:rFonts w:ascii="Arial" w:hAnsi="Arial" w:cs="Arial"/>
        </w:rPr>
        <w:t>The carbon valuations are based on the marginal abate</w:t>
      </w:r>
      <w:r w:rsidR="00266CCE">
        <w:rPr>
          <w:rFonts w:ascii="Arial" w:hAnsi="Arial" w:cs="Arial"/>
        </w:rPr>
        <w:t xml:space="preserve">ment cost which reflects the cost </w:t>
      </w:r>
      <w:r w:rsidR="00C40E90">
        <w:rPr>
          <w:rFonts w:ascii="Arial" w:hAnsi="Arial" w:cs="Arial"/>
        </w:rPr>
        <w:t xml:space="preserve">to </w:t>
      </w:r>
      <w:r w:rsidR="001924FD">
        <w:rPr>
          <w:rFonts w:ascii="Arial" w:hAnsi="Arial" w:cs="Arial"/>
        </w:rPr>
        <w:t>reduce</w:t>
      </w:r>
      <w:r w:rsidR="00C40E90">
        <w:rPr>
          <w:rFonts w:ascii="Arial" w:hAnsi="Arial" w:cs="Arial"/>
        </w:rPr>
        <w:t xml:space="preserve"> </w:t>
      </w:r>
      <w:r w:rsidR="001924FD">
        <w:rPr>
          <w:rFonts w:ascii="Arial" w:hAnsi="Arial" w:cs="Arial"/>
        </w:rPr>
        <w:t>emissions</w:t>
      </w:r>
      <w:r w:rsidR="00C242AE">
        <w:rPr>
          <w:rFonts w:ascii="Arial" w:hAnsi="Arial" w:cs="Arial"/>
        </w:rPr>
        <w:t>,</w:t>
      </w:r>
      <w:r w:rsidR="0001586B">
        <w:rPr>
          <w:rFonts w:ascii="Arial" w:hAnsi="Arial" w:cs="Arial"/>
        </w:rPr>
        <w:t xml:space="preserve"> </w:t>
      </w:r>
      <w:r w:rsidR="003E48CB">
        <w:rPr>
          <w:rFonts w:ascii="Arial" w:hAnsi="Arial" w:cs="Arial"/>
        </w:rPr>
        <w:t>to levels consistent with</w:t>
      </w:r>
      <w:r w:rsidR="0001586B">
        <w:rPr>
          <w:rFonts w:ascii="Arial" w:hAnsi="Arial" w:cs="Arial"/>
        </w:rPr>
        <w:t xml:space="preserve"> the </w:t>
      </w:r>
      <w:r w:rsidR="00D4119E">
        <w:rPr>
          <w:rFonts w:ascii="Arial" w:hAnsi="Arial" w:cs="Arial"/>
        </w:rPr>
        <w:t>UK’s greenhouse emission targets</w:t>
      </w:r>
      <w:r w:rsidR="00416522">
        <w:rPr>
          <w:rFonts w:ascii="Arial" w:hAnsi="Arial" w:cs="Arial"/>
        </w:rPr>
        <w:t>.</w:t>
      </w:r>
      <w:r w:rsidR="00A04B84">
        <w:rPr>
          <w:rFonts w:ascii="Arial" w:hAnsi="Arial" w:cs="Arial"/>
        </w:rPr>
        <w:t xml:space="preserve"> This approach was adopted in 2009 </w:t>
      </w:r>
      <w:r w:rsidR="00C40E90">
        <w:rPr>
          <w:rFonts w:ascii="Arial" w:hAnsi="Arial" w:cs="Arial"/>
        </w:rPr>
        <w:t>with prior valuations based on the damages associated with climate change.</w:t>
      </w:r>
      <w:r w:rsidR="00A04B84">
        <w:rPr>
          <w:rFonts w:ascii="Arial" w:hAnsi="Arial" w:cs="Arial"/>
        </w:rPr>
        <w:t xml:space="preserve"> </w:t>
      </w:r>
      <w:r w:rsidR="002835D4">
        <w:rPr>
          <w:rFonts w:ascii="Arial" w:hAnsi="Arial" w:cs="Arial"/>
        </w:rPr>
        <w:t>(Department of Energy &amp; Climate Change, 2013)</w:t>
      </w:r>
    </w:p>
    <w:tbl>
      <w:tblPr>
        <w:tblStyle w:val="TableGrid"/>
        <w:tblW w:w="0" w:type="auto"/>
        <w:tblInd w:w="0" w:type="dxa"/>
        <w:tblLook w:val="04A0" w:firstRow="1" w:lastRow="0" w:firstColumn="1" w:lastColumn="0" w:noHBand="0" w:noVBand="1"/>
      </w:tblPr>
      <w:tblGrid>
        <w:gridCol w:w="1068"/>
        <w:gridCol w:w="1171"/>
        <w:gridCol w:w="1414"/>
        <w:gridCol w:w="1390"/>
        <w:gridCol w:w="1169"/>
        <w:gridCol w:w="1414"/>
        <w:gridCol w:w="1390"/>
      </w:tblGrid>
      <w:tr w:rsidR="003B41B0" w14:paraId="613BF1A9" w14:textId="77777777" w:rsidTr="00991A94">
        <w:trPr>
          <w:trHeight w:val="447"/>
          <w:tblHeader/>
        </w:trPr>
        <w:tc>
          <w:tcPr>
            <w:tcW w:w="9016" w:type="dxa"/>
            <w:gridSpan w:val="7"/>
            <w:shd w:val="clear" w:color="auto" w:fill="1A0FA4" w:themeFill="accent1" w:themeFillShade="BF"/>
          </w:tcPr>
          <w:p w14:paraId="2DE5BACC" w14:textId="51F8DC73" w:rsidR="003B41B0" w:rsidRPr="003B41B0" w:rsidRDefault="003B41B0" w:rsidP="0072468A">
            <w:pPr>
              <w:pStyle w:val="Caption"/>
              <w:spacing w:after="0"/>
              <w:jc w:val="center"/>
              <w:rPr>
                <w:rFonts w:ascii="Arial" w:hAnsi="Arial" w:cs="Arial"/>
                <w:b/>
                <w:bCs/>
                <w:color w:val="FF0000"/>
              </w:rPr>
            </w:pPr>
            <w:r w:rsidRPr="003B41B0">
              <w:rPr>
                <w:rFonts w:ascii="Arial" w:hAnsi="Arial" w:cs="Arial"/>
                <w:b/>
                <w:bCs/>
                <w:i w:val="0"/>
                <w:iCs w:val="0"/>
                <w:color w:val="FFFFFF" w:themeColor="background1"/>
                <w:sz w:val="22"/>
                <w:szCs w:val="22"/>
              </w:rPr>
              <w:t>UK social values of carbon (£/tCO2e at 2009 prices)</w:t>
            </w:r>
            <w:r w:rsidRPr="003B41B0">
              <w:rPr>
                <w:rFonts w:ascii="Arial" w:hAnsi="Arial" w:cs="Arial"/>
                <w:b/>
                <w:bCs/>
                <w:i w:val="0"/>
                <w:iCs w:val="0"/>
                <w:color w:val="FFFFFF" w:themeColor="background1"/>
              </w:rPr>
              <w:t xml:space="preserve"> </w:t>
            </w:r>
            <w:r w:rsidRPr="003B41B0">
              <w:rPr>
                <w:rFonts w:ascii="Arial" w:hAnsi="Arial" w:cs="Arial"/>
                <w:b/>
                <w:bCs/>
                <w:i w:val="0"/>
                <w:iCs w:val="0"/>
                <w:color w:val="FFFFFF" w:themeColor="background1"/>
                <w:sz w:val="22"/>
                <w:szCs w:val="22"/>
              </w:rPr>
              <w:t>(Valatin, 2011)</w:t>
            </w:r>
          </w:p>
        </w:tc>
      </w:tr>
      <w:tr w:rsidR="00956157" w14:paraId="3ED3F002" w14:textId="77777777" w:rsidTr="00991A94">
        <w:trPr>
          <w:tblHeader/>
        </w:trPr>
        <w:tc>
          <w:tcPr>
            <w:tcW w:w="1068" w:type="dxa"/>
            <w:vMerge w:val="restart"/>
            <w:shd w:val="clear" w:color="auto" w:fill="99CCFF"/>
          </w:tcPr>
          <w:p w14:paraId="4D73ED27" w14:textId="74E618AE" w:rsidR="00956157" w:rsidRPr="003B41B0" w:rsidRDefault="00956157" w:rsidP="00230549">
            <w:pPr>
              <w:spacing w:line="360" w:lineRule="auto"/>
              <w:rPr>
                <w:rFonts w:ascii="Arial" w:hAnsi="Arial" w:cs="Arial"/>
                <w:b/>
                <w:bCs/>
              </w:rPr>
            </w:pPr>
            <w:r w:rsidRPr="003B41B0">
              <w:rPr>
                <w:rFonts w:ascii="Arial" w:hAnsi="Arial" w:cs="Arial"/>
                <w:b/>
                <w:bCs/>
              </w:rPr>
              <w:t>Year</w:t>
            </w:r>
          </w:p>
        </w:tc>
        <w:tc>
          <w:tcPr>
            <w:tcW w:w="3975" w:type="dxa"/>
            <w:gridSpan w:val="3"/>
            <w:shd w:val="clear" w:color="auto" w:fill="99CCFF"/>
          </w:tcPr>
          <w:p w14:paraId="7FF4E48A" w14:textId="493715A2" w:rsidR="00956157" w:rsidRPr="003B41B0" w:rsidRDefault="00956157" w:rsidP="00230549">
            <w:pPr>
              <w:spacing w:line="360" w:lineRule="auto"/>
              <w:jc w:val="center"/>
              <w:rPr>
                <w:rFonts w:ascii="Arial" w:hAnsi="Arial" w:cs="Arial"/>
                <w:b/>
                <w:bCs/>
              </w:rPr>
            </w:pPr>
            <w:r w:rsidRPr="003B41B0">
              <w:rPr>
                <w:rFonts w:ascii="Arial" w:hAnsi="Arial" w:cs="Arial"/>
                <w:b/>
                <w:bCs/>
              </w:rPr>
              <w:t>Sectors covered by EU ETS</w:t>
            </w:r>
          </w:p>
        </w:tc>
        <w:tc>
          <w:tcPr>
            <w:tcW w:w="3973" w:type="dxa"/>
            <w:gridSpan w:val="3"/>
            <w:shd w:val="clear" w:color="auto" w:fill="99CCFF"/>
          </w:tcPr>
          <w:p w14:paraId="4FF68187" w14:textId="5198C210" w:rsidR="00956157" w:rsidRPr="003B41B0" w:rsidRDefault="00956157" w:rsidP="00230549">
            <w:pPr>
              <w:spacing w:line="360" w:lineRule="auto"/>
              <w:jc w:val="center"/>
              <w:rPr>
                <w:rFonts w:ascii="Arial" w:hAnsi="Arial" w:cs="Arial"/>
                <w:b/>
                <w:bCs/>
              </w:rPr>
            </w:pPr>
            <w:r w:rsidRPr="003B41B0">
              <w:rPr>
                <w:rFonts w:ascii="Arial" w:hAnsi="Arial" w:cs="Arial"/>
                <w:b/>
                <w:bCs/>
              </w:rPr>
              <w:t>Sectors not covered by EU ETS</w:t>
            </w:r>
          </w:p>
        </w:tc>
      </w:tr>
      <w:tr w:rsidR="003B41B0" w14:paraId="59EC229C" w14:textId="77777777" w:rsidTr="00991A94">
        <w:trPr>
          <w:tblHeader/>
        </w:trPr>
        <w:tc>
          <w:tcPr>
            <w:tcW w:w="1068" w:type="dxa"/>
            <w:vMerge/>
            <w:shd w:val="clear" w:color="auto" w:fill="99CCFF"/>
          </w:tcPr>
          <w:p w14:paraId="63AB6001" w14:textId="77777777" w:rsidR="003B41B0" w:rsidRPr="003B41B0" w:rsidRDefault="003B41B0" w:rsidP="00230549">
            <w:pPr>
              <w:spacing w:line="360" w:lineRule="auto"/>
              <w:rPr>
                <w:rFonts w:ascii="Arial" w:hAnsi="Arial" w:cs="Arial"/>
                <w:b/>
                <w:bCs/>
              </w:rPr>
            </w:pPr>
          </w:p>
        </w:tc>
        <w:tc>
          <w:tcPr>
            <w:tcW w:w="1171" w:type="dxa"/>
            <w:shd w:val="clear" w:color="auto" w:fill="99CCFF"/>
          </w:tcPr>
          <w:p w14:paraId="408EFA0E" w14:textId="7153D5A0" w:rsidR="003B41B0" w:rsidRPr="003B41B0" w:rsidRDefault="003B41B0" w:rsidP="00230549">
            <w:pPr>
              <w:spacing w:line="360" w:lineRule="auto"/>
              <w:rPr>
                <w:rFonts w:ascii="Arial" w:hAnsi="Arial" w:cs="Arial"/>
                <w:b/>
                <w:bCs/>
              </w:rPr>
            </w:pPr>
            <w:r w:rsidRPr="003B41B0">
              <w:rPr>
                <w:rFonts w:ascii="Arial" w:hAnsi="Arial" w:cs="Arial"/>
                <w:b/>
                <w:bCs/>
              </w:rPr>
              <w:t>Central price of carbon</w:t>
            </w:r>
          </w:p>
        </w:tc>
        <w:tc>
          <w:tcPr>
            <w:tcW w:w="1414" w:type="dxa"/>
            <w:shd w:val="clear" w:color="auto" w:fill="99CCFF"/>
          </w:tcPr>
          <w:p w14:paraId="481BAFF2" w14:textId="23C2D9F0" w:rsidR="003B41B0" w:rsidRPr="003B41B0" w:rsidRDefault="003B41B0" w:rsidP="00230549">
            <w:pPr>
              <w:spacing w:line="360" w:lineRule="auto"/>
              <w:rPr>
                <w:rFonts w:ascii="Arial" w:hAnsi="Arial" w:cs="Arial"/>
                <w:b/>
                <w:bCs/>
              </w:rPr>
            </w:pPr>
            <w:r w:rsidRPr="003B41B0">
              <w:rPr>
                <w:rFonts w:ascii="Arial" w:hAnsi="Arial" w:cs="Arial"/>
                <w:b/>
                <w:bCs/>
              </w:rPr>
              <w:t>Discounted price of carbon</w:t>
            </w:r>
          </w:p>
        </w:tc>
        <w:tc>
          <w:tcPr>
            <w:tcW w:w="1390" w:type="dxa"/>
            <w:shd w:val="clear" w:color="auto" w:fill="99CCFF"/>
          </w:tcPr>
          <w:p w14:paraId="6939ADFB" w14:textId="5E8A3912" w:rsidR="003B41B0" w:rsidRPr="003B41B0" w:rsidRDefault="003B41B0" w:rsidP="00230549">
            <w:pPr>
              <w:spacing w:line="360" w:lineRule="auto"/>
              <w:rPr>
                <w:rFonts w:ascii="Arial" w:hAnsi="Arial" w:cs="Arial"/>
                <w:b/>
                <w:bCs/>
              </w:rPr>
            </w:pPr>
            <w:r w:rsidRPr="003B41B0">
              <w:rPr>
                <w:rFonts w:ascii="Arial" w:hAnsi="Arial" w:cs="Arial"/>
                <w:b/>
                <w:bCs/>
              </w:rPr>
              <w:t>Index (2010 discounted price = 100)</w:t>
            </w:r>
          </w:p>
        </w:tc>
        <w:tc>
          <w:tcPr>
            <w:tcW w:w="1169" w:type="dxa"/>
            <w:shd w:val="clear" w:color="auto" w:fill="99CCFF"/>
          </w:tcPr>
          <w:p w14:paraId="64D45291" w14:textId="752A30C0" w:rsidR="003B41B0" w:rsidRPr="003B41B0" w:rsidRDefault="003B41B0" w:rsidP="00230549">
            <w:pPr>
              <w:spacing w:line="360" w:lineRule="auto"/>
              <w:rPr>
                <w:rFonts w:ascii="Arial" w:hAnsi="Arial" w:cs="Arial"/>
                <w:b/>
                <w:bCs/>
              </w:rPr>
            </w:pPr>
            <w:r w:rsidRPr="003B41B0">
              <w:rPr>
                <w:rFonts w:ascii="Arial" w:hAnsi="Arial" w:cs="Arial"/>
                <w:b/>
                <w:bCs/>
              </w:rPr>
              <w:t>Central price of carbon</w:t>
            </w:r>
          </w:p>
        </w:tc>
        <w:tc>
          <w:tcPr>
            <w:tcW w:w="1414" w:type="dxa"/>
            <w:shd w:val="clear" w:color="auto" w:fill="99CCFF"/>
          </w:tcPr>
          <w:p w14:paraId="40708374" w14:textId="6E9D3E44" w:rsidR="003B41B0" w:rsidRPr="003B41B0" w:rsidRDefault="003B41B0" w:rsidP="00230549">
            <w:pPr>
              <w:spacing w:line="360" w:lineRule="auto"/>
              <w:rPr>
                <w:rFonts w:ascii="Arial" w:hAnsi="Arial" w:cs="Arial"/>
                <w:b/>
                <w:bCs/>
              </w:rPr>
            </w:pPr>
            <w:r w:rsidRPr="003B41B0">
              <w:rPr>
                <w:rFonts w:ascii="Arial" w:hAnsi="Arial" w:cs="Arial"/>
                <w:b/>
                <w:bCs/>
              </w:rPr>
              <w:t>Discounted price of carbon</w:t>
            </w:r>
          </w:p>
        </w:tc>
        <w:tc>
          <w:tcPr>
            <w:tcW w:w="1390" w:type="dxa"/>
            <w:shd w:val="clear" w:color="auto" w:fill="99CCFF"/>
          </w:tcPr>
          <w:p w14:paraId="376FDFDE" w14:textId="216AB51C" w:rsidR="003B41B0" w:rsidRPr="003B41B0" w:rsidRDefault="003B41B0" w:rsidP="00230549">
            <w:pPr>
              <w:spacing w:line="360" w:lineRule="auto"/>
              <w:rPr>
                <w:rFonts w:ascii="Arial" w:hAnsi="Arial" w:cs="Arial"/>
                <w:b/>
                <w:bCs/>
              </w:rPr>
            </w:pPr>
            <w:r w:rsidRPr="003B41B0">
              <w:rPr>
                <w:rFonts w:ascii="Arial" w:hAnsi="Arial" w:cs="Arial"/>
                <w:b/>
                <w:bCs/>
              </w:rPr>
              <w:t>Index (2010 discounted price = 100)</w:t>
            </w:r>
          </w:p>
        </w:tc>
      </w:tr>
      <w:tr w:rsidR="00956157" w14:paraId="6CB3C301" w14:textId="77777777" w:rsidTr="003B41B0">
        <w:tc>
          <w:tcPr>
            <w:tcW w:w="1068" w:type="dxa"/>
          </w:tcPr>
          <w:p w14:paraId="52F8A824" w14:textId="5F371FDB" w:rsidR="00956157" w:rsidRPr="006E796F" w:rsidRDefault="005613F0" w:rsidP="00230549">
            <w:pPr>
              <w:spacing w:line="360" w:lineRule="auto"/>
              <w:rPr>
                <w:rFonts w:ascii="Arial" w:hAnsi="Arial" w:cs="Arial"/>
              </w:rPr>
            </w:pPr>
            <w:r w:rsidRPr="006E796F">
              <w:rPr>
                <w:rFonts w:ascii="Arial" w:hAnsi="Arial" w:cs="Arial"/>
              </w:rPr>
              <w:t>2010</w:t>
            </w:r>
          </w:p>
        </w:tc>
        <w:tc>
          <w:tcPr>
            <w:tcW w:w="1171" w:type="dxa"/>
          </w:tcPr>
          <w:p w14:paraId="28575561" w14:textId="4F26635F" w:rsidR="00956157" w:rsidRPr="006E796F" w:rsidRDefault="00E91238" w:rsidP="00230549">
            <w:pPr>
              <w:spacing w:line="360" w:lineRule="auto"/>
              <w:rPr>
                <w:rFonts w:ascii="Arial" w:hAnsi="Arial" w:cs="Arial"/>
              </w:rPr>
            </w:pPr>
            <w:r w:rsidRPr="006E796F">
              <w:rPr>
                <w:rFonts w:ascii="Arial" w:hAnsi="Arial" w:cs="Arial"/>
              </w:rPr>
              <w:t>14</w:t>
            </w:r>
          </w:p>
        </w:tc>
        <w:tc>
          <w:tcPr>
            <w:tcW w:w="1414" w:type="dxa"/>
          </w:tcPr>
          <w:p w14:paraId="39733E15" w14:textId="11D079D9" w:rsidR="00956157" w:rsidRPr="006E796F" w:rsidRDefault="0088431A" w:rsidP="00230549">
            <w:pPr>
              <w:spacing w:line="360" w:lineRule="auto"/>
              <w:rPr>
                <w:rFonts w:ascii="Arial" w:hAnsi="Arial" w:cs="Arial"/>
              </w:rPr>
            </w:pPr>
            <w:r w:rsidRPr="006E796F">
              <w:rPr>
                <w:rFonts w:ascii="Arial" w:hAnsi="Arial" w:cs="Arial"/>
              </w:rPr>
              <w:t>14</w:t>
            </w:r>
          </w:p>
        </w:tc>
        <w:tc>
          <w:tcPr>
            <w:tcW w:w="1390" w:type="dxa"/>
          </w:tcPr>
          <w:p w14:paraId="15218F49" w14:textId="601A79DF" w:rsidR="00956157" w:rsidRPr="006E796F" w:rsidRDefault="0088431A" w:rsidP="00230549">
            <w:pPr>
              <w:spacing w:line="360" w:lineRule="auto"/>
              <w:rPr>
                <w:rFonts w:ascii="Arial" w:hAnsi="Arial" w:cs="Arial"/>
              </w:rPr>
            </w:pPr>
            <w:r w:rsidRPr="006E796F">
              <w:rPr>
                <w:rFonts w:ascii="Arial" w:hAnsi="Arial" w:cs="Arial"/>
              </w:rPr>
              <w:t>100</w:t>
            </w:r>
          </w:p>
        </w:tc>
        <w:tc>
          <w:tcPr>
            <w:tcW w:w="1169" w:type="dxa"/>
          </w:tcPr>
          <w:p w14:paraId="4382AD53" w14:textId="2970C9A9" w:rsidR="00956157" w:rsidRPr="006E796F" w:rsidRDefault="007B3F33" w:rsidP="00230549">
            <w:pPr>
              <w:spacing w:line="360" w:lineRule="auto"/>
              <w:rPr>
                <w:rFonts w:ascii="Arial" w:hAnsi="Arial" w:cs="Arial"/>
              </w:rPr>
            </w:pPr>
            <w:r w:rsidRPr="006E796F">
              <w:rPr>
                <w:rFonts w:ascii="Arial" w:hAnsi="Arial" w:cs="Arial"/>
              </w:rPr>
              <w:t>52</w:t>
            </w:r>
          </w:p>
        </w:tc>
        <w:tc>
          <w:tcPr>
            <w:tcW w:w="1414" w:type="dxa"/>
          </w:tcPr>
          <w:p w14:paraId="07401FC6" w14:textId="79693A73" w:rsidR="00956157" w:rsidRPr="006E796F" w:rsidRDefault="006E796F" w:rsidP="00230549">
            <w:pPr>
              <w:spacing w:line="360" w:lineRule="auto"/>
              <w:rPr>
                <w:rFonts w:ascii="Arial" w:hAnsi="Arial" w:cs="Arial"/>
              </w:rPr>
            </w:pPr>
            <w:r w:rsidRPr="006E796F">
              <w:rPr>
                <w:rFonts w:ascii="Arial" w:hAnsi="Arial" w:cs="Arial"/>
              </w:rPr>
              <w:t>52</w:t>
            </w:r>
          </w:p>
        </w:tc>
        <w:tc>
          <w:tcPr>
            <w:tcW w:w="1390" w:type="dxa"/>
          </w:tcPr>
          <w:p w14:paraId="420FA182" w14:textId="4946898F" w:rsidR="00956157" w:rsidRPr="006E796F" w:rsidRDefault="006E796F" w:rsidP="00230549">
            <w:pPr>
              <w:spacing w:line="360" w:lineRule="auto"/>
              <w:rPr>
                <w:rFonts w:ascii="Arial" w:hAnsi="Arial" w:cs="Arial"/>
              </w:rPr>
            </w:pPr>
            <w:r w:rsidRPr="006E796F">
              <w:rPr>
                <w:rFonts w:ascii="Arial" w:hAnsi="Arial" w:cs="Arial"/>
              </w:rPr>
              <w:t>100</w:t>
            </w:r>
          </w:p>
        </w:tc>
      </w:tr>
      <w:tr w:rsidR="00956157" w14:paraId="756D8BE7" w14:textId="77777777" w:rsidTr="003B41B0">
        <w:tc>
          <w:tcPr>
            <w:tcW w:w="1068" w:type="dxa"/>
          </w:tcPr>
          <w:p w14:paraId="474CE1D8" w14:textId="6D7EBB5A" w:rsidR="00956157" w:rsidRPr="006E796F" w:rsidRDefault="005613F0" w:rsidP="00230549">
            <w:pPr>
              <w:spacing w:line="360" w:lineRule="auto"/>
              <w:rPr>
                <w:rFonts w:ascii="Arial" w:hAnsi="Arial" w:cs="Arial"/>
              </w:rPr>
            </w:pPr>
            <w:r w:rsidRPr="006E796F">
              <w:rPr>
                <w:rFonts w:ascii="Arial" w:hAnsi="Arial" w:cs="Arial"/>
              </w:rPr>
              <w:t>2020</w:t>
            </w:r>
          </w:p>
        </w:tc>
        <w:tc>
          <w:tcPr>
            <w:tcW w:w="1171" w:type="dxa"/>
          </w:tcPr>
          <w:p w14:paraId="6B80E545" w14:textId="558F236A" w:rsidR="00956157" w:rsidRPr="006E796F" w:rsidRDefault="00E91238" w:rsidP="00230549">
            <w:pPr>
              <w:spacing w:line="360" w:lineRule="auto"/>
              <w:rPr>
                <w:rFonts w:ascii="Arial" w:hAnsi="Arial" w:cs="Arial"/>
              </w:rPr>
            </w:pPr>
            <w:r w:rsidRPr="006E796F">
              <w:rPr>
                <w:rFonts w:ascii="Arial" w:hAnsi="Arial" w:cs="Arial"/>
              </w:rPr>
              <w:t>16</w:t>
            </w:r>
          </w:p>
        </w:tc>
        <w:tc>
          <w:tcPr>
            <w:tcW w:w="1414" w:type="dxa"/>
          </w:tcPr>
          <w:p w14:paraId="4AE8850C" w14:textId="17E1B30E" w:rsidR="00956157" w:rsidRPr="006E796F" w:rsidRDefault="0088431A" w:rsidP="00230549">
            <w:pPr>
              <w:spacing w:line="360" w:lineRule="auto"/>
              <w:rPr>
                <w:rFonts w:ascii="Arial" w:hAnsi="Arial" w:cs="Arial"/>
              </w:rPr>
            </w:pPr>
            <w:r w:rsidRPr="006E796F">
              <w:rPr>
                <w:rFonts w:ascii="Arial" w:hAnsi="Arial" w:cs="Arial"/>
              </w:rPr>
              <w:t>12</w:t>
            </w:r>
          </w:p>
        </w:tc>
        <w:tc>
          <w:tcPr>
            <w:tcW w:w="1390" w:type="dxa"/>
          </w:tcPr>
          <w:p w14:paraId="5544F64C" w14:textId="2109C82C" w:rsidR="00956157" w:rsidRPr="006E796F" w:rsidRDefault="0088431A" w:rsidP="00230549">
            <w:pPr>
              <w:spacing w:line="360" w:lineRule="auto"/>
              <w:rPr>
                <w:rFonts w:ascii="Arial" w:hAnsi="Arial" w:cs="Arial"/>
              </w:rPr>
            </w:pPr>
            <w:r w:rsidRPr="006E796F">
              <w:rPr>
                <w:rFonts w:ascii="Arial" w:hAnsi="Arial" w:cs="Arial"/>
              </w:rPr>
              <w:t>82</w:t>
            </w:r>
          </w:p>
        </w:tc>
        <w:tc>
          <w:tcPr>
            <w:tcW w:w="1169" w:type="dxa"/>
          </w:tcPr>
          <w:p w14:paraId="51A9B2C0" w14:textId="6475DD6B" w:rsidR="00956157" w:rsidRPr="006E796F" w:rsidRDefault="007B3F33" w:rsidP="00230549">
            <w:pPr>
              <w:spacing w:line="360" w:lineRule="auto"/>
              <w:rPr>
                <w:rFonts w:ascii="Arial" w:hAnsi="Arial" w:cs="Arial"/>
              </w:rPr>
            </w:pPr>
            <w:r w:rsidRPr="006E796F">
              <w:rPr>
                <w:rFonts w:ascii="Arial" w:hAnsi="Arial" w:cs="Arial"/>
              </w:rPr>
              <w:t>60</w:t>
            </w:r>
          </w:p>
        </w:tc>
        <w:tc>
          <w:tcPr>
            <w:tcW w:w="1414" w:type="dxa"/>
          </w:tcPr>
          <w:p w14:paraId="763B543A" w14:textId="3A9A10EE" w:rsidR="00956157" w:rsidRPr="006E796F" w:rsidRDefault="006E796F" w:rsidP="00230549">
            <w:pPr>
              <w:spacing w:line="360" w:lineRule="auto"/>
              <w:rPr>
                <w:rFonts w:ascii="Arial" w:hAnsi="Arial" w:cs="Arial"/>
              </w:rPr>
            </w:pPr>
            <w:r w:rsidRPr="006E796F">
              <w:rPr>
                <w:rFonts w:ascii="Arial" w:hAnsi="Arial" w:cs="Arial"/>
              </w:rPr>
              <w:t>43</w:t>
            </w:r>
          </w:p>
        </w:tc>
        <w:tc>
          <w:tcPr>
            <w:tcW w:w="1390" w:type="dxa"/>
          </w:tcPr>
          <w:p w14:paraId="5D1B2529" w14:textId="03D40114" w:rsidR="00956157" w:rsidRPr="006E796F" w:rsidRDefault="006E796F" w:rsidP="00230549">
            <w:pPr>
              <w:spacing w:line="360" w:lineRule="auto"/>
              <w:rPr>
                <w:rFonts w:ascii="Arial" w:hAnsi="Arial" w:cs="Arial"/>
              </w:rPr>
            </w:pPr>
            <w:r w:rsidRPr="006E796F">
              <w:rPr>
                <w:rFonts w:ascii="Arial" w:hAnsi="Arial" w:cs="Arial"/>
              </w:rPr>
              <w:t>82</w:t>
            </w:r>
          </w:p>
        </w:tc>
      </w:tr>
      <w:tr w:rsidR="007B3F33" w14:paraId="791E8DD2" w14:textId="77777777" w:rsidTr="003B41B0">
        <w:tc>
          <w:tcPr>
            <w:tcW w:w="1068" w:type="dxa"/>
          </w:tcPr>
          <w:p w14:paraId="069D2059" w14:textId="5EC9CB8E" w:rsidR="007B3F33" w:rsidRPr="006E796F" w:rsidRDefault="007B3F33" w:rsidP="00230549">
            <w:pPr>
              <w:spacing w:line="360" w:lineRule="auto"/>
              <w:rPr>
                <w:rFonts w:ascii="Arial" w:hAnsi="Arial" w:cs="Arial"/>
              </w:rPr>
            </w:pPr>
            <w:r w:rsidRPr="006E796F">
              <w:rPr>
                <w:rFonts w:ascii="Arial" w:hAnsi="Arial" w:cs="Arial"/>
              </w:rPr>
              <w:t>2030</w:t>
            </w:r>
          </w:p>
        </w:tc>
        <w:tc>
          <w:tcPr>
            <w:tcW w:w="1171" w:type="dxa"/>
          </w:tcPr>
          <w:p w14:paraId="54EE9A85" w14:textId="0BB8ABC4" w:rsidR="007B3F33" w:rsidRPr="006E796F" w:rsidRDefault="007B3F33" w:rsidP="00230549">
            <w:pPr>
              <w:spacing w:line="360" w:lineRule="auto"/>
              <w:rPr>
                <w:rFonts w:ascii="Arial" w:hAnsi="Arial" w:cs="Arial"/>
              </w:rPr>
            </w:pPr>
            <w:r w:rsidRPr="006E796F">
              <w:rPr>
                <w:rFonts w:ascii="Arial" w:hAnsi="Arial" w:cs="Arial"/>
              </w:rPr>
              <w:t>70</w:t>
            </w:r>
          </w:p>
        </w:tc>
        <w:tc>
          <w:tcPr>
            <w:tcW w:w="1414" w:type="dxa"/>
          </w:tcPr>
          <w:p w14:paraId="60AAD640" w14:textId="483C6CF1" w:rsidR="007B3F33" w:rsidRPr="006E796F" w:rsidRDefault="007B3F33" w:rsidP="00230549">
            <w:pPr>
              <w:spacing w:line="360" w:lineRule="auto"/>
              <w:rPr>
                <w:rFonts w:ascii="Arial" w:hAnsi="Arial" w:cs="Arial"/>
              </w:rPr>
            </w:pPr>
            <w:r w:rsidRPr="006E796F">
              <w:rPr>
                <w:rFonts w:ascii="Arial" w:hAnsi="Arial" w:cs="Arial"/>
              </w:rPr>
              <w:t>35</w:t>
            </w:r>
          </w:p>
        </w:tc>
        <w:tc>
          <w:tcPr>
            <w:tcW w:w="1390" w:type="dxa"/>
          </w:tcPr>
          <w:p w14:paraId="14EA51B5" w14:textId="6DD1C23D" w:rsidR="007B3F33" w:rsidRPr="006E796F" w:rsidRDefault="007B3F33" w:rsidP="00230549">
            <w:pPr>
              <w:spacing w:line="360" w:lineRule="auto"/>
              <w:rPr>
                <w:rFonts w:ascii="Arial" w:hAnsi="Arial" w:cs="Arial"/>
              </w:rPr>
            </w:pPr>
            <w:r w:rsidRPr="006E796F">
              <w:rPr>
                <w:rFonts w:ascii="Arial" w:hAnsi="Arial" w:cs="Arial"/>
              </w:rPr>
              <w:t>250</w:t>
            </w:r>
          </w:p>
        </w:tc>
        <w:tc>
          <w:tcPr>
            <w:tcW w:w="1169" w:type="dxa"/>
          </w:tcPr>
          <w:p w14:paraId="7C4D5B47" w14:textId="0ACAFE68" w:rsidR="007B3F33" w:rsidRPr="006E796F" w:rsidRDefault="007B3F33" w:rsidP="00230549">
            <w:pPr>
              <w:spacing w:line="360" w:lineRule="auto"/>
              <w:rPr>
                <w:rFonts w:ascii="Arial" w:hAnsi="Arial" w:cs="Arial"/>
              </w:rPr>
            </w:pPr>
            <w:r w:rsidRPr="006E796F">
              <w:rPr>
                <w:rFonts w:ascii="Arial" w:hAnsi="Arial" w:cs="Arial"/>
              </w:rPr>
              <w:t>70</w:t>
            </w:r>
          </w:p>
        </w:tc>
        <w:tc>
          <w:tcPr>
            <w:tcW w:w="1414" w:type="dxa"/>
          </w:tcPr>
          <w:p w14:paraId="3EB39A6B" w14:textId="1DE78644" w:rsidR="007B3F33" w:rsidRPr="006E796F" w:rsidRDefault="007B3F33" w:rsidP="00230549">
            <w:pPr>
              <w:spacing w:line="360" w:lineRule="auto"/>
              <w:rPr>
                <w:rFonts w:ascii="Arial" w:hAnsi="Arial" w:cs="Arial"/>
              </w:rPr>
            </w:pPr>
            <w:r w:rsidRPr="006E796F">
              <w:rPr>
                <w:rFonts w:ascii="Arial" w:hAnsi="Arial" w:cs="Arial"/>
              </w:rPr>
              <w:t>35</w:t>
            </w:r>
          </w:p>
        </w:tc>
        <w:tc>
          <w:tcPr>
            <w:tcW w:w="1390" w:type="dxa"/>
          </w:tcPr>
          <w:p w14:paraId="0B37DCCE" w14:textId="0BC52351" w:rsidR="007B3F33" w:rsidRPr="006E796F" w:rsidRDefault="006E796F" w:rsidP="00230549">
            <w:pPr>
              <w:spacing w:line="360" w:lineRule="auto"/>
              <w:rPr>
                <w:rFonts w:ascii="Arial" w:hAnsi="Arial" w:cs="Arial"/>
              </w:rPr>
            </w:pPr>
            <w:r w:rsidRPr="006E796F">
              <w:rPr>
                <w:rFonts w:ascii="Arial" w:hAnsi="Arial" w:cs="Arial"/>
              </w:rPr>
              <w:t>68</w:t>
            </w:r>
          </w:p>
        </w:tc>
      </w:tr>
      <w:tr w:rsidR="007B3F33" w14:paraId="1CCE450B" w14:textId="77777777" w:rsidTr="003B41B0">
        <w:tc>
          <w:tcPr>
            <w:tcW w:w="1068" w:type="dxa"/>
          </w:tcPr>
          <w:p w14:paraId="243399F7" w14:textId="1366A343" w:rsidR="007B3F33" w:rsidRPr="006E796F" w:rsidRDefault="007B3F33" w:rsidP="00230549">
            <w:pPr>
              <w:spacing w:line="360" w:lineRule="auto"/>
              <w:rPr>
                <w:rFonts w:ascii="Arial" w:hAnsi="Arial" w:cs="Arial"/>
              </w:rPr>
            </w:pPr>
            <w:r w:rsidRPr="006E796F">
              <w:rPr>
                <w:rFonts w:ascii="Arial" w:hAnsi="Arial" w:cs="Arial"/>
              </w:rPr>
              <w:t>2040</w:t>
            </w:r>
          </w:p>
        </w:tc>
        <w:tc>
          <w:tcPr>
            <w:tcW w:w="1171" w:type="dxa"/>
          </w:tcPr>
          <w:p w14:paraId="6AA66920" w14:textId="7EC6206C" w:rsidR="007B3F33" w:rsidRPr="006E796F" w:rsidRDefault="007B3F33" w:rsidP="00230549">
            <w:pPr>
              <w:spacing w:line="360" w:lineRule="auto"/>
              <w:rPr>
                <w:rFonts w:ascii="Arial" w:hAnsi="Arial" w:cs="Arial"/>
              </w:rPr>
            </w:pPr>
            <w:r w:rsidRPr="006E796F">
              <w:rPr>
                <w:rFonts w:ascii="Arial" w:hAnsi="Arial" w:cs="Arial"/>
              </w:rPr>
              <w:t>135</w:t>
            </w:r>
          </w:p>
        </w:tc>
        <w:tc>
          <w:tcPr>
            <w:tcW w:w="1414" w:type="dxa"/>
          </w:tcPr>
          <w:p w14:paraId="0D1BED02" w14:textId="4F0EF3C6" w:rsidR="007B3F33" w:rsidRPr="006E796F" w:rsidRDefault="007B3F33" w:rsidP="00230549">
            <w:pPr>
              <w:spacing w:line="360" w:lineRule="auto"/>
              <w:rPr>
                <w:rFonts w:ascii="Arial" w:hAnsi="Arial" w:cs="Arial"/>
              </w:rPr>
            </w:pPr>
            <w:r w:rsidRPr="006E796F">
              <w:rPr>
                <w:rFonts w:ascii="Arial" w:hAnsi="Arial" w:cs="Arial"/>
              </w:rPr>
              <w:t>48</w:t>
            </w:r>
          </w:p>
        </w:tc>
        <w:tc>
          <w:tcPr>
            <w:tcW w:w="1390" w:type="dxa"/>
          </w:tcPr>
          <w:p w14:paraId="03602D49" w14:textId="50BCDE2B" w:rsidR="007B3F33" w:rsidRPr="006E796F" w:rsidRDefault="007B3F33" w:rsidP="00230549">
            <w:pPr>
              <w:spacing w:line="360" w:lineRule="auto"/>
              <w:rPr>
                <w:rFonts w:ascii="Arial" w:hAnsi="Arial" w:cs="Arial"/>
              </w:rPr>
            </w:pPr>
            <w:r w:rsidRPr="006E796F">
              <w:rPr>
                <w:rFonts w:ascii="Arial" w:hAnsi="Arial" w:cs="Arial"/>
              </w:rPr>
              <w:t>341</w:t>
            </w:r>
          </w:p>
        </w:tc>
        <w:tc>
          <w:tcPr>
            <w:tcW w:w="1169" w:type="dxa"/>
          </w:tcPr>
          <w:p w14:paraId="1BB60EE8" w14:textId="3339052B" w:rsidR="007B3F33" w:rsidRPr="006E796F" w:rsidRDefault="007B3F33" w:rsidP="00230549">
            <w:pPr>
              <w:spacing w:line="360" w:lineRule="auto"/>
              <w:rPr>
                <w:rFonts w:ascii="Arial" w:hAnsi="Arial" w:cs="Arial"/>
              </w:rPr>
            </w:pPr>
            <w:r w:rsidRPr="006E796F">
              <w:rPr>
                <w:rFonts w:ascii="Arial" w:hAnsi="Arial" w:cs="Arial"/>
              </w:rPr>
              <w:t>135</w:t>
            </w:r>
          </w:p>
        </w:tc>
        <w:tc>
          <w:tcPr>
            <w:tcW w:w="1414" w:type="dxa"/>
          </w:tcPr>
          <w:p w14:paraId="32669567" w14:textId="5616A895" w:rsidR="007B3F33" w:rsidRPr="006E796F" w:rsidRDefault="007B3F33" w:rsidP="00230549">
            <w:pPr>
              <w:spacing w:line="360" w:lineRule="auto"/>
              <w:rPr>
                <w:rFonts w:ascii="Arial" w:hAnsi="Arial" w:cs="Arial"/>
              </w:rPr>
            </w:pPr>
            <w:r w:rsidRPr="006E796F">
              <w:rPr>
                <w:rFonts w:ascii="Arial" w:hAnsi="Arial" w:cs="Arial"/>
              </w:rPr>
              <w:t>48</w:t>
            </w:r>
          </w:p>
        </w:tc>
        <w:tc>
          <w:tcPr>
            <w:tcW w:w="1390" w:type="dxa"/>
          </w:tcPr>
          <w:p w14:paraId="247E4FF6" w14:textId="090BA36C" w:rsidR="007B3F33" w:rsidRPr="006E796F" w:rsidRDefault="006E796F" w:rsidP="00230549">
            <w:pPr>
              <w:spacing w:line="360" w:lineRule="auto"/>
              <w:rPr>
                <w:rFonts w:ascii="Arial" w:hAnsi="Arial" w:cs="Arial"/>
              </w:rPr>
            </w:pPr>
            <w:r w:rsidRPr="006E796F">
              <w:rPr>
                <w:rFonts w:ascii="Arial" w:hAnsi="Arial" w:cs="Arial"/>
              </w:rPr>
              <w:t>93</w:t>
            </w:r>
          </w:p>
        </w:tc>
      </w:tr>
      <w:tr w:rsidR="007B3F33" w14:paraId="58EAEBE7" w14:textId="77777777" w:rsidTr="003B41B0">
        <w:tc>
          <w:tcPr>
            <w:tcW w:w="1068" w:type="dxa"/>
          </w:tcPr>
          <w:p w14:paraId="303B8513" w14:textId="4F9831E0" w:rsidR="007B3F33" w:rsidRPr="006E796F" w:rsidRDefault="007B3F33" w:rsidP="00230549">
            <w:pPr>
              <w:spacing w:line="360" w:lineRule="auto"/>
              <w:rPr>
                <w:rFonts w:ascii="Arial" w:hAnsi="Arial" w:cs="Arial"/>
              </w:rPr>
            </w:pPr>
            <w:r w:rsidRPr="006E796F">
              <w:rPr>
                <w:rFonts w:ascii="Arial" w:hAnsi="Arial" w:cs="Arial"/>
              </w:rPr>
              <w:t>2050</w:t>
            </w:r>
          </w:p>
        </w:tc>
        <w:tc>
          <w:tcPr>
            <w:tcW w:w="1171" w:type="dxa"/>
          </w:tcPr>
          <w:p w14:paraId="766CE7B7" w14:textId="21E25276" w:rsidR="007B3F33" w:rsidRPr="006E796F" w:rsidRDefault="007B3F33" w:rsidP="00230549">
            <w:pPr>
              <w:spacing w:line="360" w:lineRule="auto"/>
              <w:rPr>
                <w:rFonts w:ascii="Arial" w:hAnsi="Arial" w:cs="Arial"/>
              </w:rPr>
            </w:pPr>
            <w:r w:rsidRPr="006E796F">
              <w:rPr>
                <w:rFonts w:ascii="Arial" w:hAnsi="Arial" w:cs="Arial"/>
              </w:rPr>
              <w:t>200</w:t>
            </w:r>
          </w:p>
        </w:tc>
        <w:tc>
          <w:tcPr>
            <w:tcW w:w="1414" w:type="dxa"/>
          </w:tcPr>
          <w:p w14:paraId="4B025210" w14:textId="7C365912" w:rsidR="007B3F33" w:rsidRPr="006E796F" w:rsidRDefault="007B3F33" w:rsidP="00230549">
            <w:pPr>
              <w:spacing w:line="360" w:lineRule="auto"/>
              <w:rPr>
                <w:rFonts w:ascii="Arial" w:hAnsi="Arial" w:cs="Arial"/>
              </w:rPr>
            </w:pPr>
            <w:r w:rsidRPr="006E796F">
              <w:rPr>
                <w:rFonts w:ascii="Arial" w:hAnsi="Arial" w:cs="Arial"/>
              </w:rPr>
              <w:t>53</w:t>
            </w:r>
          </w:p>
        </w:tc>
        <w:tc>
          <w:tcPr>
            <w:tcW w:w="1390" w:type="dxa"/>
          </w:tcPr>
          <w:p w14:paraId="33130FF2" w14:textId="1C509B40" w:rsidR="007B3F33" w:rsidRPr="006E796F" w:rsidRDefault="007B3F33" w:rsidP="00230549">
            <w:pPr>
              <w:spacing w:line="360" w:lineRule="auto"/>
              <w:rPr>
                <w:rFonts w:ascii="Arial" w:hAnsi="Arial" w:cs="Arial"/>
              </w:rPr>
            </w:pPr>
            <w:r w:rsidRPr="006E796F">
              <w:rPr>
                <w:rFonts w:ascii="Arial" w:hAnsi="Arial" w:cs="Arial"/>
              </w:rPr>
              <w:t>376</w:t>
            </w:r>
          </w:p>
        </w:tc>
        <w:tc>
          <w:tcPr>
            <w:tcW w:w="1169" w:type="dxa"/>
          </w:tcPr>
          <w:p w14:paraId="7D579279" w14:textId="4C48ABF5" w:rsidR="007B3F33" w:rsidRPr="006E796F" w:rsidRDefault="007B3F33" w:rsidP="00230549">
            <w:pPr>
              <w:spacing w:line="360" w:lineRule="auto"/>
              <w:rPr>
                <w:rFonts w:ascii="Arial" w:hAnsi="Arial" w:cs="Arial"/>
              </w:rPr>
            </w:pPr>
            <w:r w:rsidRPr="006E796F">
              <w:rPr>
                <w:rFonts w:ascii="Arial" w:hAnsi="Arial" w:cs="Arial"/>
              </w:rPr>
              <w:t>200</w:t>
            </w:r>
          </w:p>
        </w:tc>
        <w:tc>
          <w:tcPr>
            <w:tcW w:w="1414" w:type="dxa"/>
          </w:tcPr>
          <w:p w14:paraId="239B2AD0" w14:textId="3E4E39B7" w:rsidR="007B3F33" w:rsidRPr="006E796F" w:rsidRDefault="007B3F33" w:rsidP="00230549">
            <w:pPr>
              <w:spacing w:line="360" w:lineRule="auto"/>
              <w:rPr>
                <w:rFonts w:ascii="Arial" w:hAnsi="Arial" w:cs="Arial"/>
              </w:rPr>
            </w:pPr>
            <w:r w:rsidRPr="006E796F">
              <w:rPr>
                <w:rFonts w:ascii="Arial" w:hAnsi="Arial" w:cs="Arial"/>
              </w:rPr>
              <w:t>53</w:t>
            </w:r>
          </w:p>
        </w:tc>
        <w:tc>
          <w:tcPr>
            <w:tcW w:w="1390" w:type="dxa"/>
          </w:tcPr>
          <w:p w14:paraId="12C634F9" w14:textId="34C9C00C" w:rsidR="007B3F33" w:rsidRPr="006E796F" w:rsidRDefault="006E796F" w:rsidP="00230549">
            <w:pPr>
              <w:spacing w:line="360" w:lineRule="auto"/>
              <w:rPr>
                <w:rFonts w:ascii="Arial" w:hAnsi="Arial" w:cs="Arial"/>
              </w:rPr>
            </w:pPr>
            <w:r w:rsidRPr="006E796F">
              <w:rPr>
                <w:rFonts w:ascii="Arial" w:hAnsi="Arial" w:cs="Arial"/>
              </w:rPr>
              <w:t>103</w:t>
            </w:r>
          </w:p>
        </w:tc>
      </w:tr>
      <w:tr w:rsidR="007B3F33" w14:paraId="1A115DEA" w14:textId="77777777" w:rsidTr="003B41B0">
        <w:tc>
          <w:tcPr>
            <w:tcW w:w="1068" w:type="dxa"/>
          </w:tcPr>
          <w:p w14:paraId="4768E6A4" w14:textId="1A65E6AB" w:rsidR="007B3F33" w:rsidRPr="006E796F" w:rsidRDefault="007B3F33" w:rsidP="00230549">
            <w:pPr>
              <w:spacing w:line="360" w:lineRule="auto"/>
              <w:rPr>
                <w:rFonts w:ascii="Arial" w:hAnsi="Arial" w:cs="Arial"/>
              </w:rPr>
            </w:pPr>
            <w:r w:rsidRPr="006E796F">
              <w:rPr>
                <w:rFonts w:ascii="Arial" w:hAnsi="Arial" w:cs="Arial"/>
              </w:rPr>
              <w:t>2060</w:t>
            </w:r>
          </w:p>
        </w:tc>
        <w:tc>
          <w:tcPr>
            <w:tcW w:w="1171" w:type="dxa"/>
          </w:tcPr>
          <w:p w14:paraId="1E6506BC" w14:textId="7AF155EA" w:rsidR="007B3F33" w:rsidRPr="006E796F" w:rsidRDefault="007B3F33" w:rsidP="00230549">
            <w:pPr>
              <w:spacing w:line="360" w:lineRule="auto"/>
              <w:rPr>
                <w:rFonts w:ascii="Arial" w:hAnsi="Arial" w:cs="Arial"/>
              </w:rPr>
            </w:pPr>
            <w:r w:rsidRPr="006E796F">
              <w:rPr>
                <w:rFonts w:ascii="Arial" w:hAnsi="Arial" w:cs="Arial"/>
              </w:rPr>
              <w:t>266</w:t>
            </w:r>
          </w:p>
        </w:tc>
        <w:tc>
          <w:tcPr>
            <w:tcW w:w="1414" w:type="dxa"/>
          </w:tcPr>
          <w:p w14:paraId="24C01604" w14:textId="2D690CF5" w:rsidR="007B3F33" w:rsidRPr="006E796F" w:rsidRDefault="007B3F33" w:rsidP="00230549">
            <w:pPr>
              <w:spacing w:line="360" w:lineRule="auto"/>
              <w:rPr>
                <w:rFonts w:ascii="Arial" w:hAnsi="Arial" w:cs="Arial"/>
              </w:rPr>
            </w:pPr>
            <w:r w:rsidRPr="006E796F">
              <w:rPr>
                <w:rFonts w:ascii="Arial" w:hAnsi="Arial" w:cs="Arial"/>
              </w:rPr>
              <w:t>52</w:t>
            </w:r>
          </w:p>
        </w:tc>
        <w:tc>
          <w:tcPr>
            <w:tcW w:w="1390" w:type="dxa"/>
          </w:tcPr>
          <w:p w14:paraId="7819685F" w14:textId="35C67277" w:rsidR="007B3F33" w:rsidRPr="006E796F" w:rsidRDefault="007B3F33" w:rsidP="00230549">
            <w:pPr>
              <w:spacing w:line="360" w:lineRule="auto"/>
              <w:rPr>
                <w:rFonts w:ascii="Arial" w:hAnsi="Arial" w:cs="Arial"/>
              </w:rPr>
            </w:pPr>
            <w:r w:rsidRPr="006E796F">
              <w:rPr>
                <w:rFonts w:ascii="Arial" w:hAnsi="Arial" w:cs="Arial"/>
              </w:rPr>
              <w:t>372</w:t>
            </w:r>
          </w:p>
        </w:tc>
        <w:tc>
          <w:tcPr>
            <w:tcW w:w="1169" w:type="dxa"/>
          </w:tcPr>
          <w:p w14:paraId="01C60B50" w14:textId="33207F5C" w:rsidR="007B3F33" w:rsidRPr="006E796F" w:rsidRDefault="007B3F33" w:rsidP="00230549">
            <w:pPr>
              <w:spacing w:line="360" w:lineRule="auto"/>
              <w:rPr>
                <w:rFonts w:ascii="Arial" w:hAnsi="Arial" w:cs="Arial"/>
              </w:rPr>
            </w:pPr>
            <w:r w:rsidRPr="006E796F">
              <w:rPr>
                <w:rFonts w:ascii="Arial" w:hAnsi="Arial" w:cs="Arial"/>
              </w:rPr>
              <w:t>266</w:t>
            </w:r>
          </w:p>
        </w:tc>
        <w:tc>
          <w:tcPr>
            <w:tcW w:w="1414" w:type="dxa"/>
          </w:tcPr>
          <w:p w14:paraId="25ACA6D9" w14:textId="5A08F64C" w:rsidR="007B3F33" w:rsidRPr="006E796F" w:rsidRDefault="007B3F33" w:rsidP="00230549">
            <w:pPr>
              <w:spacing w:line="360" w:lineRule="auto"/>
              <w:rPr>
                <w:rFonts w:ascii="Arial" w:hAnsi="Arial" w:cs="Arial"/>
              </w:rPr>
            </w:pPr>
            <w:r w:rsidRPr="006E796F">
              <w:rPr>
                <w:rFonts w:ascii="Arial" w:hAnsi="Arial" w:cs="Arial"/>
              </w:rPr>
              <w:t>52</w:t>
            </w:r>
          </w:p>
        </w:tc>
        <w:tc>
          <w:tcPr>
            <w:tcW w:w="1390" w:type="dxa"/>
          </w:tcPr>
          <w:p w14:paraId="6B89A1CE" w14:textId="51C11F47" w:rsidR="007B3F33" w:rsidRPr="006E796F" w:rsidRDefault="006E796F" w:rsidP="00230549">
            <w:pPr>
              <w:spacing w:line="360" w:lineRule="auto"/>
              <w:rPr>
                <w:rFonts w:ascii="Arial" w:hAnsi="Arial" w:cs="Arial"/>
              </w:rPr>
            </w:pPr>
            <w:r w:rsidRPr="006E796F">
              <w:rPr>
                <w:rFonts w:ascii="Arial" w:hAnsi="Arial" w:cs="Arial"/>
              </w:rPr>
              <w:t>102</w:t>
            </w:r>
          </w:p>
        </w:tc>
      </w:tr>
      <w:tr w:rsidR="007B3F33" w14:paraId="10E253E0" w14:textId="77777777" w:rsidTr="003B41B0">
        <w:tc>
          <w:tcPr>
            <w:tcW w:w="1068" w:type="dxa"/>
          </w:tcPr>
          <w:p w14:paraId="274C9A13" w14:textId="2EE6F2ED" w:rsidR="007B3F33" w:rsidRPr="006E796F" w:rsidRDefault="007B3F33" w:rsidP="00230549">
            <w:pPr>
              <w:spacing w:line="360" w:lineRule="auto"/>
              <w:rPr>
                <w:rFonts w:ascii="Arial" w:hAnsi="Arial" w:cs="Arial"/>
              </w:rPr>
            </w:pPr>
            <w:r w:rsidRPr="006E796F">
              <w:rPr>
                <w:rFonts w:ascii="Arial" w:hAnsi="Arial" w:cs="Arial"/>
              </w:rPr>
              <w:t>2070</w:t>
            </w:r>
          </w:p>
        </w:tc>
        <w:tc>
          <w:tcPr>
            <w:tcW w:w="1171" w:type="dxa"/>
          </w:tcPr>
          <w:p w14:paraId="40BF89FE" w14:textId="3A94FE32" w:rsidR="007B3F33" w:rsidRPr="006E796F" w:rsidRDefault="007B3F33" w:rsidP="00230549">
            <w:pPr>
              <w:spacing w:line="360" w:lineRule="auto"/>
              <w:rPr>
                <w:rFonts w:ascii="Arial" w:hAnsi="Arial" w:cs="Arial"/>
              </w:rPr>
            </w:pPr>
            <w:r w:rsidRPr="006E796F">
              <w:rPr>
                <w:rFonts w:ascii="Arial" w:hAnsi="Arial" w:cs="Arial"/>
              </w:rPr>
              <w:t>301</w:t>
            </w:r>
          </w:p>
        </w:tc>
        <w:tc>
          <w:tcPr>
            <w:tcW w:w="1414" w:type="dxa"/>
          </w:tcPr>
          <w:p w14:paraId="0F1DACDE" w14:textId="2A831EEB" w:rsidR="007B3F33" w:rsidRPr="006E796F" w:rsidRDefault="007B3F33" w:rsidP="00230549">
            <w:pPr>
              <w:spacing w:line="360" w:lineRule="auto"/>
              <w:rPr>
                <w:rFonts w:ascii="Arial" w:hAnsi="Arial" w:cs="Arial"/>
              </w:rPr>
            </w:pPr>
            <w:r w:rsidRPr="006E796F">
              <w:rPr>
                <w:rFonts w:ascii="Arial" w:hAnsi="Arial" w:cs="Arial"/>
              </w:rPr>
              <w:t>44</w:t>
            </w:r>
          </w:p>
        </w:tc>
        <w:tc>
          <w:tcPr>
            <w:tcW w:w="1390" w:type="dxa"/>
          </w:tcPr>
          <w:p w14:paraId="007D8117" w14:textId="663D03B1" w:rsidR="007B3F33" w:rsidRPr="006E796F" w:rsidRDefault="007B3F33" w:rsidP="00230549">
            <w:pPr>
              <w:spacing w:line="360" w:lineRule="auto"/>
              <w:rPr>
                <w:rFonts w:ascii="Arial" w:hAnsi="Arial" w:cs="Arial"/>
              </w:rPr>
            </w:pPr>
            <w:r w:rsidRPr="006E796F">
              <w:rPr>
                <w:rFonts w:ascii="Arial" w:hAnsi="Arial" w:cs="Arial"/>
              </w:rPr>
              <w:t>313</w:t>
            </w:r>
          </w:p>
        </w:tc>
        <w:tc>
          <w:tcPr>
            <w:tcW w:w="1169" w:type="dxa"/>
          </w:tcPr>
          <w:p w14:paraId="69CE0AEC" w14:textId="356976AA" w:rsidR="007B3F33" w:rsidRPr="006E796F" w:rsidRDefault="007B3F33" w:rsidP="00230549">
            <w:pPr>
              <w:spacing w:line="360" w:lineRule="auto"/>
              <w:rPr>
                <w:rFonts w:ascii="Arial" w:hAnsi="Arial" w:cs="Arial"/>
              </w:rPr>
            </w:pPr>
            <w:r w:rsidRPr="006E796F">
              <w:rPr>
                <w:rFonts w:ascii="Arial" w:hAnsi="Arial" w:cs="Arial"/>
              </w:rPr>
              <w:t>301</w:t>
            </w:r>
          </w:p>
        </w:tc>
        <w:tc>
          <w:tcPr>
            <w:tcW w:w="1414" w:type="dxa"/>
          </w:tcPr>
          <w:p w14:paraId="2085E916" w14:textId="24DDB321" w:rsidR="007B3F33" w:rsidRPr="006E796F" w:rsidRDefault="007B3F33" w:rsidP="00230549">
            <w:pPr>
              <w:spacing w:line="360" w:lineRule="auto"/>
              <w:rPr>
                <w:rFonts w:ascii="Arial" w:hAnsi="Arial" w:cs="Arial"/>
              </w:rPr>
            </w:pPr>
            <w:r w:rsidRPr="006E796F">
              <w:rPr>
                <w:rFonts w:ascii="Arial" w:hAnsi="Arial" w:cs="Arial"/>
              </w:rPr>
              <w:t>44</w:t>
            </w:r>
          </w:p>
        </w:tc>
        <w:tc>
          <w:tcPr>
            <w:tcW w:w="1390" w:type="dxa"/>
          </w:tcPr>
          <w:p w14:paraId="4C4BBEC4" w14:textId="5771B97C" w:rsidR="007B3F33" w:rsidRPr="006E796F" w:rsidRDefault="006E796F" w:rsidP="00230549">
            <w:pPr>
              <w:spacing w:line="360" w:lineRule="auto"/>
              <w:rPr>
                <w:rFonts w:ascii="Arial" w:hAnsi="Arial" w:cs="Arial"/>
              </w:rPr>
            </w:pPr>
            <w:r w:rsidRPr="006E796F">
              <w:rPr>
                <w:rFonts w:ascii="Arial" w:hAnsi="Arial" w:cs="Arial"/>
              </w:rPr>
              <w:t>85</w:t>
            </w:r>
          </w:p>
        </w:tc>
      </w:tr>
      <w:tr w:rsidR="007B3F33" w14:paraId="29868E58" w14:textId="77777777" w:rsidTr="003B41B0">
        <w:tc>
          <w:tcPr>
            <w:tcW w:w="1068" w:type="dxa"/>
          </w:tcPr>
          <w:p w14:paraId="55B876B7" w14:textId="2167F10A" w:rsidR="007B3F33" w:rsidRPr="006E796F" w:rsidRDefault="007B3F33" w:rsidP="00230549">
            <w:pPr>
              <w:spacing w:line="360" w:lineRule="auto"/>
              <w:rPr>
                <w:rFonts w:ascii="Arial" w:hAnsi="Arial" w:cs="Arial"/>
              </w:rPr>
            </w:pPr>
            <w:r w:rsidRPr="006E796F">
              <w:rPr>
                <w:rFonts w:ascii="Arial" w:hAnsi="Arial" w:cs="Arial"/>
              </w:rPr>
              <w:t>2080</w:t>
            </w:r>
          </w:p>
        </w:tc>
        <w:tc>
          <w:tcPr>
            <w:tcW w:w="1171" w:type="dxa"/>
          </w:tcPr>
          <w:p w14:paraId="20AF291E" w14:textId="330376F0" w:rsidR="007B3F33" w:rsidRPr="006E796F" w:rsidRDefault="007B3F33" w:rsidP="00230549">
            <w:pPr>
              <w:spacing w:line="360" w:lineRule="auto"/>
              <w:rPr>
                <w:rFonts w:ascii="Arial" w:hAnsi="Arial" w:cs="Arial"/>
              </w:rPr>
            </w:pPr>
            <w:r w:rsidRPr="006E796F">
              <w:rPr>
                <w:rFonts w:ascii="Arial" w:hAnsi="Arial" w:cs="Arial"/>
              </w:rPr>
              <w:t>306</w:t>
            </w:r>
          </w:p>
        </w:tc>
        <w:tc>
          <w:tcPr>
            <w:tcW w:w="1414" w:type="dxa"/>
          </w:tcPr>
          <w:p w14:paraId="7AC9272E" w14:textId="397BCBD8" w:rsidR="007B3F33" w:rsidRPr="006E796F" w:rsidRDefault="007B3F33" w:rsidP="00230549">
            <w:pPr>
              <w:spacing w:line="360" w:lineRule="auto"/>
              <w:rPr>
                <w:rFonts w:ascii="Arial" w:hAnsi="Arial" w:cs="Arial"/>
              </w:rPr>
            </w:pPr>
            <w:r w:rsidRPr="006E796F">
              <w:rPr>
                <w:rFonts w:ascii="Arial" w:hAnsi="Arial" w:cs="Arial"/>
              </w:rPr>
              <w:t>33</w:t>
            </w:r>
          </w:p>
        </w:tc>
        <w:tc>
          <w:tcPr>
            <w:tcW w:w="1390" w:type="dxa"/>
          </w:tcPr>
          <w:p w14:paraId="11F11443" w14:textId="13CCCB89" w:rsidR="007B3F33" w:rsidRPr="006E796F" w:rsidRDefault="007B3F33" w:rsidP="00230549">
            <w:pPr>
              <w:spacing w:line="360" w:lineRule="auto"/>
              <w:rPr>
                <w:rFonts w:ascii="Arial" w:hAnsi="Arial" w:cs="Arial"/>
              </w:rPr>
            </w:pPr>
            <w:r w:rsidRPr="006E796F">
              <w:rPr>
                <w:rFonts w:ascii="Arial" w:hAnsi="Arial" w:cs="Arial"/>
              </w:rPr>
              <w:t>237</w:t>
            </w:r>
          </w:p>
        </w:tc>
        <w:tc>
          <w:tcPr>
            <w:tcW w:w="1169" w:type="dxa"/>
          </w:tcPr>
          <w:p w14:paraId="68A30E40" w14:textId="6CC75026" w:rsidR="007B3F33" w:rsidRPr="006E796F" w:rsidRDefault="007B3F33" w:rsidP="00230549">
            <w:pPr>
              <w:spacing w:line="360" w:lineRule="auto"/>
              <w:rPr>
                <w:rFonts w:ascii="Arial" w:hAnsi="Arial" w:cs="Arial"/>
              </w:rPr>
            </w:pPr>
            <w:r w:rsidRPr="006E796F">
              <w:rPr>
                <w:rFonts w:ascii="Arial" w:hAnsi="Arial" w:cs="Arial"/>
              </w:rPr>
              <w:t>306</w:t>
            </w:r>
          </w:p>
        </w:tc>
        <w:tc>
          <w:tcPr>
            <w:tcW w:w="1414" w:type="dxa"/>
          </w:tcPr>
          <w:p w14:paraId="5266AB21" w14:textId="682DB395" w:rsidR="007B3F33" w:rsidRPr="006E796F" w:rsidRDefault="007B3F33" w:rsidP="00230549">
            <w:pPr>
              <w:spacing w:line="360" w:lineRule="auto"/>
              <w:rPr>
                <w:rFonts w:ascii="Arial" w:hAnsi="Arial" w:cs="Arial"/>
              </w:rPr>
            </w:pPr>
            <w:r w:rsidRPr="006E796F">
              <w:rPr>
                <w:rFonts w:ascii="Arial" w:hAnsi="Arial" w:cs="Arial"/>
              </w:rPr>
              <w:t>33</w:t>
            </w:r>
          </w:p>
        </w:tc>
        <w:tc>
          <w:tcPr>
            <w:tcW w:w="1390" w:type="dxa"/>
          </w:tcPr>
          <w:p w14:paraId="47BFF0D2" w14:textId="46037F2B" w:rsidR="007B3F33" w:rsidRPr="006E796F" w:rsidRDefault="006E796F" w:rsidP="00230549">
            <w:pPr>
              <w:spacing w:line="360" w:lineRule="auto"/>
              <w:rPr>
                <w:rFonts w:ascii="Arial" w:hAnsi="Arial" w:cs="Arial"/>
              </w:rPr>
            </w:pPr>
            <w:r w:rsidRPr="006E796F">
              <w:rPr>
                <w:rFonts w:ascii="Arial" w:hAnsi="Arial" w:cs="Arial"/>
              </w:rPr>
              <w:t>65</w:t>
            </w:r>
          </w:p>
        </w:tc>
      </w:tr>
      <w:tr w:rsidR="007B3F33" w14:paraId="490DDB3A" w14:textId="77777777" w:rsidTr="003B41B0">
        <w:tc>
          <w:tcPr>
            <w:tcW w:w="1068" w:type="dxa"/>
          </w:tcPr>
          <w:p w14:paraId="2A0F8895" w14:textId="03D05905" w:rsidR="007B3F33" w:rsidRPr="006E796F" w:rsidRDefault="007B3F33" w:rsidP="00230549">
            <w:pPr>
              <w:spacing w:line="360" w:lineRule="auto"/>
              <w:rPr>
                <w:rFonts w:ascii="Arial" w:hAnsi="Arial" w:cs="Arial"/>
              </w:rPr>
            </w:pPr>
            <w:r w:rsidRPr="006E796F">
              <w:rPr>
                <w:rFonts w:ascii="Arial" w:hAnsi="Arial" w:cs="Arial"/>
              </w:rPr>
              <w:t>2090</w:t>
            </w:r>
          </w:p>
        </w:tc>
        <w:tc>
          <w:tcPr>
            <w:tcW w:w="1171" w:type="dxa"/>
          </w:tcPr>
          <w:p w14:paraId="30F781F7" w14:textId="5D8283C7" w:rsidR="007B3F33" w:rsidRPr="006E796F" w:rsidRDefault="007B3F33" w:rsidP="00230549">
            <w:pPr>
              <w:spacing w:line="360" w:lineRule="auto"/>
              <w:rPr>
                <w:rFonts w:ascii="Arial" w:hAnsi="Arial" w:cs="Arial"/>
              </w:rPr>
            </w:pPr>
            <w:r w:rsidRPr="006E796F">
              <w:rPr>
                <w:rFonts w:ascii="Arial" w:hAnsi="Arial" w:cs="Arial"/>
              </w:rPr>
              <w:t>292</w:t>
            </w:r>
          </w:p>
        </w:tc>
        <w:tc>
          <w:tcPr>
            <w:tcW w:w="1414" w:type="dxa"/>
          </w:tcPr>
          <w:p w14:paraId="22419F4C" w14:textId="6EBB566D" w:rsidR="007B3F33" w:rsidRPr="006E796F" w:rsidRDefault="007B3F33" w:rsidP="00230549">
            <w:pPr>
              <w:spacing w:line="360" w:lineRule="auto"/>
              <w:rPr>
                <w:rFonts w:ascii="Arial" w:hAnsi="Arial" w:cs="Arial"/>
              </w:rPr>
            </w:pPr>
            <w:r w:rsidRPr="006E796F">
              <w:rPr>
                <w:rFonts w:ascii="Arial" w:hAnsi="Arial" w:cs="Arial"/>
              </w:rPr>
              <w:t>24</w:t>
            </w:r>
          </w:p>
        </w:tc>
        <w:tc>
          <w:tcPr>
            <w:tcW w:w="1390" w:type="dxa"/>
          </w:tcPr>
          <w:p w14:paraId="4A88F3C9" w14:textId="7EE197EF" w:rsidR="007B3F33" w:rsidRPr="006E796F" w:rsidRDefault="007B3F33" w:rsidP="00230549">
            <w:pPr>
              <w:spacing w:line="360" w:lineRule="auto"/>
              <w:rPr>
                <w:rFonts w:ascii="Arial" w:hAnsi="Arial" w:cs="Arial"/>
              </w:rPr>
            </w:pPr>
            <w:r w:rsidRPr="006E796F">
              <w:rPr>
                <w:rFonts w:ascii="Arial" w:hAnsi="Arial" w:cs="Arial"/>
              </w:rPr>
              <w:t>173</w:t>
            </w:r>
          </w:p>
        </w:tc>
        <w:tc>
          <w:tcPr>
            <w:tcW w:w="1169" w:type="dxa"/>
          </w:tcPr>
          <w:p w14:paraId="02FD434F" w14:textId="67CF68ED" w:rsidR="007B3F33" w:rsidRPr="006E796F" w:rsidRDefault="007B3F33" w:rsidP="00230549">
            <w:pPr>
              <w:spacing w:line="360" w:lineRule="auto"/>
              <w:rPr>
                <w:rFonts w:ascii="Arial" w:hAnsi="Arial" w:cs="Arial"/>
              </w:rPr>
            </w:pPr>
            <w:r w:rsidRPr="006E796F">
              <w:rPr>
                <w:rFonts w:ascii="Arial" w:hAnsi="Arial" w:cs="Arial"/>
              </w:rPr>
              <w:t>292</w:t>
            </w:r>
          </w:p>
        </w:tc>
        <w:tc>
          <w:tcPr>
            <w:tcW w:w="1414" w:type="dxa"/>
          </w:tcPr>
          <w:p w14:paraId="490BE6A5" w14:textId="3C4F369E" w:rsidR="007B3F33" w:rsidRPr="006E796F" w:rsidRDefault="007B3F33" w:rsidP="00230549">
            <w:pPr>
              <w:spacing w:line="360" w:lineRule="auto"/>
              <w:rPr>
                <w:rFonts w:ascii="Arial" w:hAnsi="Arial" w:cs="Arial"/>
              </w:rPr>
            </w:pPr>
            <w:r w:rsidRPr="006E796F">
              <w:rPr>
                <w:rFonts w:ascii="Arial" w:hAnsi="Arial" w:cs="Arial"/>
              </w:rPr>
              <w:t>24</w:t>
            </w:r>
          </w:p>
        </w:tc>
        <w:tc>
          <w:tcPr>
            <w:tcW w:w="1390" w:type="dxa"/>
          </w:tcPr>
          <w:p w14:paraId="689C2394" w14:textId="1EFD9CEF" w:rsidR="007B3F33" w:rsidRPr="006E796F" w:rsidRDefault="006E796F" w:rsidP="00230549">
            <w:pPr>
              <w:spacing w:line="360" w:lineRule="auto"/>
              <w:rPr>
                <w:rFonts w:ascii="Arial" w:hAnsi="Arial" w:cs="Arial"/>
              </w:rPr>
            </w:pPr>
            <w:r w:rsidRPr="006E796F">
              <w:rPr>
                <w:rFonts w:ascii="Arial" w:hAnsi="Arial" w:cs="Arial"/>
              </w:rPr>
              <w:t>47</w:t>
            </w:r>
          </w:p>
        </w:tc>
      </w:tr>
      <w:tr w:rsidR="007B3F33" w14:paraId="5C0452AD" w14:textId="77777777" w:rsidTr="003B41B0">
        <w:tc>
          <w:tcPr>
            <w:tcW w:w="1068" w:type="dxa"/>
          </w:tcPr>
          <w:p w14:paraId="33A02094" w14:textId="46A1F27C" w:rsidR="007B3F33" w:rsidRPr="006E796F" w:rsidRDefault="007B3F33" w:rsidP="00230549">
            <w:pPr>
              <w:spacing w:line="360" w:lineRule="auto"/>
              <w:rPr>
                <w:rFonts w:ascii="Arial" w:hAnsi="Arial" w:cs="Arial"/>
              </w:rPr>
            </w:pPr>
            <w:r w:rsidRPr="006E796F">
              <w:rPr>
                <w:rFonts w:ascii="Arial" w:hAnsi="Arial" w:cs="Arial"/>
              </w:rPr>
              <w:t>1100</w:t>
            </w:r>
          </w:p>
        </w:tc>
        <w:tc>
          <w:tcPr>
            <w:tcW w:w="1171" w:type="dxa"/>
          </w:tcPr>
          <w:p w14:paraId="210EA5CF" w14:textId="36CE1CA2" w:rsidR="007B3F33" w:rsidRPr="006E796F" w:rsidRDefault="007B3F33" w:rsidP="00230549">
            <w:pPr>
              <w:spacing w:line="360" w:lineRule="auto"/>
              <w:rPr>
                <w:rFonts w:ascii="Arial" w:hAnsi="Arial" w:cs="Arial"/>
              </w:rPr>
            </w:pPr>
            <w:r w:rsidRPr="006E796F">
              <w:rPr>
                <w:rFonts w:ascii="Arial" w:hAnsi="Arial" w:cs="Arial"/>
              </w:rPr>
              <w:t>268</w:t>
            </w:r>
          </w:p>
        </w:tc>
        <w:tc>
          <w:tcPr>
            <w:tcW w:w="1414" w:type="dxa"/>
          </w:tcPr>
          <w:p w14:paraId="49FBBA15" w14:textId="0D887AA5" w:rsidR="007B3F33" w:rsidRPr="006E796F" w:rsidRDefault="007B3F33" w:rsidP="00230549">
            <w:pPr>
              <w:spacing w:line="360" w:lineRule="auto"/>
              <w:rPr>
                <w:rFonts w:ascii="Arial" w:hAnsi="Arial" w:cs="Arial"/>
              </w:rPr>
            </w:pPr>
            <w:r w:rsidRPr="006E796F">
              <w:rPr>
                <w:rFonts w:ascii="Arial" w:hAnsi="Arial" w:cs="Arial"/>
              </w:rPr>
              <w:t>17</w:t>
            </w:r>
          </w:p>
        </w:tc>
        <w:tc>
          <w:tcPr>
            <w:tcW w:w="1390" w:type="dxa"/>
          </w:tcPr>
          <w:p w14:paraId="591EA732" w14:textId="6A3AD4B9" w:rsidR="007B3F33" w:rsidRPr="006E796F" w:rsidRDefault="007B3F33" w:rsidP="00230549">
            <w:pPr>
              <w:spacing w:line="360" w:lineRule="auto"/>
              <w:rPr>
                <w:rFonts w:ascii="Arial" w:hAnsi="Arial" w:cs="Arial"/>
              </w:rPr>
            </w:pPr>
            <w:r w:rsidRPr="006E796F">
              <w:rPr>
                <w:rFonts w:ascii="Arial" w:hAnsi="Arial" w:cs="Arial"/>
              </w:rPr>
              <w:t>124</w:t>
            </w:r>
          </w:p>
        </w:tc>
        <w:tc>
          <w:tcPr>
            <w:tcW w:w="1169" w:type="dxa"/>
          </w:tcPr>
          <w:p w14:paraId="080114C4" w14:textId="7B8B8633" w:rsidR="007B3F33" w:rsidRPr="006E796F" w:rsidRDefault="007B3F33" w:rsidP="00230549">
            <w:pPr>
              <w:spacing w:line="360" w:lineRule="auto"/>
              <w:rPr>
                <w:rFonts w:ascii="Arial" w:hAnsi="Arial" w:cs="Arial"/>
              </w:rPr>
            </w:pPr>
            <w:r w:rsidRPr="006E796F">
              <w:rPr>
                <w:rFonts w:ascii="Arial" w:hAnsi="Arial" w:cs="Arial"/>
              </w:rPr>
              <w:t>268</w:t>
            </w:r>
          </w:p>
        </w:tc>
        <w:tc>
          <w:tcPr>
            <w:tcW w:w="1414" w:type="dxa"/>
          </w:tcPr>
          <w:p w14:paraId="2C865063" w14:textId="45EF1CEC" w:rsidR="007B3F33" w:rsidRPr="006E796F" w:rsidRDefault="007B3F33" w:rsidP="00230549">
            <w:pPr>
              <w:spacing w:line="360" w:lineRule="auto"/>
              <w:rPr>
                <w:rFonts w:ascii="Arial" w:hAnsi="Arial" w:cs="Arial"/>
              </w:rPr>
            </w:pPr>
            <w:r w:rsidRPr="006E796F">
              <w:rPr>
                <w:rFonts w:ascii="Arial" w:hAnsi="Arial" w:cs="Arial"/>
              </w:rPr>
              <w:t>17</w:t>
            </w:r>
          </w:p>
        </w:tc>
        <w:tc>
          <w:tcPr>
            <w:tcW w:w="1390" w:type="dxa"/>
          </w:tcPr>
          <w:p w14:paraId="37C6ADBF" w14:textId="28BD9C0E" w:rsidR="007B3F33" w:rsidRPr="006E796F" w:rsidRDefault="006E796F" w:rsidP="00230549">
            <w:pPr>
              <w:spacing w:line="360" w:lineRule="auto"/>
              <w:rPr>
                <w:rFonts w:ascii="Arial" w:hAnsi="Arial" w:cs="Arial"/>
              </w:rPr>
            </w:pPr>
            <w:r w:rsidRPr="006E796F">
              <w:rPr>
                <w:rFonts w:ascii="Arial" w:hAnsi="Arial" w:cs="Arial"/>
              </w:rPr>
              <w:t>34</w:t>
            </w:r>
          </w:p>
        </w:tc>
      </w:tr>
    </w:tbl>
    <w:p w14:paraId="065D0C46" w14:textId="1B93F199" w:rsidR="00E10628" w:rsidRPr="000E680D" w:rsidRDefault="00E10628" w:rsidP="007E69C5">
      <w:pPr>
        <w:pStyle w:val="Caption"/>
        <w:jc w:val="center"/>
        <w:rPr>
          <w:rFonts w:ascii="Arial" w:hAnsi="Arial" w:cs="Arial"/>
          <w:sz w:val="22"/>
          <w:szCs w:val="22"/>
        </w:rPr>
      </w:pPr>
      <w:bookmarkStart w:id="41" w:name="_Toc66868986"/>
      <w:r w:rsidRPr="000E680D">
        <w:rPr>
          <w:rFonts w:ascii="Arial" w:hAnsi="Arial" w:cs="Arial"/>
          <w:sz w:val="22"/>
          <w:szCs w:val="22"/>
        </w:rPr>
        <w:t xml:space="preserve">Table </w:t>
      </w:r>
      <w:r w:rsidR="00AA34FF" w:rsidRPr="000E680D">
        <w:rPr>
          <w:rFonts w:ascii="Arial" w:hAnsi="Arial" w:cs="Arial"/>
          <w:sz w:val="22"/>
          <w:szCs w:val="22"/>
        </w:rPr>
        <w:fldChar w:fldCharType="begin"/>
      </w:r>
      <w:r w:rsidR="00AA34FF" w:rsidRPr="000E680D">
        <w:rPr>
          <w:rFonts w:ascii="Arial" w:hAnsi="Arial" w:cs="Arial"/>
          <w:sz w:val="22"/>
          <w:szCs w:val="22"/>
        </w:rPr>
        <w:instrText xml:space="preserve"> SEQ Table \* ARABIC </w:instrText>
      </w:r>
      <w:r w:rsidR="00AA34FF" w:rsidRPr="000E680D">
        <w:rPr>
          <w:rFonts w:ascii="Arial" w:hAnsi="Arial" w:cs="Arial"/>
          <w:sz w:val="22"/>
          <w:szCs w:val="22"/>
        </w:rPr>
        <w:fldChar w:fldCharType="separate"/>
      </w:r>
      <w:r w:rsidR="00B97B5D">
        <w:rPr>
          <w:rFonts w:ascii="Arial" w:hAnsi="Arial" w:cs="Arial"/>
          <w:noProof/>
          <w:sz w:val="22"/>
          <w:szCs w:val="22"/>
        </w:rPr>
        <w:t>2</w:t>
      </w:r>
      <w:r w:rsidR="00AA34FF" w:rsidRPr="000E680D">
        <w:rPr>
          <w:rFonts w:ascii="Arial" w:hAnsi="Arial" w:cs="Arial"/>
          <w:noProof/>
          <w:sz w:val="22"/>
          <w:szCs w:val="22"/>
        </w:rPr>
        <w:fldChar w:fldCharType="end"/>
      </w:r>
      <w:r w:rsidRPr="000E680D">
        <w:rPr>
          <w:rFonts w:ascii="Arial" w:hAnsi="Arial" w:cs="Arial"/>
          <w:sz w:val="22"/>
          <w:szCs w:val="22"/>
        </w:rPr>
        <w:t xml:space="preserve"> - UK social values of carbon (£/tCO2e at 2009 prices)</w:t>
      </w:r>
      <w:bookmarkEnd w:id="41"/>
    </w:p>
    <w:p w14:paraId="41151906" w14:textId="3B8001E0" w:rsidR="007A3CE6" w:rsidRPr="009F7A33" w:rsidRDefault="007A3CE6" w:rsidP="005F45E6">
      <w:pPr>
        <w:pStyle w:val="Heading2"/>
        <w:spacing w:after="240"/>
        <w:rPr>
          <w:rFonts w:ascii="Arial" w:eastAsia="Times New Roman" w:hAnsi="Arial" w:cs="Arial"/>
          <w:b/>
          <w:bCs/>
          <w:color w:val="auto"/>
          <w:sz w:val="24"/>
          <w:szCs w:val="24"/>
          <w:lang w:eastAsia="en-GB"/>
        </w:rPr>
      </w:pPr>
      <w:bookmarkStart w:id="42" w:name="_Toc66868895"/>
      <w:r w:rsidRPr="009F7A33">
        <w:rPr>
          <w:rFonts w:ascii="Arial" w:eastAsia="Times New Roman" w:hAnsi="Arial" w:cs="Arial"/>
          <w:b/>
          <w:bCs/>
          <w:color w:val="auto"/>
          <w:sz w:val="24"/>
          <w:szCs w:val="24"/>
          <w:lang w:eastAsia="en-GB"/>
        </w:rPr>
        <w:t>Conclusion</w:t>
      </w:r>
      <w:bookmarkEnd w:id="42"/>
    </w:p>
    <w:p w14:paraId="57BDD4D0" w14:textId="60C58127" w:rsidR="00153EE4" w:rsidRPr="000C032F" w:rsidRDefault="00381F62" w:rsidP="004A2DD4">
      <w:pPr>
        <w:tabs>
          <w:tab w:val="num" w:pos="720"/>
        </w:tabs>
        <w:spacing w:line="360" w:lineRule="auto"/>
        <w:jc w:val="both"/>
        <w:rPr>
          <w:rFonts w:ascii="Arial" w:hAnsi="Arial" w:cs="Arial"/>
        </w:rPr>
      </w:pPr>
      <w:r w:rsidRPr="003E6A7E">
        <w:rPr>
          <w:rFonts w:ascii="Arial" w:hAnsi="Arial" w:cs="Arial"/>
        </w:rPr>
        <w:t>To</w:t>
      </w:r>
      <w:r w:rsidR="00444E47" w:rsidRPr="003E6A7E">
        <w:rPr>
          <w:rFonts w:ascii="Arial" w:hAnsi="Arial" w:cs="Arial"/>
        </w:rPr>
        <w:t xml:space="preserve"> determine the optimal maintenance strategy </w:t>
      </w:r>
      <w:r w:rsidR="00795AB9" w:rsidRPr="003E6A7E">
        <w:rPr>
          <w:rFonts w:ascii="Arial" w:hAnsi="Arial" w:cs="Arial"/>
        </w:rPr>
        <w:t xml:space="preserve">and </w:t>
      </w:r>
      <w:r w:rsidR="00652F9E" w:rsidRPr="003E6A7E">
        <w:rPr>
          <w:rFonts w:ascii="Arial" w:hAnsi="Arial" w:cs="Arial"/>
        </w:rPr>
        <w:t xml:space="preserve">calculate the budget requirements </w:t>
      </w:r>
      <w:r w:rsidR="009D305C" w:rsidRPr="003E6A7E">
        <w:rPr>
          <w:rFonts w:ascii="Arial" w:hAnsi="Arial" w:cs="Arial"/>
        </w:rPr>
        <w:t>for a bridge</w:t>
      </w:r>
      <w:r w:rsidR="00355315" w:rsidRPr="003E6A7E">
        <w:rPr>
          <w:rFonts w:ascii="Arial" w:hAnsi="Arial" w:cs="Arial"/>
        </w:rPr>
        <w:t>,</w:t>
      </w:r>
      <w:r w:rsidR="00652F9E" w:rsidRPr="003E6A7E">
        <w:rPr>
          <w:rFonts w:ascii="Arial" w:hAnsi="Arial" w:cs="Arial"/>
        </w:rPr>
        <w:t xml:space="preserve"> it</w:t>
      </w:r>
      <w:r w:rsidR="009D305C" w:rsidRPr="003E6A7E">
        <w:rPr>
          <w:rFonts w:ascii="Arial" w:hAnsi="Arial" w:cs="Arial"/>
        </w:rPr>
        <w:t xml:space="preserve"> is essential to </w:t>
      </w:r>
      <w:r w:rsidR="00A56C42" w:rsidRPr="003E6A7E">
        <w:rPr>
          <w:rFonts w:ascii="Arial" w:hAnsi="Arial" w:cs="Arial"/>
        </w:rPr>
        <w:t>take</w:t>
      </w:r>
      <w:r w:rsidR="00FD0287" w:rsidRPr="003E6A7E">
        <w:rPr>
          <w:rFonts w:ascii="Arial" w:hAnsi="Arial" w:cs="Arial"/>
        </w:rPr>
        <w:t xml:space="preserve"> a</w:t>
      </w:r>
      <w:r w:rsidR="009D305C" w:rsidRPr="003E6A7E">
        <w:rPr>
          <w:rFonts w:ascii="Arial" w:hAnsi="Arial" w:cs="Arial"/>
        </w:rPr>
        <w:t xml:space="preserve"> </w:t>
      </w:r>
      <w:r w:rsidR="00A15915" w:rsidRPr="003E6A7E">
        <w:rPr>
          <w:rFonts w:ascii="Arial" w:hAnsi="Arial" w:cs="Arial"/>
        </w:rPr>
        <w:t xml:space="preserve">life cycle </w:t>
      </w:r>
      <w:r w:rsidR="00330F15" w:rsidRPr="003E6A7E">
        <w:rPr>
          <w:rFonts w:ascii="Arial" w:hAnsi="Arial" w:cs="Arial"/>
        </w:rPr>
        <w:t xml:space="preserve">planning </w:t>
      </w:r>
      <w:r w:rsidR="00A15915" w:rsidRPr="003E6A7E">
        <w:rPr>
          <w:rFonts w:ascii="Arial" w:hAnsi="Arial" w:cs="Arial"/>
        </w:rPr>
        <w:t>approach</w:t>
      </w:r>
      <w:r w:rsidR="00E8678C" w:rsidRPr="003E6A7E">
        <w:rPr>
          <w:rFonts w:ascii="Arial" w:hAnsi="Arial" w:cs="Arial"/>
        </w:rPr>
        <w:t>,</w:t>
      </w:r>
      <w:r w:rsidR="00A15915" w:rsidRPr="003E6A7E">
        <w:rPr>
          <w:rFonts w:ascii="Arial" w:hAnsi="Arial" w:cs="Arial"/>
        </w:rPr>
        <w:t xml:space="preserve"> </w:t>
      </w:r>
      <w:r w:rsidR="00330F15" w:rsidRPr="003E6A7E">
        <w:rPr>
          <w:rFonts w:ascii="Arial" w:hAnsi="Arial" w:cs="Arial"/>
        </w:rPr>
        <w:t>taking</w:t>
      </w:r>
      <w:r w:rsidR="00A15915" w:rsidRPr="003E6A7E">
        <w:rPr>
          <w:rFonts w:ascii="Arial" w:hAnsi="Arial" w:cs="Arial"/>
        </w:rPr>
        <w:t xml:space="preserve"> both cost and sustainability into consideration.</w:t>
      </w:r>
      <w:r w:rsidR="00E8678C" w:rsidRPr="003E6A7E">
        <w:rPr>
          <w:rFonts w:ascii="Arial" w:hAnsi="Arial" w:cs="Arial"/>
        </w:rPr>
        <w:t xml:space="preserve"> Although life cycle planning </w:t>
      </w:r>
      <w:r w:rsidR="00F804B5" w:rsidRPr="003E6A7E">
        <w:rPr>
          <w:rFonts w:ascii="Arial" w:hAnsi="Arial" w:cs="Arial"/>
        </w:rPr>
        <w:t>tools have been developed for bridges</w:t>
      </w:r>
      <w:r w:rsidR="00E32C4C" w:rsidRPr="003E6A7E">
        <w:rPr>
          <w:rFonts w:ascii="Arial" w:hAnsi="Arial" w:cs="Arial"/>
        </w:rPr>
        <w:t xml:space="preserve">, the current driver for bridge maintenance decisions </w:t>
      </w:r>
      <w:r w:rsidR="00B31EBD" w:rsidRPr="003E6A7E">
        <w:rPr>
          <w:rFonts w:ascii="Arial" w:hAnsi="Arial" w:cs="Arial"/>
        </w:rPr>
        <w:t>remains</w:t>
      </w:r>
      <w:r w:rsidR="009E35B3" w:rsidRPr="003E6A7E">
        <w:rPr>
          <w:rFonts w:ascii="Arial" w:hAnsi="Arial" w:cs="Arial"/>
        </w:rPr>
        <w:t xml:space="preserve"> to be</w:t>
      </w:r>
      <w:r w:rsidR="00B31EBD" w:rsidRPr="003E6A7E">
        <w:rPr>
          <w:rFonts w:ascii="Arial" w:hAnsi="Arial" w:cs="Arial"/>
        </w:rPr>
        <w:t xml:space="preserve"> cost. </w:t>
      </w:r>
      <w:r w:rsidR="008B10A9" w:rsidRPr="003E6A7E">
        <w:rPr>
          <w:rFonts w:ascii="Arial" w:hAnsi="Arial" w:cs="Arial"/>
        </w:rPr>
        <w:t xml:space="preserve">The industry </w:t>
      </w:r>
      <w:r w:rsidR="00EC3F0F">
        <w:rPr>
          <w:rFonts w:ascii="Arial" w:hAnsi="Arial" w:cs="Arial"/>
        </w:rPr>
        <w:t>will need to</w:t>
      </w:r>
      <w:r w:rsidR="008B10A9" w:rsidRPr="003E6A7E">
        <w:rPr>
          <w:rFonts w:ascii="Arial" w:hAnsi="Arial" w:cs="Arial"/>
        </w:rPr>
        <w:t xml:space="preserve"> adopt a more sustainable approach to bridge maintenance planning</w:t>
      </w:r>
      <w:r w:rsidR="00712F37" w:rsidRPr="003E6A7E">
        <w:rPr>
          <w:rFonts w:ascii="Arial" w:hAnsi="Arial" w:cs="Arial"/>
        </w:rPr>
        <w:t xml:space="preserve">, so not to undermine the </w:t>
      </w:r>
      <w:r w:rsidR="00F5720A" w:rsidRPr="003E6A7E">
        <w:rPr>
          <w:rFonts w:ascii="Arial" w:hAnsi="Arial" w:cs="Arial"/>
        </w:rPr>
        <w:t>governments</w:t>
      </w:r>
      <w:r w:rsidR="00712F37" w:rsidRPr="003E6A7E">
        <w:rPr>
          <w:rFonts w:ascii="Arial" w:hAnsi="Arial" w:cs="Arial"/>
        </w:rPr>
        <w:t xml:space="preserve"> targets </w:t>
      </w:r>
      <w:r w:rsidR="00822DA1" w:rsidRPr="003E6A7E">
        <w:rPr>
          <w:rFonts w:ascii="Arial" w:hAnsi="Arial" w:cs="Arial"/>
        </w:rPr>
        <w:t>for</w:t>
      </w:r>
      <w:r w:rsidR="00F5720A" w:rsidRPr="003E6A7E">
        <w:rPr>
          <w:rFonts w:ascii="Arial" w:hAnsi="Arial" w:cs="Arial"/>
        </w:rPr>
        <w:t xml:space="preserve"> reduc</w:t>
      </w:r>
      <w:r w:rsidR="00822DA1" w:rsidRPr="003E6A7E">
        <w:rPr>
          <w:rFonts w:ascii="Arial" w:hAnsi="Arial" w:cs="Arial"/>
        </w:rPr>
        <w:t>ing</w:t>
      </w:r>
      <w:r w:rsidR="00F5720A" w:rsidRPr="003E6A7E">
        <w:rPr>
          <w:rFonts w:ascii="Arial" w:hAnsi="Arial" w:cs="Arial"/>
        </w:rPr>
        <w:t xml:space="preserve"> </w:t>
      </w:r>
      <w:r w:rsidR="00355315" w:rsidRPr="003E6A7E">
        <w:rPr>
          <w:rFonts w:ascii="Arial" w:hAnsi="Arial" w:cs="Arial"/>
        </w:rPr>
        <w:t>CO</w:t>
      </w:r>
      <w:r w:rsidR="00355315" w:rsidRPr="00FA3C81">
        <w:rPr>
          <w:rFonts w:ascii="Arial" w:hAnsi="Arial" w:cs="Arial"/>
          <w:vertAlign w:val="subscript"/>
        </w:rPr>
        <w:t>2</w:t>
      </w:r>
      <w:r w:rsidR="00355315" w:rsidRPr="003E6A7E">
        <w:rPr>
          <w:rFonts w:ascii="Arial" w:hAnsi="Arial" w:cs="Arial"/>
        </w:rPr>
        <w:t xml:space="preserve"> </w:t>
      </w:r>
      <w:r w:rsidR="00A64755" w:rsidRPr="003E6A7E">
        <w:rPr>
          <w:rFonts w:ascii="Arial" w:hAnsi="Arial" w:cs="Arial"/>
        </w:rPr>
        <w:t>emissions by 2050.</w:t>
      </w:r>
      <w:r w:rsidR="005E0E63" w:rsidRPr="003E6A7E">
        <w:rPr>
          <w:rFonts w:ascii="Arial" w:hAnsi="Arial" w:cs="Arial"/>
        </w:rPr>
        <w:t xml:space="preserve"> Monetisation of carbon emissions arising from maintenance activities </w:t>
      </w:r>
      <w:r w:rsidR="00CC5858" w:rsidRPr="003E6A7E">
        <w:rPr>
          <w:rFonts w:ascii="Arial" w:hAnsi="Arial" w:cs="Arial"/>
        </w:rPr>
        <w:t xml:space="preserve">provides a </w:t>
      </w:r>
      <w:r w:rsidR="00D16207">
        <w:rPr>
          <w:rFonts w:ascii="Arial" w:hAnsi="Arial" w:cs="Arial"/>
        </w:rPr>
        <w:t>credible</w:t>
      </w:r>
      <w:r w:rsidR="00CC5858" w:rsidRPr="003E6A7E">
        <w:rPr>
          <w:rFonts w:ascii="Arial" w:hAnsi="Arial" w:cs="Arial"/>
        </w:rPr>
        <w:t xml:space="preserve"> </w:t>
      </w:r>
      <w:r w:rsidR="00DD2E22" w:rsidRPr="003E6A7E">
        <w:rPr>
          <w:rFonts w:ascii="Arial" w:hAnsi="Arial" w:cs="Arial"/>
        </w:rPr>
        <w:t>method for</w:t>
      </w:r>
      <w:r w:rsidR="00DC2607" w:rsidRPr="003E6A7E">
        <w:rPr>
          <w:rFonts w:ascii="Arial" w:hAnsi="Arial" w:cs="Arial"/>
        </w:rPr>
        <w:t xml:space="preserve"> consider</w:t>
      </w:r>
      <w:r w:rsidR="00B26FC6" w:rsidRPr="003E6A7E">
        <w:rPr>
          <w:rFonts w:ascii="Arial" w:hAnsi="Arial" w:cs="Arial"/>
        </w:rPr>
        <w:t xml:space="preserve">ing </w:t>
      </w:r>
      <w:r w:rsidR="00A80BB3" w:rsidRPr="003E6A7E">
        <w:rPr>
          <w:rFonts w:ascii="Arial" w:hAnsi="Arial" w:cs="Arial"/>
        </w:rPr>
        <w:t>the effects of ca</w:t>
      </w:r>
      <w:r w:rsidR="00210C9C" w:rsidRPr="003E6A7E">
        <w:rPr>
          <w:rFonts w:ascii="Arial" w:hAnsi="Arial" w:cs="Arial"/>
        </w:rPr>
        <w:t>r</w:t>
      </w:r>
      <w:r w:rsidR="00A80BB3" w:rsidRPr="003E6A7E">
        <w:rPr>
          <w:rFonts w:ascii="Arial" w:hAnsi="Arial" w:cs="Arial"/>
        </w:rPr>
        <w:t>bon emis</w:t>
      </w:r>
      <w:r w:rsidR="00210C9C" w:rsidRPr="003E6A7E">
        <w:rPr>
          <w:rFonts w:ascii="Arial" w:hAnsi="Arial" w:cs="Arial"/>
        </w:rPr>
        <w:t>s</w:t>
      </w:r>
      <w:r w:rsidR="00A80BB3" w:rsidRPr="003E6A7E">
        <w:rPr>
          <w:rFonts w:ascii="Arial" w:hAnsi="Arial" w:cs="Arial"/>
        </w:rPr>
        <w:t>ions</w:t>
      </w:r>
      <w:r w:rsidR="00DA136F">
        <w:rPr>
          <w:rFonts w:ascii="Arial" w:hAnsi="Arial" w:cs="Arial"/>
        </w:rPr>
        <w:t xml:space="preserve"> in addition to other factors such as cost and driver delays</w:t>
      </w:r>
      <w:r w:rsidR="00921BC6" w:rsidRPr="003E6A7E">
        <w:rPr>
          <w:rFonts w:ascii="Arial" w:hAnsi="Arial" w:cs="Arial"/>
        </w:rPr>
        <w:t xml:space="preserve">. </w:t>
      </w:r>
      <w:r w:rsidR="00921BC6" w:rsidRPr="000C032F">
        <w:rPr>
          <w:rFonts w:ascii="Arial" w:hAnsi="Arial" w:cs="Arial"/>
        </w:rPr>
        <w:t>Moneti</w:t>
      </w:r>
      <w:r w:rsidR="00D6091F" w:rsidRPr="000C032F">
        <w:rPr>
          <w:rFonts w:ascii="Arial" w:hAnsi="Arial" w:cs="Arial"/>
        </w:rPr>
        <w:t>s</w:t>
      </w:r>
      <w:r w:rsidR="00921BC6" w:rsidRPr="000C032F">
        <w:rPr>
          <w:rFonts w:ascii="Arial" w:hAnsi="Arial" w:cs="Arial"/>
        </w:rPr>
        <w:t xml:space="preserve">ed values for carbon emissions can be incorporated </w:t>
      </w:r>
      <w:r w:rsidR="00FF5D99" w:rsidRPr="00E6059A">
        <w:rPr>
          <w:rFonts w:ascii="Arial" w:hAnsi="Arial" w:cs="Arial"/>
        </w:rPr>
        <w:t>into</w:t>
      </w:r>
      <w:r w:rsidR="00E11BAF" w:rsidRPr="000C032F">
        <w:rPr>
          <w:rFonts w:ascii="Arial" w:hAnsi="Arial" w:cs="Arial"/>
        </w:rPr>
        <w:t xml:space="preserve"> whole life cost</w:t>
      </w:r>
      <w:r w:rsidR="000C032F" w:rsidRPr="00E6059A">
        <w:rPr>
          <w:rFonts w:ascii="Arial" w:hAnsi="Arial" w:cs="Arial"/>
        </w:rPr>
        <w:t>ing analysis</w:t>
      </w:r>
      <w:r w:rsidR="00F0483F" w:rsidRPr="000C032F">
        <w:rPr>
          <w:rFonts w:ascii="Arial" w:hAnsi="Arial" w:cs="Arial"/>
        </w:rPr>
        <w:t xml:space="preserve"> to determine the </w:t>
      </w:r>
      <w:r w:rsidR="00195F2F" w:rsidRPr="000C032F">
        <w:rPr>
          <w:rFonts w:ascii="Arial" w:hAnsi="Arial" w:cs="Arial"/>
        </w:rPr>
        <w:t>optimal maintenance strategy</w:t>
      </w:r>
      <w:r w:rsidR="00E11BAF" w:rsidRPr="000C032F">
        <w:rPr>
          <w:rFonts w:ascii="Arial" w:hAnsi="Arial" w:cs="Arial"/>
        </w:rPr>
        <w:t>.</w:t>
      </w:r>
      <w:r w:rsidR="00276EC1" w:rsidRPr="000C032F">
        <w:rPr>
          <w:rFonts w:ascii="Arial" w:hAnsi="Arial" w:cs="Arial"/>
        </w:rPr>
        <w:t xml:space="preserve"> </w:t>
      </w:r>
    </w:p>
    <w:p w14:paraId="0A0BAFE4" w14:textId="433B256F" w:rsidR="00071307" w:rsidRDefault="00071307" w:rsidP="006D49D7">
      <w:pPr>
        <w:tabs>
          <w:tab w:val="num" w:pos="720"/>
        </w:tabs>
        <w:spacing w:line="360" w:lineRule="auto"/>
        <w:rPr>
          <w:rFonts w:ascii="Arial" w:hAnsi="Arial" w:cs="Arial"/>
        </w:rPr>
      </w:pPr>
    </w:p>
    <w:p w14:paraId="4F17DF13" w14:textId="61D5CE3E" w:rsidR="009E6671" w:rsidRDefault="009E6671" w:rsidP="006D49D7">
      <w:pPr>
        <w:tabs>
          <w:tab w:val="num" w:pos="720"/>
        </w:tabs>
        <w:spacing w:line="360" w:lineRule="auto"/>
        <w:rPr>
          <w:rFonts w:ascii="Arial" w:hAnsi="Arial" w:cs="Arial"/>
        </w:rPr>
      </w:pPr>
    </w:p>
    <w:p w14:paraId="62560167" w14:textId="5A203A7A" w:rsidR="009E6671" w:rsidRDefault="009E6671" w:rsidP="006D49D7">
      <w:pPr>
        <w:tabs>
          <w:tab w:val="num" w:pos="720"/>
        </w:tabs>
        <w:spacing w:line="360" w:lineRule="auto"/>
        <w:rPr>
          <w:rFonts w:ascii="Arial" w:hAnsi="Arial" w:cs="Arial"/>
        </w:rPr>
      </w:pPr>
    </w:p>
    <w:p w14:paraId="48BB62BD" w14:textId="77777777" w:rsidR="009E6671" w:rsidRDefault="009E6671" w:rsidP="006D49D7">
      <w:pPr>
        <w:tabs>
          <w:tab w:val="num" w:pos="720"/>
        </w:tabs>
        <w:spacing w:line="360" w:lineRule="auto"/>
        <w:rPr>
          <w:rFonts w:ascii="Arial" w:hAnsi="Arial" w:cs="Arial"/>
        </w:rPr>
      </w:pPr>
    </w:p>
    <w:p w14:paraId="0F2EA5CA" w14:textId="78F59C6A" w:rsidR="00DF3389" w:rsidRDefault="00A51396" w:rsidP="00E6059A">
      <w:pPr>
        <w:pStyle w:val="Heading1"/>
        <w:numPr>
          <w:ilvl w:val="0"/>
          <w:numId w:val="0"/>
        </w:numPr>
        <w:spacing w:line="360" w:lineRule="auto"/>
        <w:ind w:left="432" w:hanging="432"/>
        <w:rPr>
          <w:rFonts w:ascii="Arial" w:eastAsia="Times New Roman" w:hAnsi="Arial" w:cs="Arial"/>
          <w:b/>
          <w:bCs/>
          <w:color w:val="auto"/>
          <w:sz w:val="28"/>
          <w:szCs w:val="28"/>
          <w:lang w:eastAsia="en-GB"/>
        </w:rPr>
      </w:pPr>
      <w:bookmarkStart w:id="43" w:name="_Toc66868896"/>
      <w:r w:rsidRPr="00D379DB">
        <w:rPr>
          <w:rFonts w:ascii="Arial" w:eastAsia="Times New Roman" w:hAnsi="Arial" w:cs="Arial"/>
          <w:b/>
          <w:bCs/>
          <w:color w:val="auto"/>
          <w:sz w:val="28"/>
          <w:szCs w:val="28"/>
          <w:lang w:eastAsia="en-GB"/>
        </w:rPr>
        <w:t xml:space="preserve">Chapter </w:t>
      </w:r>
      <w:r w:rsidR="006E5174" w:rsidRPr="00D379DB">
        <w:rPr>
          <w:rFonts w:ascii="Arial" w:eastAsia="Times New Roman" w:hAnsi="Arial" w:cs="Arial"/>
          <w:b/>
          <w:bCs/>
          <w:color w:val="auto"/>
          <w:sz w:val="28"/>
          <w:szCs w:val="28"/>
          <w:lang w:eastAsia="en-GB"/>
        </w:rPr>
        <w:t>4</w:t>
      </w:r>
      <w:r w:rsidRPr="00D379DB">
        <w:rPr>
          <w:rFonts w:ascii="Arial" w:eastAsia="Times New Roman" w:hAnsi="Arial" w:cs="Arial"/>
          <w:b/>
          <w:bCs/>
          <w:color w:val="auto"/>
          <w:sz w:val="28"/>
          <w:szCs w:val="28"/>
          <w:lang w:eastAsia="en-GB"/>
        </w:rPr>
        <w:t xml:space="preserve">: </w:t>
      </w:r>
      <w:r w:rsidR="00382475" w:rsidRPr="00D379DB">
        <w:rPr>
          <w:rFonts w:ascii="Arial" w:eastAsia="Times New Roman" w:hAnsi="Arial" w:cs="Arial"/>
          <w:b/>
          <w:bCs/>
          <w:color w:val="auto"/>
          <w:sz w:val="28"/>
          <w:szCs w:val="28"/>
          <w:lang w:eastAsia="en-GB"/>
        </w:rPr>
        <w:t>Methodology</w:t>
      </w:r>
      <w:r w:rsidR="00C53E8F" w:rsidRPr="00D379DB">
        <w:rPr>
          <w:rFonts w:ascii="Arial" w:eastAsia="Times New Roman" w:hAnsi="Arial" w:cs="Arial"/>
          <w:b/>
          <w:bCs/>
          <w:color w:val="auto"/>
          <w:sz w:val="28"/>
          <w:szCs w:val="28"/>
          <w:lang w:eastAsia="en-GB"/>
        </w:rPr>
        <w:t xml:space="preserve"> and Limitations</w:t>
      </w:r>
      <w:bookmarkEnd w:id="43"/>
    </w:p>
    <w:p w14:paraId="310F7B07" w14:textId="77777777" w:rsidR="00A675F5" w:rsidRPr="00A675F5" w:rsidRDefault="00A675F5" w:rsidP="00A675F5">
      <w:pPr>
        <w:pStyle w:val="ListParagraph"/>
        <w:keepNext/>
        <w:keepLines/>
        <w:numPr>
          <w:ilvl w:val="0"/>
          <w:numId w:val="3"/>
        </w:numPr>
        <w:spacing w:before="240" w:after="0"/>
        <w:contextualSpacing w:val="0"/>
        <w:outlineLvl w:val="0"/>
        <w:rPr>
          <w:rFonts w:asciiTheme="majorHAnsi" w:eastAsia="Times New Roman" w:hAnsiTheme="majorHAnsi" w:cstheme="majorBidi"/>
          <w:vanish/>
          <w:color w:val="1A0FA4" w:themeColor="accent1" w:themeShade="BF"/>
          <w:sz w:val="32"/>
          <w:szCs w:val="32"/>
          <w:lang w:eastAsia="en-GB"/>
        </w:rPr>
      </w:pPr>
      <w:bookmarkStart w:id="44" w:name="_Toc65785454"/>
      <w:bookmarkStart w:id="45" w:name="_Toc65785537"/>
      <w:bookmarkStart w:id="46" w:name="_Toc66002704"/>
      <w:bookmarkStart w:id="47" w:name="_Toc66002981"/>
      <w:bookmarkStart w:id="48" w:name="_Toc66007672"/>
      <w:bookmarkStart w:id="49" w:name="_Toc66007854"/>
      <w:bookmarkStart w:id="50" w:name="_Toc66007959"/>
      <w:bookmarkStart w:id="51" w:name="_Toc66015456"/>
      <w:bookmarkStart w:id="52" w:name="_Toc66034102"/>
      <w:bookmarkStart w:id="53" w:name="_Toc66636367"/>
      <w:bookmarkStart w:id="54" w:name="_Toc66868897"/>
      <w:bookmarkEnd w:id="44"/>
      <w:bookmarkEnd w:id="45"/>
      <w:bookmarkEnd w:id="46"/>
      <w:bookmarkEnd w:id="47"/>
      <w:bookmarkEnd w:id="48"/>
      <w:bookmarkEnd w:id="49"/>
      <w:bookmarkEnd w:id="50"/>
      <w:bookmarkEnd w:id="51"/>
      <w:bookmarkEnd w:id="52"/>
      <w:bookmarkEnd w:id="53"/>
      <w:bookmarkEnd w:id="54"/>
    </w:p>
    <w:p w14:paraId="3A4F49AD" w14:textId="3C6CB2AD" w:rsidR="0058419D" w:rsidRPr="00E6059A" w:rsidRDefault="0058419D" w:rsidP="00A675F5">
      <w:pPr>
        <w:pStyle w:val="Heading2"/>
        <w:spacing w:after="240"/>
        <w:rPr>
          <w:rFonts w:ascii="Arial" w:eastAsia="Times New Roman" w:hAnsi="Arial" w:cs="Arial"/>
          <w:b/>
          <w:bCs/>
          <w:color w:val="auto"/>
          <w:sz w:val="24"/>
          <w:szCs w:val="24"/>
          <w:lang w:eastAsia="en-GB"/>
        </w:rPr>
      </w:pPr>
      <w:bookmarkStart w:id="55" w:name="_Toc66868898"/>
      <w:r w:rsidRPr="00E6059A">
        <w:rPr>
          <w:rFonts w:ascii="Arial" w:eastAsia="Times New Roman" w:hAnsi="Arial" w:cs="Arial"/>
          <w:b/>
          <w:bCs/>
          <w:color w:val="auto"/>
          <w:sz w:val="24"/>
          <w:szCs w:val="24"/>
          <w:lang w:eastAsia="en-GB"/>
        </w:rPr>
        <w:t>General</w:t>
      </w:r>
      <w:bookmarkEnd w:id="55"/>
    </w:p>
    <w:p w14:paraId="5704E9B5" w14:textId="28C0DBA0" w:rsidR="00302931" w:rsidRPr="003E6A7E" w:rsidRDefault="00302931" w:rsidP="004A2DD4">
      <w:pPr>
        <w:tabs>
          <w:tab w:val="num" w:pos="720"/>
        </w:tabs>
        <w:spacing w:line="360" w:lineRule="auto"/>
        <w:jc w:val="both"/>
        <w:rPr>
          <w:rFonts w:ascii="Arial" w:hAnsi="Arial" w:cs="Arial"/>
        </w:rPr>
      </w:pPr>
      <w:r>
        <w:rPr>
          <w:rFonts w:ascii="Arial" w:hAnsi="Arial" w:cs="Arial"/>
        </w:rPr>
        <w:t xml:space="preserve">To </w:t>
      </w:r>
      <w:r w:rsidRPr="00382475">
        <w:rPr>
          <w:rFonts w:ascii="Arial" w:hAnsi="Arial" w:cs="Arial"/>
        </w:rPr>
        <w:t xml:space="preserve">determine the optimal maintenance strategy for a local authority managed bridge, considering </w:t>
      </w:r>
      <w:r w:rsidR="000F1EA3">
        <w:rPr>
          <w:rFonts w:ascii="Arial" w:hAnsi="Arial" w:cs="Arial"/>
        </w:rPr>
        <w:t>whole life</w:t>
      </w:r>
      <w:r w:rsidRPr="00382475">
        <w:rPr>
          <w:rFonts w:ascii="Arial" w:hAnsi="Arial" w:cs="Arial"/>
        </w:rPr>
        <w:t xml:space="preserve"> cost</w:t>
      </w:r>
      <w:r w:rsidR="00B94785">
        <w:rPr>
          <w:rFonts w:ascii="Arial" w:hAnsi="Arial" w:cs="Arial"/>
        </w:rPr>
        <w:t>s</w:t>
      </w:r>
      <w:r w:rsidRPr="00382475">
        <w:rPr>
          <w:rFonts w:ascii="Arial" w:hAnsi="Arial" w:cs="Arial"/>
        </w:rPr>
        <w:t xml:space="preserve"> and carbon emissions; and to determine the subsequent budget requirements</w:t>
      </w:r>
      <w:r w:rsidR="00B94785">
        <w:rPr>
          <w:rFonts w:ascii="Arial" w:hAnsi="Arial" w:cs="Arial"/>
        </w:rPr>
        <w:t>,</w:t>
      </w:r>
      <w:r w:rsidRPr="003E6A7E">
        <w:rPr>
          <w:rFonts w:ascii="Arial" w:hAnsi="Arial" w:cs="Arial"/>
        </w:rPr>
        <w:t xml:space="preserve"> </w:t>
      </w:r>
      <w:r>
        <w:rPr>
          <w:rFonts w:ascii="Arial" w:hAnsi="Arial" w:cs="Arial"/>
        </w:rPr>
        <w:t>a</w:t>
      </w:r>
      <w:r w:rsidR="00D57BF7">
        <w:rPr>
          <w:rFonts w:ascii="Arial" w:hAnsi="Arial" w:cs="Arial"/>
        </w:rPr>
        <w:t>n application oriented</w:t>
      </w:r>
      <w:r w:rsidRPr="003E6A7E">
        <w:rPr>
          <w:rFonts w:ascii="Arial" w:hAnsi="Arial" w:cs="Arial"/>
        </w:rPr>
        <w:t xml:space="preserve"> parametric study </w:t>
      </w:r>
      <w:r>
        <w:rPr>
          <w:rFonts w:ascii="Arial" w:hAnsi="Arial" w:cs="Arial"/>
        </w:rPr>
        <w:t>was carried</w:t>
      </w:r>
      <w:r w:rsidR="00A422CD">
        <w:rPr>
          <w:rFonts w:ascii="Arial" w:hAnsi="Arial" w:cs="Arial"/>
        </w:rPr>
        <w:t xml:space="preserve"> out</w:t>
      </w:r>
      <w:r w:rsidRPr="003E6A7E">
        <w:rPr>
          <w:rFonts w:ascii="Arial" w:hAnsi="Arial" w:cs="Arial"/>
        </w:rPr>
        <w:t xml:space="preserve"> varying input parameters to compare different maintenance strategies.</w:t>
      </w:r>
      <w:r w:rsidR="00426D8C">
        <w:rPr>
          <w:rFonts w:ascii="Arial" w:hAnsi="Arial" w:cs="Arial"/>
        </w:rPr>
        <w:t xml:space="preserve"> </w:t>
      </w:r>
    </w:p>
    <w:p w14:paraId="72869B98" w14:textId="77777777" w:rsidR="00302931" w:rsidRPr="003E6A7E" w:rsidRDefault="00302931" w:rsidP="004A2DD4">
      <w:pPr>
        <w:tabs>
          <w:tab w:val="num" w:pos="720"/>
        </w:tabs>
        <w:spacing w:line="360" w:lineRule="auto"/>
        <w:jc w:val="both"/>
        <w:rPr>
          <w:rFonts w:ascii="Arial" w:hAnsi="Arial" w:cs="Arial"/>
        </w:rPr>
      </w:pPr>
      <w:r w:rsidRPr="003E6A7E">
        <w:rPr>
          <w:rFonts w:ascii="Arial" w:hAnsi="Arial" w:cs="Arial"/>
        </w:rPr>
        <w:t xml:space="preserve">The following maintenance strategies </w:t>
      </w:r>
      <w:r>
        <w:rPr>
          <w:rFonts w:ascii="Arial" w:hAnsi="Arial" w:cs="Arial"/>
        </w:rPr>
        <w:t>were</w:t>
      </w:r>
      <w:r w:rsidRPr="003E6A7E">
        <w:rPr>
          <w:rFonts w:ascii="Arial" w:hAnsi="Arial" w:cs="Arial"/>
        </w:rPr>
        <w:t xml:space="preserve"> considered as part of this study:</w:t>
      </w:r>
    </w:p>
    <w:p w14:paraId="310C0411" w14:textId="5477378A" w:rsidR="00302931" w:rsidRPr="003E6A7E" w:rsidRDefault="00302931" w:rsidP="004A2DD4">
      <w:pPr>
        <w:pStyle w:val="ListParagraph"/>
        <w:numPr>
          <w:ilvl w:val="0"/>
          <w:numId w:val="1"/>
        </w:numPr>
        <w:tabs>
          <w:tab w:val="num" w:pos="720"/>
        </w:tabs>
        <w:spacing w:line="360" w:lineRule="auto"/>
        <w:jc w:val="both"/>
        <w:rPr>
          <w:rFonts w:ascii="Arial" w:hAnsi="Arial" w:cs="Arial"/>
        </w:rPr>
      </w:pPr>
      <w:r w:rsidRPr="003E6A7E">
        <w:rPr>
          <w:rFonts w:ascii="Arial" w:hAnsi="Arial" w:cs="Arial"/>
        </w:rPr>
        <w:t xml:space="preserve">Planned </w:t>
      </w:r>
      <w:r w:rsidR="009F1E11">
        <w:rPr>
          <w:rFonts w:ascii="Arial" w:hAnsi="Arial" w:cs="Arial"/>
        </w:rPr>
        <w:t>P</w:t>
      </w:r>
      <w:r w:rsidRPr="003E6A7E">
        <w:rPr>
          <w:rFonts w:ascii="Arial" w:hAnsi="Arial" w:cs="Arial"/>
        </w:rPr>
        <w:t>reventative – undertake preventative maintenance to prevent deterioration and extend the life of the structure.</w:t>
      </w:r>
    </w:p>
    <w:p w14:paraId="3504BEBE" w14:textId="505A0836" w:rsidR="00302931" w:rsidRDefault="00302931" w:rsidP="004A2DD4">
      <w:pPr>
        <w:pStyle w:val="ListParagraph"/>
        <w:numPr>
          <w:ilvl w:val="0"/>
          <w:numId w:val="1"/>
        </w:numPr>
        <w:tabs>
          <w:tab w:val="num" w:pos="720"/>
        </w:tabs>
        <w:spacing w:line="360" w:lineRule="auto"/>
        <w:jc w:val="both"/>
        <w:rPr>
          <w:rFonts w:ascii="Arial" w:hAnsi="Arial" w:cs="Arial"/>
        </w:rPr>
      </w:pPr>
      <w:r w:rsidRPr="003E6A7E">
        <w:rPr>
          <w:rFonts w:ascii="Arial" w:hAnsi="Arial" w:cs="Arial"/>
        </w:rPr>
        <w:t xml:space="preserve">Unplanned </w:t>
      </w:r>
      <w:r w:rsidR="009F1E11">
        <w:rPr>
          <w:rFonts w:ascii="Arial" w:hAnsi="Arial" w:cs="Arial"/>
        </w:rPr>
        <w:t>R</w:t>
      </w:r>
      <w:r w:rsidRPr="003E6A7E">
        <w:rPr>
          <w:rFonts w:ascii="Arial" w:hAnsi="Arial" w:cs="Arial"/>
        </w:rPr>
        <w:t xml:space="preserve">eactive – </w:t>
      </w:r>
      <w:r w:rsidR="00866BD1">
        <w:rPr>
          <w:rFonts w:ascii="Arial" w:hAnsi="Arial" w:cs="Arial"/>
        </w:rPr>
        <w:t xml:space="preserve">maintenance </w:t>
      </w:r>
      <w:r w:rsidR="009C1B98">
        <w:rPr>
          <w:rFonts w:ascii="Arial" w:hAnsi="Arial" w:cs="Arial"/>
        </w:rPr>
        <w:t xml:space="preserve">only </w:t>
      </w:r>
      <w:r w:rsidR="00866BD1">
        <w:rPr>
          <w:rFonts w:ascii="Arial" w:hAnsi="Arial" w:cs="Arial"/>
        </w:rPr>
        <w:t xml:space="preserve">carried out </w:t>
      </w:r>
      <w:r w:rsidR="00CD5CE2">
        <w:rPr>
          <w:rFonts w:ascii="Arial" w:hAnsi="Arial" w:cs="Arial"/>
        </w:rPr>
        <w:t xml:space="preserve">if </w:t>
      </w:r>
      <w:r w:rsidR="009843D9">
        <w:rPr>
          <w:rFonts w:ascii="Arial" w:hAnsi="Arial" w:cs="Arial"/>
        </w:rPr>
        <w:t>there is a significant loss of function</w:t>
      </w:r>
      <w:r w:rsidR="009C1B98">
        <w:rPr>
          <w:rFonts w:ascii="Arial" w:hAnsi="Arial" w:cs="Arial"/>
        </w:rPr>
        <w:t>ality to bridge elements</w:t>
      </w:r>
      <w:r w:rsidRPr="003E6A7E">
        <w:rPr>
          <w:rFonts w:ascii="Arial" w:hAnsi="Arial" w:cs="Arial"/>
        </w:rPr>
        <w:t>.</w:t>
      </w:r>
    </w:p>
    <w:p w14:paraId="2FAEB655" w14:textId="5B0B7551" w:rsidR="00DF38C4" w:rsidRDefault="00DF38C4" w:rsidP="00DF38C4">
      <w:pPr>
        <w:spacing w:line="360" w:lineRule="auto"/>
        <w:rPr>
          <w:rFonts w:ascii="Arial" w:hAnsi="Arial" w:cs="Arial"/>
        </w:rPr>
      </w:pPr>
      <w:r w:rsidRPr="00DF38C4">
        <w:rPr>
          <w:rFonts w:ascii="Arial" w:hAnsi="Arial" w:cs="Arial"/>
        </w:rPr>
        <w:t>(LoBEG, 2011)</w:t>
      </w:r>
    </w:p>
    <w:p w14:paraId="42EDEDC1" w14:textId="24A1EE70" w:rsidR="00F64951" w:rsidRDefault="00F64951" w:rsidP="004A2DD4">
      <w:pPr>
        <w:spacing w:line="360" w:lineRule="auto"/>
        <w:jc w:val="both"/>
        <w:rPr>
          <w:rFonts w:ascii="Arial" w:hAnsi="Arial" w:cs="Arial"/>
        </w:rPr>
      </w:pPr>
      <w:r>
        <w:rPr>
          <w:rFonts w:ascii="Arial" w:hAnsi="Arial" w:cs="Arial"/>
        </w:rPr>
        <w:t xml:space="preserve">The Structures </w:t>
      </w:r>
      <w:r w:rsidR="00465D5F">
        <w:rPr>
          <w:rFonts w:ascii="Arial" w:hAnsi="Arial" w:cs="Arial"/>
        </w:rPr>
        <w:t xml:space="preserve">Asset </w:t>
      </w:r>
      <w:r w:rsidR="00A20497">
        <w:rPr>
          <w:rFonts w:ascii="Arial" w:hAnsi="Arial" w:cs="Arial"/>
        </w:rPr>
        <w:t>Valuation and Investment Tool</w:t>
      </w:r>
      <w:r w:rsidR="00465D5F">
        <w:rPr>
          <w:rFonts w:ascii="Arial" w:hAnsi="Arial" w:cs="Arial"/>
        </w:rPr>
        <w:t xml:space="preserve"> (SA</w:t>
      </w:r>
      <w:r w:rsidR="00A20497">
        <w:rPr>
          <w:rFonts w:ascii="Arial" w:hAnsi="Arial" w:cs="Arial"/>
        </w:rPr>
        <w:t>VI</w:t>
      </w:r>
      <w:r w:rsidR="00465D5F">
        <w:rPr>
          <w:rFonts w:ascii="Arial" w:hAnsi="Arial" w:cs="Arial"/>
        </w:rPr>
        <w:t xml:space="preserve">) was </w:t>
      </w:r>
      <w:r w:rsidR="00107684">
        <w:rPr>
          <w:rFonts w:ascii="Arial" w:hAnsi="Arial" w:cs="Arial"/>
        </w:rPr>
        <w:t xml:space="preserve">initially </w:t>
      </w:r>
      <w:r w:rsidR="00465D5F">
        <w:rPr>
          <w:rFonts w:ascii="Arial" w:hAnsi="Arial" w:cs="Arial"/>
        </w:rPr>
        <w:t>used to</w:t>
      </w:r>
      <w:r w:rsidR="00CE6844">
        <w:rPr>
          <w:rFonts w:ascii="Arial" w:hAnsi="Arial" w:cs="Arial"/>
        </w:rPr>
        <w:t xml:space="preserve"> produce life cycle plans for both strategies and</w:t>
      </w:r>
      <w:r w:rsidR="00465D5F">
        <w:rPr>
          <w:rFonts w:ascii="Arial" w:hAnsi="Arial" w:cs="Arial"/>
        </w:rPr>
        <w:t xml:space="preserve"> determine the maintenance requirements</w:t>
      </w:r>
      <w:r w:rsidR="0032394B">
        <w:rPr>
          <w:rFonts w:ascii="Arial" w:hAnsi="Arial" w:cs="Arial"/>
        </w:rPr>
        <w:t>, individual scheme costs and traffic delays costs. SA</w:t>
      </w:r>
      <w:r w:rsidR="00A42205">
        <w:rPr>
          <w:rFonts w:ascii="Arial" w:hAnsi="Arial" w:cs="Arial"/>
        </w:rPr>
        <w:t>VI</w:t>
      </w:r>
      <w:r w:rsidR="0032394B">
        <w:rPr>
          <w:rFonts w:ascii="Arial" w:hAnsi="Arial" w:cs="Arial"/>
        </w:rPr>
        <w:t xml:space="preserve"> </w:t>
      </w:r>
      <w:r w:rsidR="00FD3BC7">
        <w:rPr>
          <w:rFonts w:ascii="Arial" w:hAnsi="Arial" w:cs="Arial"/>
        </w:rPr>
        <w:t xml:space="preserve">is a Microsoft Excel model </w:t>
      </w:r>
      <w:r w:rsidR="00A42205">
        <w:rPr>
          <w:rFonts w:ascii="Arial" w:hAnsi="Arial" w:cs="Arial"/>
        </w:rPr>
        <w:t xml:space="preserve">that was </w:t>
      </w:r>
      <w:r w:rsidR="003377BF">
        <w:rPr>
          <w:rFonts w:ascii="Arial" w:hAnsi="Arial" w:cs="Arial"/>
        </w:rPr>
        <w:t xml:space="preserve">developed </w:t>
      </w:r>
      <w:r w:rsidR="00FB10FD">
        <w:rPr>
          <w:rFonts w:ascii="Arial" w:hAnsi="Arial" w:cs="Arial"/>
        </w:rPr>
        <w:t xml:space="preserve">Arup </w:t>
      </w:r>
      <w:r w:rsidR="00291DCB">
        <w:rPr>
          <w:rFonts w:ascii="Arial" w:hAnsi="Arial" w:cs="Arial"/>
        </w:rPr>
        <w:t xml:space="preserve">and is owned </w:t>
      </w:r>
      <w:r w:rsidR="003377BF">
        <w:rPr>
          <w:rFonts w:ascii="Arial" w:hAnsi="Arial" w:cs="Arial"/>
        </w:rPr>
        <w:t xml:space="preserve">by </w:t>
      </w:r>
      <w:r w:rsidR="00911579">
        <w:rPr>
          <w:rFonts w:ascii="Arial" w:hAnsi="Arial" w:cs="Arial"/>
        </w:rPr>
        <w:t>the UK Bridges Board</w:t>
      </w:r>
      <w:r w:rsidR="00A42205">
        <w:rPr>
          <w:rFonts w:ascii="Arial" w:hAnsi="Arial" w:cs="Arial"/>
        </w:rPr>
        <w:t xml:space="preserve">. SAVI </w:t>
      </w:r>
      <w:r w:rsidR="00C62C9D">
        <w:rPr>
          <w:rFonts w:ascii="Arial" w:hAnsi="Arial" w:cs="Arial"/>
        </w:rPr>
        <w:t xml:space="preserve">was designed to assist local authorities </w:t>
      </w:r>
      <w:r w:rsidR="00265872">
        <w:rPr>
          <w:rFonts w:ascii="Arial" w:hAnsi="Arial" w:cs="Arial"/>
        </w:rPr>
        <w:t>manage their bridges</w:t>
      </w:r>
      <w:r w:rsidR="00A42205">
        <w:rPr>
          <w:rFonts w:ascii="Arial" w:hAnsi="Arial" w:cs="Arial"/>
        </w:rPr>
        <w:t xml:space="preserve"> </w:t>
      </w:r>
      <w:r w:rsidR="00CA688F">
        <w:rPr>
          <w:rFonts w:ascii="Arial" w:hAnsi="Arial" w:cs="Arial"/>
        </w:rPr>
        <w:t>so was regarded as the ideal application for this study</w:t>
      </w:r>
      <w:r w:rsidR="00265872">
        <w:rPr>
          <w:rFonts w:ascii="Arial" w:hAnsi="Arial" w:cs="Arial"/>
        </w:rPr>
        <w:t>.</w:t>
      </w:r>
    </w:p>
    <w:p w14:paraId="2954E404" w14:textId="528452F0" w:rsidR="00C54EEC" w:rsidRDefault="00952178" w:rsidP="004A2DD4">
      <w:pPr>
        <w:spacing w:line="360" w:lineRule="auto"/>
        <w:jc w:val="both"/>
        <w:rPr>
          <w:rFonts w:ascii="Arial" w:hAnsi="Arial" w:cs="Arial"/>
        </w:rPr>
      </w:pPr>
      <w:r>
        <w:rPr>
          <w:rFonts w:ascii="Arial" w:hAnsi="Arial" w:cs="Arial"/>
        </w:rPr>
        <w:t>To</w:t>
      </w:r>
      <w:r w:rsidR="005C74BC">
        <w:rPr>
          <w:rFonts w:ascii="Arial" w:hAnsi="Arial" w:cs="Arial"/>
        </w:rPr>
        <w:t xml:space="preserve"> calculate the carbon emissions arising from the individual </w:t>
      </w:r>
      <w:r w:rsidR="00F86268">
        <w:rPr>
          <w:rFonts w:ascii="Arial" w:hAnsi="Arial" w:cs="Arial"/>
        </w:rPr>
        <w:t xml:space="preserve">maintenance </w:t>
      </w:r>
      <w:r w:rsidR="005C74BC">
        <w:rPr>
          <w:rFonts w:ascii="Arial" w:hAnsi="Arial" w:cs="Arial"/>
        </w:rPr>
        <w:t>schemes</w:t>
      </w:r>
      <w:r w:rsidR="00696D7E">
        <w:rPr>
          <w:rFonts w:ascii="Arial" w:hAnsi="Arial" w:cs="Arial"/>
        </w:rPr>
        <w:t>,</w:t>
      </w:r>
      <w:r w:rsidR="00863C89">
        <w:rPr>
          <w:rFonts w:ascii="Arial" w:hAnsi="Arial" w:cs="Arial"/>
        </w:rPr>
        <w:t xml:space="preserve"> </w:t>
      </w:r>
      <w:r w:rsidR="00B632BC">
        <w:rPr>
          <w:rFonts w:ascii="Arial" w:hAnsi="Arial" w:cs="Arial"/>
        </w:rPr>
        <w:t>a carbon calculator design tool for bridge</w:t>
      </w:r>
      <w:r w:rsidR="00696D7E">
        <w:rPr>
          <w:rFonts w:ascii="Arial" w:hAnsi="Arial" w:cs="Arial"/>
        </w:rPr>
        <w:t>s</w:t>
      </w:r>
      <w:r w:rsidR="00B632BC">
        <w:rPr>
          <w:rFonts w:ascii="Arial" w:hAnsi="Arial" w:cs="Arial"/>
        </w:rPr>
        <w:t xml:space="preserve"> was used. </w:t>
      </w:r>
      <w:r w:rsidR="00233247">
        <w:rPr>
          <w:rFonts w:ascii="Arial" w:hAnsi="Arial" w:cs="Arial"/>
        </w:rPr>
        <w:t>The carbon calculator</w:t>
      </w:r>
      <w:r>
        <w:rPr>
          <w:rFonts w:ascii="Arial" w:hAnsi="Arial" w:cs="Arial"/>
        </w:rPr>
        <w:t xml:space="preserve"> </w:t>
      </w:r>
      <w:r w:rsidR="00233247">
        <w:rPr>
          <w:rFonts w:ascii="Arial" w:hAnsi="Arial" w:cs="Arial"/>
        </w:rPr>
        <w:t>tool was developed t</w:t>
      </w:r>
      <w:r w:rsidR="00CB433B">
        <w:rPr>
          <w:rFonts w:ascii="Arial" w:hAnsi="Arial" w:cs="Arial"/>
        </w:rPr>
        <w:t xml:space="preserve">o estimate the carbon footprint of steel-concrete composite bridges </w:t>
      </w:r>
      <w:r w:rsidR="008E744D">
        <w:rPr>
          <w:rFonts w:ascii="Arial" w:hAnsi="Arial" w:cs="Arial"/>
        </w:rPr>
        <w:t>and was developed</w:t>
      </w:r>
      <w:r w:rsidR="00A422CD">
        <w:rPr>
          <w:rFonts w:ascii="Arial" w:hAnsi="Arial" w:cs="Arial"/>
        </w:rPr>
        <w:t xml:space="preserve"> by </w:t>
      </w:r>
      <w:r w:rsidR="00F6786C">
        <w:rPr>
          <w:rFonts w:ascii="Arial" w:hAnsi="Arial" w:cs="Arial"/>
        </w:rPr>
        <w:t xml:space="preserve">Atkins. </w:t>
      </w:r>
      <w:r w:rsidR="003E0263">
        <w:rPr>
          <w:rFonts w:ascii="Arial" w:hAnsi="Arial" w:cs="Arial"/>
        </w:rPr>
        <w:t xml:space="preserve">The carbon calculator was designed </w:t>
      </w:r>
      <w:r w:rsidR="009A04F7">
        <w:rPr>
          <w:rFonts w:ascii="Arial" w:hAnsi="Arial" w:cs="Arial"/>
        </w:rPr>
        <w:t>to</w:t>
      </w:r>
      <w:r w:rsidR="00B632BC">
        <w:rPr>
          <w:rFonts w:ascii="Arial" w:hAnsi="Arial" w:cs="Arial"/>
        </w:rPr>
        <w:t xml:space="preserve"> </w:t>
      </w:r>
      <w:r w:rsidR="009A04F7">
        <w:rPr>
          <w:rFonts w:ascii="Arial" w:hAnsi="Arial" w:cs="Arial"/>
        </w:rPr>
        <w:t>enable a quick comparison between different design option</w:t>
      </w:r>
      <w:r>
        <w:rPr>
          <w:rFonts w:ascii="Arial" w:hAnsi="Arial" w:cs="Arial"/>
        </w:rPr>
        <w:t>s</w:t>
      </w:r>
      <w:r w:rsidR="009A04F7">
        <w:rPr>
          <w:rFonts w:ascii="Arial" w:hAnsi="Arial" w:cs="Arial"/>
        </w:rPr>
        <w:t xml:space="preserve">. </w:t>
      </w:r>
      <w:r w:rsidR="00E62542">
        <w:rPr>
          <w:rFonts w:ascii="Arial" w:hAnsi="Arial" w:cs="Arial"/>
        </w:rPr>
        <w:t>The carbon calculator was selected for this study as it</w:t>
      </w:r>
      <w:r w:rsidR="00696D7E">
        <w:rPr>
          <w:rFonts w:ascii="Arial" w:hAnsi="Arial" w:cs="Arial"/>
        </w:rPr>
        <w:t xml:space="preserve"> is</w:t>
      </w:r>
      <w:r w:rsidR="00E62542">
        <w:rPr>
          <w:rFonts w:ascii="Arial" w:hAnsi="Arial" w:cs="Arial"/>
        </w:rPr>
        <w:t xml:space="preserve"> able to </w:t>
      </w:r>
      <w:r w:rsidR="00F06BA9">
        <w:rPr>
          <w:rFonts w:ascii="Arial" w:hAnsi="Arial" w:cs="Arial"/>
        </w:rPr>
        <w:t>provide reasonable estimates for various maintenance activities</w:t>
      </w:r>
      <w:r>
        <w:rPr>
          <w:rFonts w:ascii="Arial" w:hAnsi="Arial" w:cs="Arial"/>
        </w:rPr>
        <w:t xml:space="preserve"> including</w:t>
      </w:r>
      <w:r w:rsidR="00F06BA9">
        <w:rPr>
          <w:rFonts w:ascii="Arial" w:hAnsi="Arial" w:cs="Arial"/>
        </w:rPr>
        <w:t xml:space="preserve"> emissions from </w:t>
      </w:r>
      <w:r w:rsidR="00A422CD">
        <w:rPr>
          <w:rFonts w:ascii="Arial" w:hAnsi="Arial" w:cs="Arial"/>
        </w:rPr>
        <w:t>road and lane closures</w:t>
      </w:r>
      <w:r>
        <w:rPr>
          <w:rFonts w:ascii="Arial" w:hAnsi="Arial" w:cs="Arial"/>
        </w:rPr>
        <w:t xml:space="preserve">. </w:t>
      </w:r>
    </w:p>
    <w:p w14:paraId="17239CEA" w14:textId="732069EA" w:rsidR="007D14AC" w:rsidRDefault="004E4343" w:rsidP="004A2DD4">
      <w:pPr>
        <w:spacing w:line="360" w:lineRule="auto"/>
        <w:jc w:val="both"/>
        <w:rPr>
          <w:rFonts w:ascii="Arial" w:hAnsi="Arial" w:cs="Arial"/>
          <w:lang w:eastAsia="en-GB"/>
        </w:rPr>
      </w:pPr>
      <w:r>
        <w:rPr>
          <w:rFonts w:ascii="Arial" w:hAnsi="Arial" w:cs="Arial"/>
        </w:rPr>
        <w:t xml:space="preserve">Carbon </w:t>
      </w:r>
      <w:r w:rsidR="00B4156A">
        <w:rPr>
          <w:rFonts w:ascii="Arial" w:hAnsi="Arial" w:cs="Arial"/>
        </w:rPr>
        <w:t>emissions</w:t>
      </w:r>
      <w:r>
        <w:rPr>
          <w:rFonts w:ascii="Arial" w:hAnsi="Arial" w:cs="Arial"/>
        </w:rPr>
        <w:t xml:space="preserve"> were </w:t>
      </w:r>
      <w:r w:rsidR="007B5FF8">
        <w:rPr>
          <w:rFonts w:ascii="Arial" w:hAnsi="Arial" w:cs="Arial"/>
        </w:rPr>
        <w:t xml:space="preserve">then </w:t>
      </w:r>
      <w:r>
        <w:rPr>
          <w:rFonts w:ascii="Arial" w:hAnsi="Arial" w:cs="Arial"/>
        </w:rPr>
        <w:t xml:space="preserve">monetised using </w:t>
      </w:r>
      <w:r w:rsidRPr="00A239A9">
        <w:rPr>
          <w:rFonts w:ascii="Arial" w:hAnsi="Arial" w:cs="Arial"/>
          <w:lang w:eastAsia="en-GB"/>
        </w:rPr>
        <w:t>UK social values of carbon</w:t>
      </w:r>
      <w:r>
        <w:rPr>
          <w:rFonts w:ascii="Arial" w:hAnsi="Arial" w:cs="Arial"/>
          <w:lang w:eastAsia="en-GB"/>
        </w:rPr>
        <w:t xml:space="preserve"> </w:t>
      </w:r>
      <w:r w:rsidR="00044DFF">
        <w:rPr>
          <w:rFonts w:ascii="Arial" w:hAnsi="Arial" w:cs="Arial"/>
          <w:lang w:eastAsia="en-GB"/>
        </w:rPr>
        <w:t xml:space="preserve">so that </w:t>
      </w:r>
      <w:r w:rsidR="00955954">
        <w:rPr>
          <w:rFonts w:ascii="Arial" w:hAnsi="Arial" w:cs="Arial"/>
          <w:lang w:eastAsia="en-GB"/>
        </w:rPr>
        <w:t xml:space="preserve">carbon emissions </w:t>
      </w:r>
      <w:r w:rsidR="00044DFF">
        <w:rPr>
          <w:rFonts w:ascii="Arial" w:hAnsi="Arial" w:cs="Arial"/>
          <w:lang w:eastAsia="en-GB"/>
        </w:rPr>
        <w:t xml:space="preserve">could be incorporated into the </w:t>
      </w:r>
      <w:r w:rsidR="0074273E">
        <w:rPr>
          <w:rFonts w:ascii="Arial" w:hAnsi="Arial" w:cs="Arial"/>
          <w:lang w:eastAsia="en-GB"/>
        </w:rPr>
        <w:t>whole life cost</w:t>
      </w:r>
      <w:r w:rsidR="00314775">
        <w:rPr>
          <w:rFonts w:ascii="Arial" w:hAnsi="Arial" w:cs="Arial"/>
          <w:lang w:eastAsia="en-GB"/>
        </w:rPr>
        <w:t xml:space="preserve"> analysis</w:t>
      </w:r>
      <w:r w:rsidR="0074273E">
        <w:rPr>
          <w:rFonts w:ascii="Arial" w:hAnsi="Arial" w:cs="Arial"/>
          <w:lang w:eastAsia="en-GB"/>
        </w:rPr>
        <w:t>.</w:t>
      </w:r>
      <w:r w:rsidR="00955954">
        <w:rPr>
          <w:rFonts w:ascii="Arial" w:hAnsi="Arial" w:cs="Arial"/>
          <w:lang w:eastAsia="en-GB"/>
        </w:rPr>
        <w:t xml:space="preserve"> </w:t>
      </w:r>
      <w:r w:rsidR="007D14AC">
        <w:rPr>
          <w:rFonts w:ascii="Arial" w:hAnsi="Arial" w:cs="Arial"/>
          <w:lang w:eastAsia="en-GB"/>
        </w:rPr>
        <w:t xml:space="preserve">UK </w:t>
      </w:r>
      <w:r w:rsidR="000F2DBF">
        <w:rPr>
          <w:rFonts w:ascii="Arial" w:hAnsi="Arial" w:cs="Arial"/>
          <w:lang w:eastAsia="en-GB"/>
        </w:rPr>
        <w:t>s</w:t>
      </w:r>
      <w:r w:rsidR="007D14AC">
        <w:rPr>
          <w:rFonts w:ascii="Arial" w:hAnsi="Arial" w:cs="Arial"/>
          <w:lang w:eastAsia="en-GB"/>
        </w:rPr>
        <w:t xml:space="preserve">ocial </w:t>
      </w:r>
      <w:r w:rsidR="000F2DBF">
        <w:rPr>
          <w:rFonts w:ascii="Arial" w:hAnsi="Arial" w:cs="Arial"/>
          <w:lang w:eastAsia="en-GB"/>
        </w:rPr>
        <w:t>v</w:t>
      </w:r>
      <w:r w:rsidR="0058099D">
        <w:rPr>
          <w:rFonts w:ascii="Arial" w:hAnsi="Arial" w:cs="Arial"/>
          <w:lang w:eastAsia="en-GB"/>
        </w:rPr>
        <w:t xml:space="preserve">alues </w:t>
      </w:r>
      <w:r w:rsidR="00D85794">
        <w:rPr>
          <w:rFonts w:ascii="Arial" w:hAnsi="Arial" w:cs="Arial"/>
          <w:lang w:eastAsia="en-GB"/>
        </w:rPr>
        <w:t xml:space="preserve">for </w:t>
      </w:r>
      <w:r w:rsidR="000F2DBF">
        <w:rPr>
          <w:rFonts w:ascii="Arial" w:hAnsi="Arial" w:cs="Arial"/>
          <w:lang w:eastAsia="en-GB"/>
        </w:rPr>
        <w:t>c</w:t>
      </w:r>
      <w:r w:rsidR="00D85794">
        <w:rPr>
          <w:rFonts w:ascii="Arial" w:hAnsi="Arial" w:cs="Arial"/>
          <w:lang w:eastAsia="en-GB"/>
        </w:rPr>
        <w:t xml:space="preserve">arbon </w:t>
      </w:r>
      <w:r w:rsidR="0058099D">
        <w:rPr>
          <w:rFonts w:ascii="Arial" w:hAnsi="Arial" w:cs="Arial"/>
          <w:lang w:eastAsia="en-GB"/>
        </w:rPr>
        <w:t xml:space="preserve">were used </w:t>
      </w:r>
      <w:r w:rsidR="00B12E35">
        <w:rPr>
          <w:rFonts w:ascii="Arial" w:hAnsi="Arial" w:cs="Arial"/>
          <w:lang w:eastAsia="en-GB"/>
        </w:rPr>
        <w:t>to provide a value of CO</w:t>
      </w:r>
      <w:r w:rsidR="00B12E35" w:rsidRPr="00E6059A">
        <w:rPr>
          <w:rFonts w:ascii="Arial" w:hAnsi="Arial" w:cs="Arial"/>
          <w:vertAlign w:val="subscript"/>
          <w:lang w:eastAsia="en-GB"/>
        </w:rPr>
        <w:t>2</w:t>
      </w:r>
      <w:r w:rsidR="00B12E35">
        <w:rPr>
          <w:rFonts w:ascii="Arial" w:hAnsi="Arial" w:cs="Arial"/>
          <w:lang w:eastAsia="en-GB"/>
        </w:rPr>
        <w:t xml:space="preserve"> which was </w:t>
      </w:r>
      <w:r w:rsidR="00E871FB">
        <w:rPr>
          <w:rFonts w:ascii="Arial" w:hAnsi="Arial" w:cs="Arial"/>
          <w:lang w:eastAsia="en-GB"/>
        </w:rPr>
        <w:t>consistent</w:t>
      </w:r>
      <w:r w:rsidR="00CF48ED">
        <w:rPr>
          <w:rFonts w:ascii="Arial" w:hAnsi="Arial" w:cs="Arial"/>
          <w:lang w:eastAsia="en-GB"/>
        </w:rPr>
        <w:t xml:space="preserve"> with </w:t>
      </w:r>
      <w:r w:rsidR="00B12E35">
        <w:rPr>
          <w:rFonts w:ascii="Arial" w:hAnsi="Arial" w:cs="Arial"/>
          <w:lang w:eastAsia="en-GB"/>
        </w:rPr>
        <w:t xml:space="preserve">the </w:t>
      </w:r>
      <w:r w:rsidR="00CF48ED">
        <w:rPr>
          <w:rFonts w:ascii="Arial" w:hAnsi="Arial" w:cs="Arial"/>
          <w:lang w:eastAsia="en-GB"/>
        </w:rPr>
        <w:t>UK’s target of reducing CO</w:t>
      </w:r>
      <w:r w:rsidR="00CF48ED" w:rsidRPr="00E6059A">
        <w:rPr>
          <w:rFonts w:ascii="Arial" w:hAnsi="Arial" w:cs="Arial"/>
          <w:vertAlign w:val="subscript"/>
          <w:lang w:eastAsia="en-GB"/>
        </w:rPr>
        <w:t>2</w:t>
      </w:r>
      <w:r w:rsidR="00CF48ED">
        <w:rPr>
          <w:rFonts w:ascii="Arial" w:hAnsi="Arial" w:cs="Arial"/>
          <w:lang w:eastAsia="en-GB"/>
        </w:rPr>
        <w:t xml:space="preserve"> emissions</w:t>
      </w:r>
      <w:r w:rsidR="00D85794">
        <w:rPr>
          <w:rFonts w:ascii="Arial" w:hAnsi="Arial" w:cs="Arial"/>
          <w:lang w:eastAsia="en-GB"/>
        </w:rPr>
        <w:t>.</w:t>
      </w:r>
    </w:p>
    <w:p w14:paraId="47FDF026" w14:textId="77777777" w:rsidR="00561841" w:rsidRPr="00EF3B87" w:rsidRDefault="00561841" w:rsidP="00561841">
      <w:pPr>
        <w:pStyle w:val="Heading2"/>
        <w:spacing w:after="240"/>
        <w:rPr>
          <w:rFonts w:ascii="Arial" w:eastAsia="Times New Roman" w:hAnsi="Arial" w:cs="Arial"/>
          <w:b/>
          <w:bCs/>
          <w:color w:val="auto"/>
          <w:sz w:val="24"/>
          <w:szCs w:val="24"/>
          <w:lang w:eastAsia="en-GB"/>
        </w:rPr>
      </w:pPr>
      <w:bookmarkStart w:id="56" w:name="_Toc65785456"/>
      <w:bookmarkStart w:id="57" w:name="_Toc65785539"/>
      <w:bookmarkStart w:id="58" w:name="_Toc66868899"/>
      <w:bookmarkEnd w:id="56"/>
      <w:bookmarkEnd w:id="57"/>
      <w:r>
        <w:rPr>
          <w:rFonts w:ascii="Arial" w:eastAsia="Times New Roman" w:hAnsi="Arial" w:cs="Arial"/>
          <w:b/>
          <w:bCs/>
          <w:color w:val="auto"/>
          <w:sz w:val="24"/>
          <w:szCs w:val="24"/>
          <w:lang w:eastAsia="en-GB"/>
        </w:rPr>
        <w:t>Structure Description</w:t>
      </w:r>
      <w:bookmarkEnd w:id="58"/>
    </w:p>
    <w:p w14:paraId="73F2CFA6" w14:textId="61A0986A" w:rsidR="00561841" w:rsidRDefault="00561841" w:rsidP="004A2DD4">
      <w:pPr>
        <w:spacing w:line="360" w:lineRule="auto"/>
        <w:jc w:val="both"/>
        <w:rPr>
          <w:rFonts w:ascii="Arial" w:hAnsi="Arial" w:cs="Arial"/>
        </w:rPr>
      </w:pPr>
      <w:r>
        <w:rPr>
          <w:rFonts w:ascii="Arial" w:hAnsi="Arial" w:cs="Arial"/>
        </w:rPr>
        <w:t>The bridge used in this study is</w:t>
      </w:r>
      <w:r w:rsidRPr="001F44F8">
        <w:rPr>
          <w:rFonts w:ascii="Arial" w:hAnsi="Arial" w:cs="Arial"/>
        </w:rPr>
        <w:t xml:space="preserve"> a single span highway bridge carrying an A road over a railway line. The bridge</w:t>
      </w:r>
      <w:r>
        <w:rPr>
          <w:rFonts w:ascii="Arial" w:hAnsi="Arial" w:cs="Arial"/>
        </w:rPr>
        <w:t xml:space="preserve"> is semi-integral and </w:t>
      </w:r>
      <w:r w:rsidRPr="001F44F8">
        <w:rPr>
          <w:rFonts w:ascii="Arial" w:hAnsi="Arial" w:cs="Arial"/>
        </w:rPr>
        <w:t xml:space="preserve">consists of 8 no. weathering steel girders acting compositely with a reinforced concrete deck slab. The bridge is simply supported and set at a skew angle of 9° to the supports. The bridge deck bears onto reinforced concrete cellular abutments founded </w:t>
      </w:r>
      <w:r>
        <w:rPr>
          <w:rFonts w:ascii="Arial" w:hAnsi="Arial" w:cs="Arial"/>
        </w:rPr>
        <w:t>on</w:t>
      </w:r>
      <w:r w:rsidR="00ED22D9">
        <w:rPr>
          <w:rFonts w:ascii="Arial" w:hAnsi="Arial" w:cs="Arial"/>
        </w:rPr>
        <w:t xml:space="preserve"> to</w:t>
      </w:r>
      <w:r>
        <w:rPr>
          <w:rFonts w:ascii="Arial" w:hAnsi="Arial" w:cs="Arial"/>
        </w:rPr>
        <w:t xml:space="preserve"> </w:t>
      </w:r>
      <w:r w:rsidRPr="001F44F8">
        <w:rPr>
          <w:rFonts w:ascii="Arial" w:hAnsi="Arial" w:cs="Arial"/>
        </w:rPr>
        <w:t>pile</w:t>
      </w:r>
      <w:r>
        <w:rPr>
          <w:rFonts w:ascii="Arial" w:hAnsi="Arial" w:cs="Arial"/>
        </w:rPr>
        <w:t>d</w:t>
      </w:r>
      <w:r w:rsidRPr="001F44F8">
        <w:rPr>
          <w:rFonts w:ascii="Arial" w:hAnsi="Arial" w:cs="Arial"/>
        </w:rPr>
        <w:t xml:space="preserve"> foundations</w:t>
      </w:r>
      <w:r w:rsidR="00CF387A">
        <w:rPr>
          <w:rFonts w:ascii="Arial" w:hAnsi="Arial" w:cs="Arial"/>
        </w:rPr>
        <w:t xml:space="preserve"> and</w:t>
      </w:r>
      <w:r w:rsidRPr="001F44F8">
        <w:rPr>
          <w:rFonts w:ascii="Arial" w:hAnsi="Arial" w:cs="Arial"/>
        </w:rPr>
        <w:t xml:space="preserve"> was constructed in</w:t>
      </w:r>
      <w:r>
        <w:rPr>
          <w:rFonts w:ascii="Arial" w:hAnsi="Arial" w:cs="Arial"/>
        </w:rPr>
        <w:t xml:space="preserve"> </w:t>
      </w:r>
      <w:r w:rsidRPr="001F44F8">
        <w:rPr>
          <w:rFonts w:ascii="Arial" w:hAnsi="Arial" w:cs="Arial"/>
        </w:rPr>
        <w:t>200</w:t>
      </w:r>
      <w:r>
        <w:rPr>
          <w:rFonts w:ascii="Arial" w:hAnsi="Arial" w:cs="Arial"/>
        </w:rPr>
        <w:t>0</w:t>
      </w:r>
      <w:r w:rsidRPr="001F44F8">
        <w:rPr>
          <w:rFonts w:ascii="Arial" w:hAnsi="Arial" w:cs="Arial"/>
        </w:rPr>
        <w:t>.</w:t>
      </w:r>
    </w:p>
    <w:p w14:paraId="4515038C" w14:textId="77777777" w:rsidR="00561841" w:rsidRPr="001F44F8" w:rsidRDefault="00561841" w:rsidP="004A2DD4">
      <w:pPr>
        <w:spacing w:line="360" w:lineRule="auto"/>
        <w:jc w:val="both"/>
        <w:rPr>
          <w:rFonts w:ascii="Arial" w:hAnsi="Arial" w:cs="Arial"/>
        </w:rPr>
      </w:pPr>
      <w:r w:rsidRPr="006A6AB9">
        <w:rPr>
          <w:rFonts w:ascii="Arial" w:hAnsi="Arial" w:cs="Arial"/>
        </w:rPr>
        <w:t>Each steel girder is supported on a</w:t>
      </w:r>
      <w:r>
        <w:rPr>
          <w:rFonts w:ascii="Arial" w:hAnsi="Arial" w:cs="Arial"/>
        </w:rPr>
        <w:t xml:space="preserve"> </w:t>
      </w:r>
      <w:r w:rsidRPr="006A6AB9">
        <w:rPr>
          <w:rFonts w:ascii="Arial" w:hAnsi="Arial" w:cs="Arial"/>
        </w:rPr>
        <w:t>pot bearing at each end, with each bearing being mounted on an individual reinforced concrete bearing plinth on the top face of the abutment walls.</w:t>
      </w:r>
      <w:r>
        <w:rPr>
          <w:rFonts w:ascii="Arial" w:hAnsi="Arial" w:cs="Arial"/>
        </w:rPr>
        <w:t xml:space="preserve"> </w:t>
      </w:r>
      <w:r w:rsidRPr="00A730BF">
        <w:rPr>
          <w:rFonts w:ascii="Arial" w:hAnsi="Arial" w:cs="Arial"/>
        </w:rPr>
        <w:t xml:space="preserve">The expansion joints are </w:t>
      </w:r>
      <w:r>
        <w:rPr>
          <w:rFonts w:ascii="Arial" w:hAnsi="Arial" w:cs="Arial"/>
        </w:rPr>
        <w:t>as</w:t>
      </w:r>
      <w:r w:rsidRPr="00A730BF">
        <w:rPr>
          <w:rFonts w:ascii="Arial" w:hAnsi="Arial" w:cs="Arial"/>
        </w:rPr>
        <w:t xml:space="preserve">phaltic </w:t>
      </w:r>
      <w:r>
        <w:rPr>
          <w:rFonts w:ascii="Arial" w:hAnsi="Arial" w:cs="Arial"/>
        </w:rPr>
        <w:t>p</w:t>
      </w:r>
      <w:r w:rsidRPr="00A730BF">
        <w:rPr>
          <w:rFonts w:ascii="Arial" w:hAnsi="Arial" w:cs="Arial"/>
        </w:rPr>
        <w:t>lug type joints.</w:t>
      </w:r>
    </w:p>
    <w:p w14:paraId="5235EF98" w14:textId="77777777" w:rsidR="00561841" w:rsidRDefault="00561841" w:rsidP="00561841">
      <w:pPr>
        <w:pStyle w:val="Heading2"/>
        <w:spacing w:after="240"/>
        <w:rPr>
          <w:rFonts w:ascii="Arial" w:eastAsia="Times New Roman" w:hAnsi="Arial" w:cs="Arial"/>
          <w:b/>
          <w:bCs/>
          <w:color w:val="auto"/>
          <w:sz w:val="24"/>
          <w:szCs w:val="24"/>
          <w:lang w:eastAsia="en-GB"/>
        </w:rPr>
      </w:pPr>
      <w:bookmarkStart w:id="59" w:name="_Toc66868900"/>
      <w:r>
        <w:rPr>
          <w:rFonts w:ascii="Arial" w:eastAsia="Times New Roman" w:hAnsi="Arial" w:cs="Arial"/>
          <w:b/>
          <w:bCs/>
          <w:color w:val="auto"/>
          <w:sz w:val="24"/>
          <w:szCs w:val="24"/>
          <w:lang w:eastAsia="en-GB"/>
        </w:rPr>
        <w:t>Key Geometric Data</w:t>
      </w:r>
      <w:bookmarkEnd w:id="59"/>
    </w:p>
    <w:p w14:paraId="7A357CF9" w14:textId="60FE5C12" w:rsidR="00561841" w:rsidRPr="007E69C5" w:rsidRDefault="00561841" w:rsidP="00561841">
      <w:pPr>
        <w:spacing w:line="360" w:lineRule="auto"/>
        <w:rPr>
          <w:rFonts w:ascii="Arial" w:hAnsi="Arial" w:cs="Arial"/>
          <w:lang w:eastAsia="en-GB"/>
        </w:rPr>
      </w:pPr>
      <w:r w:rsidRPr="007E69C5">
        <w:rPr>
          <w:rFonts w:ascii="Arial" w:hAnsi="Arial" w:cs="Arial"/>
          <w:lang w:eastAsia="en-GB"/>
        </w:rPr>
        <w:t>The following measurements were</w:t>
      </w:r>
      <w:r w:rsidR="00DA220F">
        <w:rPr>
          <w:rFonts w:ascii="Arial" w:hAnsi="Arial" w:cs="Arial"/>
          <w:lang w:eastAsia="en-GB"/>
        </w:rPr>
        <w:t xml:space="preserve"> obtained </w:t>
      </w:r>
      <w:r w:rsidR="00040C14">
        <w:rPr>
          <w:rFonts w:ascii="Arial" w:hAnsi="Arial" w:cs="Arial"/>
          <w:lang w:eastAsia="en-GB"/>
        </w:rPr>
        <w:t>from the available structure records</w:t>
      </w:r>
      <w:r w:rsidRPr="007E69C5">
        <w:rPr>
          <w:rFonts w:ascii="Arial" w:hAnsi="Arial" w:cs="Arial"/>
          <w:lang w:eastAsia="en-GB"/>
        </w:rPr>
        <w:t xml:space="preserve">. </w:t>
      </w:r>
    </w:p>
    <w:tbl>
      <w:tblPr>
        <w:tblW w:w="9016" w:type="dxa"/>
        <w:tblInd w:w="284" w:type="dxa"/>
        <w:tblLook w:val="04A0" w:firstRow="1" w:lastRow="0" w:firstColumn="1" w:lastColumn="0" w:noHBand="0" w:noVBand="1"/>
      </w:tblPr>
      <w:tblGrid>
        <w:gridCol w:w="4758"/>
        <w:gridCol w:w="4258"/>
      </w:tblGrid>
      <w:tr w:rsidR="00561841" w:rsidRPr="00EF3B87" w14:paraId="60BD5FF7" w14:textId="77777777" w:rsidTr="00B453FD">
        <w:tc>
          <w:tcPr>
            <w:tcW w:w="4758" w:type="dxa"/>
          </w:tcPr>
          <w:p w14:paraId="710845BB" w14:textId="77777777" w:rsidR="00561841" w:rsidRPr="000447C3" w:rsidRDefault="00561841" w:rsidP="00843700">
            <w:pPr>
              <w:spacing w:line="360" w:lineRule="auto"/>
              <w:rPr>
                <w:rFonts w:ascii="Arial" w:hAnsi="Arial" w:cs="Arial"/>
              </w:rPr>
            </w:pPr>
            <w:r w:rsidRPr="000447C3">
              <w:rPr>
                <w:rFonts w:ascii="Arial" w:hAnsi="Arial" w:cs="Arial"/>
              </w:rPr>
              <w:t xml:space="preserve">No of Spans: </w:t>
            </w:r>
          </w:p>
        </w:tc>
        <w:tc>
          <w:tcPr>
            <w:tcW w:w="4258" w:type="dxa"/>
          </w:tcPr>
          <w:p w14:paraId="6567F8B7" w14:textId="77777777" w:rsidR="00561841" w:rsidRPr="000447C3" w:rsidRDefault="00561841" w:rsidP="00843700">
            <w:pPr>
              <w:spacing w:line="360" w:lineRule="auto"/>
              <w:rPr>
                <w:rFonts w:ascii="Arial" w:hAnsi="Arial" w:cs="Arial"/>
              </w:rPr>
            </w:pPr>
            <w:r w:rsidRPr="000447C3">
              <w:rPr>
                <w:rFonts w:ascii="Arial" w:hAnsi="Arial" w:cs="Arial"/>
              </w:rPr>
              <w:t>1</w:t>
            </w:r>
          </w:p>
        </w:tc>
      </w:tr>
      <w:tr w:rsidR="00561841" w:rsidRPr="00EF3B87" w14:paraId="09B507AB" w14:textId="77777777" w:rsidTr="00B453FD">
        <w:tc>
          <w:tcPr>
            <w:tcW w:w="4758" w:type="dxa"/>
          </w:tcPr>
          <w:p w14:paraId="5C177E9D" w14:textId="77777777" w:rsidR="00561841" w:rsidRPr="004044E6" w:rsidRDefault="00561841" w:rsidP="00843700">
            <w:pPr>
              <w:spacing w:line="360" w:lineRule="auto"/>
              <w:rPr>
                <w:rFonts w:ascii="Arial" w:hAnsi="Arial" w:cs="Arial"/>
              </w:rPr>
            </w:pPr>
            <w:r w:rsidRPr="000447C3">
              <w:rPr>
                <w:rFonts w:ascii="Arial" w:hAnsi="Arial" w:cs="Arial"/>
              </w:rPr>
              <w:t xml:space="preserve">Span length:  (Between abutments) </w:t>
            </w:r>
          </w:p>
        </w:tc>
        <w:tc>
          <w:tcPr>
            <w:tcW w:w="4258" w:type="dxa"/>
          </w:tcPr>
          <w:p w14:paraId="0C613EDB" w14:textId="77777777" w:rsidR="00561841" w:rsidRPr="00A661BE" w:rsidRDefault="00561841" w:rsidP="00843700">
            <w:pPr>
              <w:spacing w:line="360" w:lineRule="auto"/>
              <w:rPr>
                <w:rFonts w:ascii="Arial" w:hAnsi="Arial" w:cs="Arial"/>
              </w:rPr>
            </w:pPr>
            <w:r w:rsidRPr="00A661BE">
              <w:rPr>
                <w:rFonts w:ascii="Arial" w:hAnsi="Arial" w:cs="Arial"/>
              </w:rPr>
              <w:t>22.6</w:t>
            </w:r>
            <w:r w:rsidRPr="000447C3">
              <w:rPr>
                <w:rFonts w:ascii="Arial" w:hAnsi="Arial" w:cs="Arial"/>
              </w:rPr>
              <w:t>5</w:t>
            </w:r>
            <w:r w:rsidRPr="00A661BE">
              <w:rPr>
                <w:rFonts w:ascii="Arial" w:hAnsi="Arial" w:cs="Arial"/>
              </w:rPr>
              <w:t>m</w:t>
            </w:r>
          </w:p>
        </w:tc>
      </w:tr>
      <w:tr w:rsidR="00561841" w:rsidRPr="00EF3B87" w14:paraId="675661A7" w14:textId="77777777" w:rsidTr="00B453FD">
        <w:tc>
          <w:tcPr>
            <w:tcW w:w="4758" w:type="dxa"/>
          </w:tcPr>
          <w:p w14:paraId="00F3CFC4" w14:textId="77777777" w:rsidR="00561841" w:rsidRPr="000447C3" w:rsidRDefault="00561841" w:rsidP="00843700">
            <w:pPr>
              <w:spacing w:line="360" w:lineRule="auto"/>
              <w:rPr>
                <w:rFonts w:ascii="Arial" w:hAnsi="Arial" w:cs="Arial"/>
              </w:rPr>
            </w:pPr>
            <w:r w:rsidRPr="000447C3">
              <w:rPr>
                <w:rFonts w:ascii="Arial" w:hAnsi="Arial" w:cs="Arial"/>
              </w:rPr>
              <w:t xml:space="preserve">Skew Angle:  </w:t>
            </w:r>
          </w:p>
        </w:tc>
        <w:tc>
          <w:tcPr>
            <w:tcW w:w="4258" w:type="dxa"/>
          </w:tcPr>
          <w:p w14:paraId="24763EDD" w14:textId="77777777" w:rsidR="00561841" w:rsidRPr="000447C3" w:rsidRDefault="00561841" w:rsidP="00843700">
            <w:pPr>
              <w:spacing w:line="360" w:lineRule="auto"/>
              <w:rPr>
                <w:rFonts w:ascii="Arial" w:hAnsi="Arial" w:cs="Arial"/>
              </w:rPr>
            </w:pPr>
            <w:r w:rsidRPr="000447C3">
              <w:rPr>
                <w:rFonts w:ascii="Arial" w:hAnsi="Arial" w:cs="Arial"/>
              </w:rPr>
              <w:t>9⁰</w:t>
            </w:r>
          </w:p>
        </w:tc>
      </w:tr>
      <w:tr w:rsidR="00561841" w:rsidRPr="00EF3B87" w14:paraId="1BB6B375" w14:textId="77777777" w:rsidTr="00B453FD">
        <w:tc>
          <w:tcPr>
            <w:tcW w:w="4758" w:type="dxa"/>
          </w:tcPr>
          <w:p w14:paraId="77ED1FF0" w14:textId="77777777" w:rsidR="00561841" w:rsidRPr="000447C3" w:rsidRDefault="00561841" w:rsidP="00843700">
            <w:pPr>
              <w:spacing w:line="360" w:lineRule="auto"/>
              <w:rPr>
                <w:rFonts w:ascii="Arial" w:hAnsi="Arial" w:cs="Arial"/>
              </w:rPr>
            </w:pPr>
            <w:r w:rsidRPr="000447C3">
              <w:rPr>
                <w:rFonts w:ascii="Arial" w:hAnsi="Arial" w:cs="Arial"/>
              </w:rPr>
              <w:t xml:space="preserve">Width of deck: (Between parapets) </w:t>
            </w:r>
          </w:p>
        </w:tc>
        <w:tc>
          <w:tcPr>
            <w:tcW w:w="4258" w:type="dxa"/>
          </w:tcPr>
          <w:p w14:paraId="5EEF41A8" w14:textId="77777777" w:rsidR="00561841" w:rsidRPr="004B354C" w:rsidRDefault="00561841" w:rsidP="00843700">
            <w:pPr>
              <w:spacing w:line="360" w:lineRule="auto"/>
              <w:rPr>
                <w:rFonts w:ascii="Arial" w:hAnsi="Arial" w:cs="Arial"/>
              </w:rPr>
            </w:pPr>
            <w:r w:rsidRPr="000447C3">
              <w:rPr>
                <w:rFonts w:ascii="Arial" w:hAnsi="Arial" w:cs="Arial"/>
              </w:rPr>
              <w:t>14.58m</w:t>
            </w:r>
          </w:p>
        </w:tc>
      </w:tr>
    </w:tbl>
    <w:p w14:paraId="3F60E34E" w14:textId="77777777" w:rsidR="007A652C" w:rsidRPr="009F7A33" w:rsidRDefault="007A652C" w:rsidP="007A652C">
      <w:pPr>
        <w:pStyle w:val="Heading2"/>
        <w:spacing w:after="240"/>
        <w:rPr>
          <w:rFonts w:ascii="Arial" w:eastAsia="Times New Roman" w:hAnsi="Arial" w:cs="Arial"/>
          <w:b/>
          <w:bCs/>
          <w:color w:val="auto"/>
          <w:sz w:val="24"/>
          <w:szCs w:val="24"/>
          <w:lang w:eastAsia="en-GB"/>
        </w:rPr>
      </w:pPr>
      <w:bookmarkStart w:id="60" w:name="_Toc66868901"/>
      <w:r w:rsidRPr="009F7A33">
        <w:rPr>
          <w:rFonts w:ascii="Arial" w:eastAsia="Times New Roman" w:hAnsi="Arial" w:cs="Arial"/>
          <w:b/>
          <w:bCs/>
          <w:color w:val="auto"/>
          <w:sz w:val="24"/>
          <w:szCs w:val="24"/>
          <w:lang w:eastAsia="en-GB"/>
        </w:rPr>
        <w:t>Expected Outcomes</w:t>
      </w:r>
      <w:bookmarkEnd w:id="60"/>
    </w:p>
    <w:p w14:paraId="02FCF497" w14:textId="77777777" w:rsidR="007A652C" w:rsidRPr="00A74DFB" w:rsidRDefault="007A652C" w:rsidP="004A2DD4">
      <w:pPr>
        <w:spacing w:line="360" w:lineRule="auto"/>
        <w:jc w:val="both"/>
        <w:rPr>
          <w:rFonts w:ascii="Arial" w:hAnsi="Arial" w:cs="Arial"/>
        </w:rPr>
      </w:pPr>
      <w:r w:rsidRPr="00A74DFB">
        <w:rPr>
          <w:rFonts w:ascii="Arial" w:hAnsi="Arial" w:cs="Arial"/>
        </w:rPr>
        <w:t xml:space="preserve">It </w:t>
      </w:r>
      <w:r w:rsidRPr="00BF5D38">
        <w:rPr>
          <w:rFonts w:ascii="Arial" w:hAnsi="Arial" w:cs="Arial"/>
        </w:rPr>
        <w:t>was</w:t>
      </w:r>
      <w:r w:rsidRPr="00A74DFB">
        <w:rPr>
          <w:rFonts w:ascii="Arial" w:hAnsi="Arial" w:cs="Arial"/>
        </w:rPr>
        <w:t xml:space="preserve"> envisaged that a preventative maintenance strategy w</w:t>
      </w:r>
      <w:r>
        <w:rPr>
          <w:rFonts w:ascii="Arial" w:hAnsi="Arial" w:cs="Arial"/>
        </w:rPr>
        <w:t>ould</w:t>
      </w:r>
      <w:r w:rsidRPr="00A74DFB">
        <w:rPr>
          <w:rFonts w:ascii="Arial" w:hAnsi="Arial" w:cs="Arial"/>
        </w:rPr>
        <w:t xml:space="preserve"> provide the most cost-effective and sustainable strategy. Adopting a preventative maintenance strategy w</w:t>
      </w:r>
      <w:r>
        <w:rPr>
          <w:rFonts w:ascii="Arial" w:hAnsi="Arial" w:cs="Arial"/>
        </w:rPr>
        <w:t>ould</w:t>
      </w:r>
      <w:r w:rsidRPr="00A74DFB">
        <w:rPr>
          <w:rFonts w:ascii="Arial" w:hAnsi="Arial" w:cs="Arial"/>
        </w:rPr>
        <w:t xml:space="preserve"> enable defects to be repaired before they develop into more costly issues</w:t>
      </w:r>
      <w:r>
        <w:rPr>
          <w:rFonts w:ascii="Arial" w:hAnsi="Arial" w:cs="Arial"/>
        </w:rPr>
        <w:t>,</w:t>
      </w:r>
      <w:r w:rsidRPr="00A74DFB">
        <w:rPr>
          <w:rFonts w:ascii="Arial" w:hAnsi="Arial" w:cs="Arial"/>
        </w:rPr>
        <w:t xml:space="preserve"> for example strengthening or replacement of elements.</w:t>
      </w:r>
    </w:p>
    <w:p w14:paraId="3D6D1926" w14:textId="068F4777" w:rsidR="00A01F4D" w:rsidRDefault="00A01F4D" w:rsidP="00A01F4D">
      <w:pPr>
        <w:pStyle w:val="Heading2"/>
        <w:spacing w:after="240"/>
        <w:rPr>
          <w:rFonts w:ascii="Arial" w:eastAsia="Times New Roman" w:hAnsi="Arial" w:cs="Arial"/>
          <w:b/>
          <w:bCs/>
          <w:color w:val="auto"/>
          <w:sz w:val="24"/>
          <w:szCs w:val="24"/>
          <w:lang w:eastAsia="en-GB"/>
        </w:rPr>
      </w:pPr>
      <w:bookmarkStart w:id="61" w:name="_Toc66868902"/>
      <w:r w:rsidRPr="00E91E77">
        <w:rPr>
          <w:rFonts w:ascii="Arial" w:eastAsia="Times New Roman" w:hAnsi="Arial" w:cs="Arial"/>
          <w:b/>
          <w:bCs/>
          <w:color w:val="auto"/>
          <w:sz w:val="24"/>
          <w:szCs w:val="24"/>
          <w:lang w:eastAsia="en-GB"/>
        </w:rPr>
        <w:t>Key Assumptions</w:t>
      </w:r>
      <w:bookmarkEnd w:id="61"/>
    </w:p>
    <w:p w14:paraId="41B5591A" w14:textId="50840A94" w:rsidR="00007064" w:rsidRPr="00C02C8F" w:rsidRDefault="00007064" w:rsidP="00C02C8F">
      <w:pPr>
        <w:rPr>
          <w:rFonts w:ascii="Arial" w:hAnsi="Arial" w:cs="Arial"/>
        </w:rPr>
      </w:pPr>
      <w:r w:rsidRPr="00C02C8F">
        <w:rPr>
          <w:rFonts w:ascii="Arial" w:hAnsi="Arial" w:cs="Arial"/>
        </w:rPr>
        <w:t xml:space="preserve">The key assumptions </w:t>
      </w:r>
      <w:r>
        <w:rPr>
          <w:rFonts w:ascii="Arial" w:hAnsi="Arial" w:cs="Arial"/>
        </w:rPr>
        <w:t xml:space="preserve">used in this study </w:t>
      </w:r>
      <w:r w:rsidRPr="00C02C8F">
        <w:rPr>
          <w:rFonts w:ascii="Arial" w:hAnsi="Arial" w:cs="Arial"/>
        </w:rPr>
        <w:t>are outlined in Table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606"/>
      </w:tblGrid>
      <w:tr w:rsidR="00A01F4D" w14:paraId="1DAA76BD" w14:textId="77777777" w:rsidTr="00843700">
        <w:trPr>
          <w:tblHeader/>
        </w:trPr>
        <w:tc>
          <w:tcPr>
            <w:tcW w:w="9067" w:type="dxa"/>
            <w:gridSpan w:val="2"/>
            <w:shd w:val="clear" w:color="auto" w:fill="000099"/>
          </w:tcPr>
          <w:p w14:paraId="1D6A9A34" w14:textId="77777777" w:rsidR="00A01F4D" w:rsidRPr="00A239A9" w:rsidRDefault="00A01F4D" w:rsidP="00C27360">
            <w:pPr>
              <w:spacing w:after="0"/>
              <w:jc w:val="center"/>
              <w:rPr>
                <w:rFonts w:ascii="Arial" w:hAnsi="Arial" w:cs="Arial"/>
                <w:b/>
                <w:bCs/>
                <w:lang w:eastAsia="en-GB"/>
              </w:rPr>
            </w:pPr>
            <w:r>
              <w:rPr>
                <w:rFonts w:ascii="Arial" w:hAnsi="Arial" w:cs="Arial"/>
                <w:b/>
                <w:bCs/>
                <w:lang w:eastAsia="en-GB"/>
              </w:rPr>
              <w:t>Key Assumptions</w:t>
            </w:r>
          </w:p>
        </w:tc>
      </w:tr>
      <w:tr w:rsidR="00A01F4D" w14:paraId="301B7EAC" w14:textId="77777777" w:rsidTr="00843700">
        <w:trPr>
          <w:tblHeader/>
        </w:trPr>
        <w:tc>
          <w:tcPr>
            <w:tcW w:w="461" w:type="dxa"/>
            <w:shd w:val="clear" w:color="auto" w:fill="99CCFF"/>
          </w:tcPr>
          <w:p w14:paraId="2F99ECD4" w14:textId="77777777" w:rsidR="00A01F4D" w:rsidRPr="00313B16" w:rsidRDefault="00A01F4D" w:rsidP="00843700">
            <w:pPr>
              <w:rPr>
                <w:rFonts w:ascii="Arial" w:hAnsi="Arial" w:cs="Arial"/>
                <w:b/>
                <w:bCs/>
                <w:color w:val="1A0FA4" w:themeColor="accent1" w:themeShade="BF"/>
                <w:lang w:eastAsia="en-GB"/>
              </w:rPr>
            </w:pPr>
            <w:r w:rsidRPr="00313B16">
              <w:rPr>
                <w:rFonts w:ascii="Arial" w:hAnsi="Arial" w:cs="Arial"/>
                <w:b/>
                <w:bCs/>
                <w:color w:val="1A0FA4" w:themeColor="accent1" w:themeShade="BF"/>
                <w:lang w:eastAsia="en-GB"/>
              </w:rPr>
              <w:t>ID</w:t>
            </w:r>
          </w:p>
        </w:tc>
        <w:tc>
          <w:tcPr>
            <w:tcW w:w="8606" w:type="dxa"/>
            <w:shd w:val="clear" w:color="auto" w:fill="99CCFF"/>
          </w:tcPr>
          <w:p w14:paraId="3F1F5563" w14:textId="77777777" w:rsidR="00A01F4D" w:rsidRPr="00313B16" w:rsidRDefault="00A01F4D" w:rsidP="00843700">
            <w:pPr>
              <w:rPr>
                <w:rFonts w:ascii="Arial" w:hAnsi="Arial" w:cs="Arial"/>
                <w:b/>
                <w:bCs/>
                <w:color w:val="1A0FA4" w:themeColor="accent1" w:themeShade="BF"/>
                <w:lang w:eastAsia="en-GB"/>
              </w:rPr>
            </w:pPr>
            <w:r w:rsidRPr="00313B16">
              <w:rPr>
                <w:rFonts w:ascii="Arial" w:hAnsi="Arial" w:cs="Arial"/>
                <w:b/>
                <w:bCs/>
                <w:color w:val="1A0FA4" w:themeColor="accent1" w:themeShade="BF"/>
                <w:lang w:eastAsia="en-GB"/>
              </w:rPr>
              <w:t>Assumptions</w:t>
            </w:r>
          </w:p>
        </w:tc>
      </w:tr>
      <w:tr w:rsidR="00A01F4D" w14:paraId="337E2E8E" w14:textId="77777777" w:rsidTr="00843700">
        <w:tc>
          <w:tcPr>
            <w:tcW w:w="461" w:type="dxa"/>
          </w:tcPr>
          <w:p w14:paraId="29D75FCE" w14:textId="77777777" w:rsidR="00A01F4D" w:rsidRPr="00A239A9" w:rsidRDefault="00A01F4D" w:rsidP="004A2DD4">
            <w:pPr>
              <w:jc w:val="both"/>
              <w:rPr>
                <w:rFonts w:ascii="Arial" w:hAnsi="Arial" w:cs="Arial"/>
                <w:lang w:eastAsia="en-GB"/>
              </w:rPr>
            </w:pPr>
            <w:r w:rsidRPr="00A239A9">
              <w:rPr>
                <w:rFonts w:ascii="Arial" w:hAnsi="Arial" w:cs="Arial"/>
                <w:lang w:eastAsia="en-GB"/>
              </w:rPr>
              <w:t>01</w:t>
            </w:r>
          </w:p>
        </w:tc>
        <w:tc>
          <w:tcPr>
            <w:tcW w:w="8606" w:type="dxa"/>
          </w:tcPr>
          <w:p w14:paraId="46833B13" w14:textId="572DA35F" w:rsidR="00A01F4D" w:rsidRPr="00A239A9" w:rsidRDefault="00A01F4D" w:rsidP="004A2DD4">
            <w:pPr>
              <w:jc w:val="both"/>
              <w:rPr>
                <w:rFonts w:ascii="Arial" w:hAnsi="Arial" w:cs="Arial"/>
                <w:lang w:eastAsia="en-GB"/>
              </w:rPr>
            </w:pPr>
            <w:r w:rsidRPr="00A239A9">
              <w:rPr>
                <w:rFonts w:ascii="Arial" w:hAnsi="Arial" w:cs="Arial"/>
                <w:lang w:eastAsia="en-GB"/>
              </w:rPr>
              <w:t>All deterioration rates assume that routine maintenance is undertaken. If routine maintenance is not undertaken, the deterioration rates would be accelerated.</w:t>
            </w:r>
            <w:r w:rsidR="008C1C1E">
              <w:rPr>
                <w:rFonts w:ascii="Arial" w:hAnsi="Arial" w:cs="Arial"/>
                <w:lang w:eastAsia="en-GB"/>
              </w:rPr>
              <w:t xml:space="preserve"> (</w:t>
            </w:r>
            <w:r w:rsidR="00630F3E">
              <w:rPr>
                <w:rFonts w:ascii="Arial" w:hAnsi="Arial" w:cs="Arial"/>
                <w:lang w:eastAsia="en-GB"/>
              </w:rPr>
              <w:t>CIHT, 2020)</w:t>
            </w:r>
          </w:p>
        </w:tc>
      </w:tr>
      <w:tr w:rsidR="00A01F4D" w14:paraId="4D93E6FC" w14:textId="77777777" w:rsidTr="00843700">
        <w:tc>
          <w:tcPr>
            <w:tcW w:w="461" w:type="dxa"/>
          </w:tcPr>
          <w:p w14:paraId="0ACCD196" w14:textId="77777777" w:rsidR="00A01F4D" w:rsidRPr="007C536F" w:rsidRDefault="00A01F4D" w:rsidP="004A2DD4">
            <w:pPr>
              <w:jc w:val="both"/>
              <w:rPr>
                <w:rFonts w:ascii="Arial" w:hAnsi="Arial" w:cs="Arial"/>
                <w:lang w:eastAsia="en-GB"/>
              </w:rPr>
            </w:pPr>
            <w:r w:rsidRPr="007C536F">
              <w:rPr>
                <w:rFonts w:ascii="Arial" w:hAnsi="Arial" w:cs="Arial"/>
                <w:lang w:eastAsia="en-GB"/>
              </w:rPr>
              <w:t>02</w:t>
            </w:r>
          </w:p>
        </w:tc>
        <w:tc>
          <w:tcPr>
            <w:tcW w:w="8606" w:type="dxa"/>
          </w:tcPr>
          <w:p w14:paraId="6E910C5B" w14:textId="05BE5DBC" w:rsidR="00A01F4D" w:rsidRPr="007C536F" w:rsidRDefault="00A01F4D" w:rsidP="004A2DD4">
            <w:pPr>
              <w:jc w:val="both"/>
              <w:rPr>
                <w:rFonts w:ascii="Arial" w:hAnsi="Arial" w:cs="Arial"/>
                <w:lang w:eastAsia="en-GB"/>
              </w:rPr>
            </w:pPr>
            <w:r w:rsidRPr="007C536F">
              <w:rPr>
                <w:rFonts w:ascii="Arial" w:hAnsi="Arial" w:cs="Arial"/>
                <w:lang w:eastAsia="en-GB"/>
              </w:rPr>
              <w:t>Elements are treated once they reach their predefined condition trigger as shown in Appendix D.</w:t>
            </w:r>
            <w:r w:rsidR="00630F3E">
              <w:rPr>
                <w:rFonts w:ascii="Arial" w:hAnsi="Arial" w:cs="Arial"/>
                <w:lang w:eastAsia="en-GB"/>
              </w:rPr>
              <w:t xml:space="preserve"> (CIHT, 2020)</w:t>
            </w:r>
          </w:p>
        </w:tc>
      </w:tr>
      <w:tr w:rsidR="00A01F4D" w14:paraId="4367781A" w14:textId="77777777" w:rsidTr="00843700">
        <w:tc>
          <w:tcPr>
            <w:tcW w:w="461" w:type="dxa"/>
          </w:tcPr>
          <w:p w14:paraId="3E1128FD" w14:textId="77777777" w:rsidR="00A01F4D" w:rsidRPr="00A239A9" w:rsidRDefault="00A01F4D" w:rsidP="004A2DD4">
            <w:pPr>
              <w:jc w:val="both"/>
              <w:rPr>
                <w:rFonts w:ascii="Arial" w:hAnsi="Arial" w:cs="Arial"/>
                <w:lang w:eastAsia="en-GB"/>
              </w:rPr>
            </w:pPr>
            <w:r w:rsidRPr="00A239A9">
              <w:rPr>
                <w:rFonts w:ascii="Arial" w:hAnsi="Arial" w:cs="Arial"/>
                <w:lang w:eastAsia="en-GB"/>
              </w:rPr>
              <w:t>03</w:t>
            </w:r>
          </w:p>
        </w:tc>
        <w:tc>
          <w:tcPr>
            <w:tcW w:w="8606" w:type="dxa"/>
          </w:tcPr>
          <w:p w14:paraId="335E4AC7" w14:textId="7B2EFABC" w:rsidR="00A01F4D" w:rsidRPr="00A239A9" w:rsidRDefault="00A01F4D" w:rsidP="004A2DD4">
            <w:pPr>
              <w:jc w:val="both"/>
              <w:rPr>
                <w:rFonts w:ascii="Arial" w:hAnsi="Arial" w:cs="Arial"/>
                <w:lang w:eastAsia="en-GB"/>
              </w:rPr>
            </w:pPr>
            <w:r w:rsidRPr="00A239A9">
              <w:rPr>
                <w:rFonts w:ascii="Arial" w:hAnsi="Arial" w:cs="Arial"/>
                <w:lang w:eastAsia="en-GB"/>
              </w:rPr>
              <w:t>Condition after treatment is 2B unless element replacement takes place, in which case the condition is set at 1A.</w:t>
            </w:r>
            <w:r w:rsidR="00630F3E">
              <w:rPr>
                <w:rFonts w:ascii="Arial" w:hAnsi="Arial" w:cs="Arial"/>
                <w:lang w:eastAsia="en-GB"/>
              </w:rPr>
              <w:t xml:space="preserve"> (CIHT, 2020)</w:t>
            </w:r>
          </w:p>
        </w:tc>
      </w:tr>
      <w:tr w:rsidR="00A01F4D" w14:paraId="029F76BB" w14:textId="77777777" w:rsidTr="00843700">
        <w:tc>
          <w:tcPr>
            <w:tcW w:w="461" w:type="dxa"/>
          </w:tcPr>
          <w:p w14:paraId="7377660B" w14:textId="77777777" w:rsidR="00A01F4D" w:rsidRPr="00A239A9" w:rsidRDefault="00A01F4D" w:rsidP="004A2DD4">
            <w:pPr>
              <w:jc w:val="both"/>
              <w:rPr>
                <w:rFonts w:ascii="Arial" w:hAnsi="Arial" w:cs="Arial"/>
                <w:lang w:eastAsia="en-GB"/>
              </w:rPr>
            </w:pPr>
            <w:r w:rsidRPr="00A239A9">
              <w:rPr>
                <w:rFonts w:ascii="Arial" w:hAnsi="Arial" w:cs="Arial"/>
                <w:lang w:eastAsia="en-GB"/>
              </w:rPr>
              <w:t>04</w:t>
            </w:r>
          </w:p>
        </w:tc>
        <w:tc>
          <w:tcPr>
            <w:tcW w:w="8606" w:type="dxa"/>
          </w:tcPr>
          <w:p w14:paraId="4692A3B7" w14:textId="01E34852" w:rsidR="00A01F4D" w:rsidRPr="00A239A9" w:rsidRDefault="00A01F4D" w:rsidP="004A2DD4">
            <w:pPr>
              <w:jc w:val="both"/>
              <w:rPr>
                <w:rFonts w:ascii="Arial" w:hAnsi="Arial" w:cs="Arial"/>
                <w:lang w:eastAsia="en-GB"/>
              </w:rPr>
            </w:pPr>
            <w:r w:rsidRPr="00A239A9">
              <w:rPr>
                <w:rFonts w:ascii="Arial" w:hAnsi="Arial" w:cs="Arial"/>
                <w:lang w:eastAsia="en-GB"/>
              </w:rPr>
              <w:t>The cost of surfacing, services and lighting working due to waterproofing maintenance / renewal are included in the unit rates for waterproofing works.</w:t>
            </w:r>
            <w:r w:rsidR="00630F3E">
              <w:rPr>
                <w:rFonts w:ascii="Arial" w:hAnsi="Arial" w:cs="Arial"/>
                <w:lang w:eastAsia="en-GB"/>
              </w:rPr>
              <w:t xml:space="preserve"> (CIHT, 2020)</w:t>
            </w:r>
          </w:p>
        </w:tc>
      </w:tr>
      <w:tr w:rsidR="00A01F4D" w14:paraId="7D8D435C" w14:textId="77777777" w:rsidTr="00843700">
        <w:tc>
          <w:tcPr>
            <w:tcW w:w="461" w:type="dxa"/>
          </w:tcPr>
          <w:p w14:paraId="3A9A8FD8" w14:textId="77777777" w:rsidR="00A01F4D" w:rsidRPr="00A239A9" w:rsidRDefault="00A01F4D" w:rsidP="004A2DD4">
            <w:pPr>
              <w:jc w:val="both"/>
              <w:rPr>
                <w:rFonts w:ascii="Arial" w:hAnsi="Arial" w:cs="Arial"/>
                <w:lang w:eastAsia="en-GB"/>
              </w:rPr>
            </w:pPr>
            <w:r w:rsidRPr="00A239A9">
              <w:rPr>
                <w:rFonts w:ascii="Arial" w:hAnsi="Arial" w:cs="Arial"/>
                <w:lang w:eastAsia="en-GB"/>
              </w:rPr>
              <w:t>05</w:t>
            </w:r>
          </w:p>
        </w:tc>
        <w:tc>
          <w:tcPr>
            <w:tcW w:w="8606" w:type="dxa"/>
          </w:tcPr>
          <w:p w14:paraId="568D15E1" w14:textId="3D2D867E" w:rsidR="00A01F4D" w:rsidRPr="00A239A9" w:rsidRDefault="00A01F4D" w:rsidP="004A2DD4">
            <w:pPr>
              <w:jc w:val="both"/>
              <w:rPr>
                <w:rFonts w:ascii="Arial" w:hAnsi="Arial" w:cs="Arial"/>
                <w:lang w:eastAsia="en-GB"/>
              </w:rPr>
            </w:pPr>
            <w:r>
              <w:rPr>
                <w:rFonts w:ascii="Arial" w:hAnsi="Arial" w:cs="Arial"/>
                <w:lang w:eastAsia="en-GB"/>
              </w:rPr>
              <w:t>Metalwork repairs to t</w:t>
            </w:r>
            <w:r w:rsidRPr="00A239A9">
              <w:rPr>
                <w:rFonts w:ascii="Arial" w:hAnsi="Arial" w:cs="Arial"/>
                <w:lang w:eastAsia="en-GB"/>
              </w:rPr>
              <w:t xml:space="preserve">he weathering steel beams, and </w:t>
            </w:r>
            <w:r>
              <w:rPr>
                <w:rFonts w:ascii="Arial" w:hAnsi="Arial" w:cs="Arial"/>
                <w:lang w:eastAsia="en-GB"/>
              </w:rPr>
              <w:t xml:space="preserve">concrete repairs to </w:t>
            </w:r>
            <w:r w:rsidRPr="00A239A9">
              <w:rPr>
                <w:rFonts w:ascii="Arial" w:hAnsi="Arial" w:cs="Arial"/>
                <w:lang w:eastAsia="en-GB"/>
              </w:rPr>
              <w:t xml:space="preserve">reinforced concrete deck slab are </w:t>
            </w:r>
            <w:r>
              <w:rPr>
                <w:rFonts w:ascii="Arial" w:hAnsi="Arial" w:cs="Arial"/>
                <w:lang w:eastAsia="en-GB"/>
              </w:rPr>
              <w:t>completed</w:t>
            </w:r>
            <w:r w:rsidRPr="00A239A9">
              <w:rPr>
                <w:rFonts w:ascii="Arial" w:hAnsi="Arial" w:cs="Arial"/>
                <w:lang w:eastAsia="en-GB"/>
              </w:rPr>
              <w:t xml:space="preserve"> as a package due to SAVI’s predefined assumptions that the condition of these elements will be similar. </w:t>
            </w:r>
            <w:r w:rsidR="00630F3E">
              <w:rPr>
                <w:rFonts w:ascii="Arial" w:hAnsi="Arial" w:cs="Arial"/>
                <w:lang w:eastAsia="en-GB"/>
              </w:rPr>
              <w:t>(CIHT, 2020)</w:t>
            </w:r>
          </w:p>
        </w:tc>
      </w:tr>
      <w:tr w:rsidR="00A01F4D" w14:paraId="1C3AC5A8" w14:textId="77777777" w:rsidTr="00843700">
        <w:tc>
          <w:tcPr>
            <w:tcW w:w="461" w:type="dxa"/>
          </w:tcPr>
          <w:p w14:paraId="2F5E0C78" w14:textId="77777777" w:rsidR="00A01F4D" w:rsidRPr="00A239A9" w:rsidRDefault="00A01F4D" w:rsidP="004A2DD4">
            <w:pPr>
              <w:jc w:val="both"/>
              <w:rPr>
                <w:rFonts w:ascii="Arial" w:hAnsi="Arial" w:cs="Arial"/>
                <w:lang w:eastAsia="en-GB"/>
              </w:rPr>
            </w:pPr>
            <w:r>
              <w:rPr>
                <w:rFonts w:ascii="Arial" w:hAnsi="Arial" w:cs="Arial"/>
                <w:lang w:eastAsia="en-GB"/>
              </w:rPr>
              <w:t>06</w:t>
            </w:r>
          </w:p>
        </w:tc>
        <w:tc>
          <w:tcPr>
            <w:tcW w:w="8606" w:type="dxa"/>
          </w:tcPr>
          <w:p w14:paraId="46112EBC" w14:textId="4FB0790D" w:rsidR="00A01F4D" w:rsidRPr="00A239A9" w:rsidRDefault="00A01F4D" w:rsidP="004A2DD4">
            <w:pPr>
              <w:jc w:val="both"/>
              <w:rPr>
                <w:rFonts w:ascii="Arial" w:hAnsi="Arial" w:cs="Arial"/>
                <w:lang w:eastAsia="en-GB"/>
              </w:rPr>
            </w:pPr>
            <w:r>
              <w:rPr>
                <w:rFonts w:ascii="Arial" w:hAnsi="Arial" w:cs="Arial"/>
                <w:lang w:eastAsia="en-GB"/>
              </w:rPr>
              <w:t>Due to SAVI’s predefined assumptions, only one work pattern is utilised – Daytime Working.</w:t>
            </w:r>
            <w:r w:rsidR="002D6A1F">
              <w:rPr>
                <w:rFonts w:ascii="Arial" w:hAnsi="Arial" w:cs="Arial"/>
                <w:lang w:eastAsia="en-GB"/>
              </w:rPr>
              <w:t xml:space="preserve"> (CIHT, 2020)</w:t>
            </w:r>
          </w:p>
        </w:tc>
      </w:tr>
      <w:tr w:rsidR="00A01F4D" w14:paraId="1E030A0A" w14:textId="77777777" w:rsidTr="00843700">
        <w:tc>
          <w:tcPr>
            <w:tcW w:w="461" w:type="dxa"/>
          </w:tcPr>
          <w:p w14:paraId="15BD6BF7" w14:textId="77777777" w:rsidR="00A01F4D" w:rsidRPr="00A239A9" w:rsidRDefault="00A01F4D" w:rsidP="004A2DD4">
            <w:pPr>
              <w:jc w:val="both"/>
              <w:rPr>
                <w:rFonts w:ascii="Arial" w:hAnsi="Arial" w:cs="Arial"/>
                <w:lang w:eastAsia="en-GB"/>
              </w:rPr>
            </w:pPr>
            <w:r>
              <w:rPr>
                <w:rFonts w:ascii="Arial" w:hAnsi="Arial" w:cs="Arial"/>
                <w:lang w:eastAsia="en-GB"/>
              </w:rPr>
              <w:t>07</w:t>
            </w:r>
          </w:p>
        </w:tc>
        <w:tc>
          <w:tcPr>
            <w:tcW w:w="8606" w:type="dxa"/>
          </w:tcPr>
          <w:p w14:paraId="1EE3A379" w14:textId="0B4FDECB" w:rsidR="00A01F4D" w:rsidRPr="00A239A9" w:rsidRDefault="00A01F4D" w:rsidP="004A2DD4">
            <w:pPr>
              <w:jc w:val="both"/>
              <w:rPr>
                <w:rFonts w:ascii="Arial" w:hAnsi="Arial" w:cs="Arial"/>
                <w:lang w:eastAsia="en-GB"/>
              </w:rPr>
            </w:pPr>
            <w:r>
              <w:rPr>
                <w:rFonts w:ascii="Arial" w:hAnsi="Arial" w:cs="Arial"/>
                <w:lang w:eastAsia="en-GB"/>
              </w:rPr>
              <w:t>The base year in the life cycle analysis is 2020 and unit rates for maintenance activities w</w:t>
            </w:r>
            <w:r w:rsidR="003D7816">
              <w:rPr>
                <w:rFonts w:ascii="Arial" w:hAnsi="Arial" w:cs="Arial"/>
                <w:lang w:eastAsia="en-GB"/>
              </w:rPr>
              <w:t>ere</w:t>
            </w:r>
            <w:r>
              <w:rPr>
                <w:rFonts w:ascii="Arial" w:hAnsi="Arial" w:cs="Arial"/>
                <w:lang w:eastAsia="en-GB"/>
              </w:rPr>
              <w:t xml:space="preserve"> indexed to this year automatically</w:t>
            </w:r>
            <w:r w:rsidR="003D7816">
              <w:rPr>
                <w:rFonts w:ascii="Arial" w:hAnsi="Arial" w:cs="Arial"/>
                <w:lang w:eastAsia="en-GB"/>
              </w:rPr>
              <w:t xml:space="preserve"> using </w:t>
            </w:r>
            <w:r w:rsidR="00D545DA">
              <w:rPr>
                <w:rFonts w:ascii="Arial" w:hAnsi="Arial" w:cs="Arial"/>
                <w:lang w:eastAsia="en-GB"/>
              </w:rPr>
              <w:t xml:space="preserve">the </w:t>
            </w:r>
            <w:r w:rsidR="00D545DA" w:rsidRPr="001872E9">
              <w:rPr>
                <w:rFonts w:ascii="Arial" w:hAnsi="Arial" w:cs="Arial"/>
                <w:lang w:eastAsia="en-GB"/>
              </w:rPr>
              <w:t>ROADCON Tender Price Index of Road Construction</w:t>
            </w:r>
            <w:r>
              <w:rPr>
                <w:rFonts w:ascii="Arial" w:hAnsi="Arial" w:cs="Arial"/>
                <w:lang w:eastAsia="en-GB"/>
              </w:rPr>
              <w:t>.</w:t>
            </w:r>
          </w:p>
        </w:tc>
      </w:tr>
      <w:tr w:rsidR="00A01F4D" w14:paraId="57E62B5A" w14:textId="77777777" w:rsidTr="00843700">
        <w:tc>
          <w:tcPr>
            <w:tcW w:w="461" w:type="dxa"/>
          </w:tcPr>
          <w:p w14:paraId="75A4D422" w14:textId="77777777" w:rsidR="00A01F4D" w:rsidRPr="00A239A9" w:rsidRDefault="00A01F4D" w:rsidP="004A2DD4">
            <w:pPr>
              <w:jc w:val="both"/>
              <w:rPr>
                <w:rFonts w:ascii="Arial" w:hAnsi="Arial" w:cs="Arial"/>
                <w:lang w:eastAsia="en-GB"/>
              </w:rPr>
            </w:pPr>
            <w:r w:rsidRPr="00A239A9">
              <w:rPr>
                <w:rFonts w:ascii="Arial" w:hAnsi="Arial" w:cs="Arial"/>
                <w:lang w:eastAsia="en-GB"/>
              </w:rPr>
              <w:t>0</w:t>
            </w:r>
            <w:r>
              <w:rPr>
                <w:rFonts w:ascii="Arial" w:hAnsi="Arial" w:cs="Arial"/>
                <w:lang w:eastAsia="en-GB"/>
              </w:rPr>
              <w:t>8</w:t>
            </w:r>
          </w:p>
        </w:tc>
        <w:tc>
          <w:tcPr>
            <w:tcW w:w="8606" w:type="dxa"/>
          </w:tcPr>
          <w:p w14:paraId="4F6B0686" w14:textId="77777777" w:rsidR="00A01F4D" w:rsidRPr="00A239A9" w:rsidRDefault="00A01F4D" w:rsidP="004A2DD4">
            <w:pPr>
              <w:jc w:val="both"/>
              <w:rPr>
                <w:rFonts w:ascii="Arial" w:hAnsi="Arial" w:cs="Arial"/>
                <w:lang w:eastAsia="en-GB"/>
              </w:rPr>
            </w:pPr>
            <w:r w:rsidRPr="00A239A9">
              <w:rPr>
                <w:rFonts w:ascii="Arial" w:hAnsi="Arial" w:cs="Arial"/>
                <w:lang w:eastAsia="en-GB"/>
              </w:rPr>
              <w:t xml:space="preserve">Carbon values beyond year 2100 were excluded as UK social values of carbon do not exist </w:t>
            </w:r>
            <w:r>
              <w:rPr>
                <w:rFonts w:ascii="Arial" w:hAnsi="Arial" w:cs="Arial"/>
                <w:lang w:eastAsia="en-GB"/>
              </w:rPr>
              <w:t>further than</w:t>
            </w:r>
            <w:r w:rsidRPr="00A239A9">
              <w:rPr>
                <w:rFonts w:ascii="Arial" w:hAnsi="Arial" w:cs="Arial"/>
                <w:lang w:eastAsia="en-GB"/>
              </w:rPr>
              <w:t xml:space="preserve"> </w:t>
            </w:r>
            <w:r>
              <w:rPr>
                <w:rFonts w:ascii="Arial" w:hAnsi="Arial" w:cs="Arial"/>
                <w:lang w:eastAsia="en-GB"/>
              </w:rPr>
              <w:t>2100</w:t>
            </w:r>
            <w:r w:rsidRPr="00A239A9">
              <w:rPr>
                <w:rFonts w:ascii="Arial" w:hAnsi="Arial" w:cs="Arial"/>
                <w:lang w:eastAsia="en-GB"/>
              </w:rPr>
              <w:t>.</w:t>
            </w:r>
          </w:p>
        </w:tc>
      </w:tr>
      <w:tr w:rsidR="00A01F4D" w14:paraId="1E98BA59" w14:textId="77777777" w:rsidTr="00843700">
        <w:tc>
          <w:tcPr>
            <w:tcW w:w="461" w:type="dxa"/>
          </w:tcPr>
          <w:p w14:paraId="341A1262" w14:textId="77777777" w:rsidR="00A01F4D" w:rsidRPr="00E6059A" w:rsidRDefault="00A01F4D" w:rsidP="004A2DD4">
            <w:pPr>
              <w:jc w:val="both"/>
              <w:rPr>
                <w:rFonts w:ascii="Arial" w:hAnsi="Arial" w:cs="Arial"/>
                <w:lang w:eastAsia="en-GB"/>
              </w:rPr>
            </w:pPr>
            <w:r w:rsidRPr="00E6059A">
              <w:rPr>
                <w:rFonts w:ascii="Arial" w:hAnsi="Arial" w:cs="Arial"/>
                <w:lang w:eastAsia="en-GB"/>
              </w:rPr>
              <w:t>09</w:t>
            </w:r>
          </w:p>
        </w:tc>
        <w:tc>
          <w:tcPr>
            <w:tcW w:w="8606" w:type="dxa"/>
          </w:tcPr>
          <w:p w14:paraId="674008A6" w14:textId="77777777" w:rsidR="00A01F4D" w:rsidRPr="00E6059A" w:rsidRDefault="00A01F4D" w:rsidP="004A2DD4">
            <w:pPr>
              <w:jc w:val="both"/>
              <w:rPr>
                <w:rFonts w:ascii="Arial" w:hAnsi="Arial" w:cs="Arial"/>
                <w:lang w:eastAsia="en-GB"/>
              </w:rPr>
            </w:pPr>
            <w:r w:rsidRPr="00E6059A">
              <w:rPr>
                <w:rFonts w:ascii="Arial" w:hAnsi="Arial" w:cs="Arial"/>
                <w:lang w:eastAsia="en-GB"/>
              </w:rPr>
              <w:t>Regional traffic forecasts used to estimate emissions arising from road and lane closures assume a shift towards electric vehicles.</w:t>
            </w:r>
          </w:p>
        </w:tc>
      </w:tr>
      <w:tr w:rsidR="00A01F4D" w14:paraId="379D7FD1" w14:textId="77777777" w:rsidTr="00843700">
        <w:tc>
          <w:tcPr>
            <w:tcW w:w="461" w:type="dxa"/>
          </w:tcPr>
          <w:p w14:paraId="6431AD57" w14:textId="77777777" w:rsidR="00A01F4D" w:rsidRPr="00A239A9" w:rsidRDefault="00A01F4D" w:rsidP="004A2DD4">
            <w:pPr>
              <w:jc w:val="both"/>
              <w:rPr>
                <w:rFonts w:ascii="Arial" w:hAnsi="Arial" w:cs="Arial"/>
                <w:lang w:eastAsia="en-GB"/>
              </w:rPr>
            </w:pPr>
            <w:r>
              <w:rPr>
                <w:rFonts w:ascii="Arial" w:hAnsi="Arial" w:cs="Arial"/>
                <w:lang w:eastAsia="en-GB"/>
              </w:rPr>
              <w:t>10</w:t>
            </w:r>
          </w:p>
        </w:tc>
        <w:tc>
          <w:tcPr>
            <w:tcW w:w="8606" w:type="dxa"/>
          </w:tcPr>
          <w:p w14:paraId="60D3C79B" w14:textId="77777777" w:rsidR="00A01F4D" w:rsidRPr="00A239A9" w:rsidRDefault="00A01F4D" w:rsidP="004A2DD4">
            <w:pPr>
              <w:jc w:val="both"/>
              <w:rPr>
                <w:rFonts w:ascii="Arial" w:hAnsi="Arial" w:cs="Arial"/>
                <w:lang w:eastAsia="en-GB"/>
              </w:rPr>
            </w:pPr>
            <w:r>
              <w:rPr>
                <w:rFonts w:ascii="Arial" w:hAnsi="Arial" w:cs="Arial"/>
                <w:lang w:eastAsia="en-GB"/>
              </w:rPr>
              <w:t>V</w:t>
            </w:r>
            <w:r w:rsidRPr="00A239A9">
              <w:rPr>
                <w:rFonts w:ascii="Arial" w:hAnsi="Arial" w:cs="Arial"/>
                <w:lang w:eastAsia="en-GB"/>
              </w:rPr>
              <w:t>ehicle emissions beyond 2050 were excluded</w:t>
            </w:r>
            <w:r>
              <w:rPr>
                <w:rFonts w:ascii="Arial" w:hAnsi="Arial" w:cs="Arial"/>
                <w:lang w:eastAsia="en-GB"/>
              </w:rPr>
              <w:t>, as it is assumed the UK will be shifting towards electric vehicles</w:t>
            </w:r>
            <w:r w:rsidRPr="00A239A9">
              <w:rPr>
                <w:rFonts w:ascii="Arial" w:hAnsi="Arial" w:cs="Arial"/>
                <w:lang w:eastAsia="en-GB"/>
              </w:rPr>
              <w:t>.</w:t>
            </w:r>
          </w:p>
        </w:tc>
      </w:tr>
      <w:tr w:rsidR="00A01F4D" w14:paraId="28CB2115" w14:textId="77777777" w:rsidTr="00843700">
        <w:tc>
          <w:tcPr>
            <w:tcW w:w="461" w:type="dxa"/>
          </w:tcPr>
          <w:p w14:paraId="450FD890" w14:textId="61EB7AA4" w:rsidR="00A01F4D" w:rsidRPr="009826A4" w:rsidRDefault="00A01F4D" w:rsidP="004A2DD4">
            <w:pPr>
              <w:jc w:val="both"/>
              <w:rPr>
                <w:rFonts w:ascii="Arial" w:hAnsi="Arial" w:cs="Arial"/>
                <w:lang w:eastAsia="en-GB"/>
              </w:rPr>
            </w:pPr>
            <w:r>
              <w:rPr>
                <w:rFonts w:ascii="Arial" w:hAnsi="Arial" w:cs="Arial"/>
                <w:lang w:eastAsia="en-GB"/>
              </w:rPr>
              <w:t>1</w:t>
            </w:r>
            <w:r w:rsidR="005E62BB">
              <w:rPr>
                <w:rFonts w:ascii="Arial" w:hAnsi="Arial" w:cs="Arial"/>
                <w:lang w:eastAsia="en-GB"/>
              </w:rPr>
              <w:t>1</w:t>
            </w:r>
          </w:p>
        </w:tc>
        <w:tc>
          <w:tcPr>
            <w:tcW w:w="8606" w:type="dxa"/>
          </w:tcPr>
          <w:p w14:paraId="0BF3F358" w14:textId="4E49017D" w:rsidR="00A01F4D" w:rsidRPr="009826A4" w:rsidRDefault="00F85A5B" w:rsidP="004A2DD4">
            <w:pPr>
              <w:jc w:val="both"/>
              <w:rPr>
                <w:rFonts w:ascii="Arial" w:hAnsi="Arial" w:cs="Arial"/>
                <w:lang w:eastAsia="en-GB"/>
              </w:rPr>
            </w:pPr>
            <w:r w:rsidRPr="00E6059A">
              <w:rPr>
                <w:rFonts w:ascii="Arial" w:hAnsi="Arial" w:cs="Arial"/>
                <w:lang w:eastAsia="en-GB"/>
              </w:rPr>
              <w:t>CO</w:t>
            </w:r>
            <w:r w:rsidRPr="00E6059A">
              <w:rPr>
                <w:rFonts w:ascii="Arial" w:hAnsi="Arial" w:cs="Arial"/>
                <w:vertAlign w:val="subscript"/>
                <w:lang w:eastAsia="en-GB"/>
              </w:rPr>
              <w:t xml:space="preserve">2 </w:t>
            </w:r>
            <w:r w:rsidRPr="00E6059A">
              <w:rPr>
                <w:rFonts w:ascii="Arial" w:hAnsi="Arial" w:cs="Arial"/>
                <w:lang w:eastAsia="en-GB"/>
              </w:rPr>
              <w:t>from</w:t>
            </w:r>
            <w:r w:rsidR="00D22231" w:rsidRPr="00E6059A">
              <w:rPr>
                <w:rFonts w:ascii="Arial" w:hAnsi="Arial" w:cs="Arial"/>
                <w:lang w:eastAsia="en-GB"/>
              </w:rPr>
              <w:t xml:space="preserve"> the</w:t>
            </w:r>
            <w:r w:rsidRPr="00E6059A">
              <w:rPr>
                <w:rFonts w:ascii="Arial" w:hAnsi="Arial" w:cs="Arial"/>
                <w:lang w:eastAsia="en-GB"/>
              </w:rPr>
              <w:t xml:space="preserve"> transportation of materials </w:t>
            </w:r>
            <w:r w:rsidR="0030493E" w:rsidRPr="00E6059A">
              <w:rPr>
                <w:rFonts w:ascii="Arial" w:hAnsi="Arial" w:cs="Arial"/>
                <w:lang w:eastAsia="en-GB"/>
              </w:rPr>
              <w:t>was estimated based on a d</w:t>
            </w:r>
            <w:r w:rsidR="00A01F4D" w:rsidRPr="00206B8F">
              <w:rPr>
                <w:rFonts w:ascii="Arial" w:hAnsi="Arial" w:cs="Arial"/>
                <w:lang w:eastAsia="en-GB"/>
              </w:rPr>
              <w:t>istance travelled of 50km local, 250km national</w:t>
            </w:r>
            <w:r w:rsidR="00432CB8">
              <w:rPr>
                <w:rFonts w:ascii="Arial" w:hAnsi="Arial" w:cs="Arial"/>
                <w:lang w:eastAsia="en-GB"/>
              </w:rPr>
              <w:t>.</w:t>
            </w:r>
          </w:p>
        </w:tc>
      </w:tr>
      <w:tr w:rsidR="00A01F4D" w14:paraId="063EFA13" w14:textId="77777777" w:rsidTr="00843700">
        <w:tc>
          <w:tcPr>
            <w:tcW w:w="461" w:type="dxa"/>
          </w:tcPr>
          <w:p w14:paraId="26FCAAA5" w14:textId="4FF46DE4" w:rsidR="00A01F4D" w:rsidRPr="009826A4" w:rsidRDefault="00A01F4D" w:rsidP="004A2DD4">
            <w:pPr>
              <w:jc w:val="both"/>
              <w:rPr>
                <w:rFonts w:ascii="Arial" w:hAnsi="Arial" w:cs="Arial"/>
                <w:lang w:eastAsia="en-GB"/>
              </w:rPr>
            </w:pPr>
            <w:r>
              <w:rPr>
                <w:rFonts w:ascii="Arial" w:hAnsi="Arial" w:cs="Arial"/>
                <w:lang w:eastAsia="en-GB"/>
              </w:rPr>
              <w:t>1</w:t>
            </w:r>
            <w:r w:rsidR="005E62BB">
              <w:rPr>
                <w:rFonts w:ascii="Arial" w:hAnsi="Arial" w:cs="Arial"/>
                <w:lang w:eastAsia="en-GB"/>
              </w:rPr>
              <w:t>2</w:t>
            </w:r>
          </w:p>
        </w:tc>
        <w:tc>
          <w:tcPr>
            <w:tcW w:w="8606" w:type="dxa"/>
          </w:tcPr>
          <w:p w14:paraId="462B4D3D" w14:textId="77777777" w:rsidR="00A01F4D" w:rsidRPr="009826A4" w:rsidRDefault="00A01F4D" w:rsidP="004A2DD4">
            <w:pPr>
              <w:jc w:val="both"/>
              <w:rPr>
                <w:rFonts w:ascii="Arial" w:hAnsi="Arial" w:cs="Arial"/>
                <w:lang w:eastAsia="en-GB"/>
              </w:rPr>
            </w:pPr>
            <w:r>
              <w:rPr>
                <w:rFonts w:ascii="Arial" w:hAnsi="Arial" w:cs="Arial"/>
                <w:lang w:eastAsia="en-GB"/>
              </w:rPr>
              <w:t>Routine bridge inspections (General and Principal inspections) were excluded from this analysis as it was anticipated that the inspection regime for the structure would not differ from one strategy to another, therefore have no influence on the result.</w:t>
            </w:r>
          </w:p>
        </w:tc>
      </w:tr>
      <w:tr w:rsidR="00A01F4D" w14:paraId="4298E6EA" w14:textId="77777777" w:rsidTr="00843700">
        <w:tc>
          <w:tcPr>
            <w:tcW w:w="461" w:type="dxa"/>
          </w:tcPr>
          <w:p w14:paraId="390C675F" w14:textId="6F28992B" w:rsidR="00A01F4D" w:rsidRDefault="00A01F4D" w:rsidP="004A2DD4">
            <w:pPr>
              <w:jc w:val="both"/>
              <w:rPr>
                <w:rFonts w:ascii="Arial" w:hAnsi="Arial" w:cs="Arial"/>
                <w:lang w:eastAsia="en-GB"/>
              </w:rPr>
            </w:pPr>
            <w:r>
              <w:rPr>
                <w:rFonts w:ascii="Arial" w:hAnsi="Arial" w:cs="Arial"/>
                <w:lang w:eastAsia="en-GB"/>
              </w:rPr>
              <w:t>1</w:t>
            </w:r>
            <w:r w:rsidR="005E62BB">
              <w:rPr>
                <w:rFonts w:ascii="Arial" w:hAnsi="Arial" w:cs="Arial"/>
                <w:lang w:eastAsia="en-GB"/>
              </w:rPr>
              <w:t>3</w:t>
            </w:r>
          </w:p>
        </w:tc>
        <w:tc>
          <w:tcPr>
            <w:tcW w:w="8606" w:type="dxa"/>
          </w:tcPr>
          <w:p w14:paraId="2BE67164" w14:textId="77777777" w:rsidR="00A01F4D" w:rsidRDefault="00A01F4D" w:rsidP="004A2DD4">
            <w:pPr>
              <w:jc w:val="both"/>
              <w:rPr>
                <w:rFonts w:ascii="Arial" w:hAnsi="Arial" w:cs="Arial"/>
                <w:lang w:eastAsia="en-GB"/>
              </w:rPr>
            </w:pPr>
            <w:r>
              <w:rPr>
                <w:rFonts w:ascii="Arial" w:hAnsi="Arial" w:cs="Arial"/>
                <w:lang w:eastAsia="en-GB"/>
              </w:rPr>
              <w:t>The analysis period is 100 years which will represents the remaining service life of the structure assuming a design life of 120 years.</w:t>
            </w:r>
          </w:p>
        </w:tc>
      </w:tr>
    </w:tbl>
    <w:p w14:paraId="7EDF73D3" w14:textId="28803E05" w:rsidR="00A01F4D" w:rsidRDefault="00A01F4D" w:rsidP="00A01F4D">
      <w:pPr>
        <w:pStyle w:val="Caption"/>
        <w:jc w:val="center"/>
        <w:rPr>
          <w:rFonts w:ascii="Arial" w:hAnsi="Arial" w:cs="Arial"/>
          <w:sz w:val="22"/>
          <w:szCs w:val="22"/>
        </w:rPr>
      </w:pPr>
      <w:bookmarkStart w:id="62" w:name="_Toc66868987"/>
      <w:r w:rsidRPr="007A4257">
        <w:rPr>
          <w:rFonts w:ascii="Arial" w:hAnsi="Arial" w:cs="Arial"/>
          <w:sz w:val="22"/>
          <w:szCs w:val="22"/>
        </w:rPr>
        <w:t xml:space="preserve">Table </w:t>
      </w:r>
      <w:r w:rsidRPr="007A4257">
        <w:rPr>
          <w:rFonts w:ascii="Arial" w:hAnsi="Arial" w:cs="Arial"/>
          <w:sz w:val="22"/>
          <w:szCs w:val="22"/>
        </w:rPr>
        <w:fldChar w:fldCharType="begin"/>
      </w:r>
      <w:r w:rsidRPr="007A4257">
        <w:rPr>
          <w:rFonts w:ascii="Arial" w:hAnsi="Arial" w:cs="Arial"/>
          <w:sz w:val="22"/>
          <w:szCs w:val="22"/>
        </w:rPr>
        <w:instrText xml:space="preserve"> SEQ Table \* ARABIC </w:instrText>
      </w:r>
      <w:r w:rsidRPr="007A4257">
        <w:rPr>
          <w:rFonts w:ascii="Arial" w:hAnsi="Arial" w:cs="Arial"/>
          <w:sz w:val="22"/>
          <w:szCs w:val="22"/>
        </w:rPr>
        <w:fldChar w:fldCharType="separate"/>
      </w:r>
      <w:r>
        <w:rPr>
          <w:rFonts w:ascii="Arial" w:hAnsi="Arial" w:cs="Arial"/>
          <w:noProof/>
          <w:sz w:val="22"/>
          <w:szCs w:val="22"/>
        </w:rPr>
        <w:t>3</w:t>
      </w:r>
      <w:r w:rsidRPr="007A4257">
        <w:rPr>
          <w:rFonts w:ascii="Arial" w:hAnsi="Arial" w:cs="Arial"/>
          <w:sz w:val="22"/>
          <w:szCs w:val="22"/>
        </w:rPr>
        <w:fldChar w:fldCharType="end"/>
      </w:r>
      <w:r w:rsidRPr="007A4257">
        <w:rPr>
          <w:rFonts w:ascii="Arial" w:hAnsi="Arial" w:cs="Arial"/>
          <w:sz w:val="22"/>
          <w:szCs w:val="22"/>
        </w:rPr>
        <w:t xml:space="preserve"> - Key Assumptions</w:t>
      </w:r>
      <w:bookmarkEnd w:id="62"/>
    </w:p>
    <w:p w14:paraId="105949BE" w14:textId="1A815F51" w:rsidR="00B472EC" w:rsidRDefault="00DB25D4" w:rsidP="00A7710C">
      <w:pPr>
        <w:pStyle w:val="Heading2"/>
        <w:spacing w:after="240"/>
        <w:rPr>
          <w:rFonts w:ascii="Arial" w:eastAsia="Times New Roman" w:hAnsi="Arial" w:cs="Arial"/>
          <w:b/>
          <w:bCs/>
          <w:color w:val="auto"/>
          <w:sz w:val="24"/>
          <w:szCs w:val="24"/>
          <w:lang w:eastAsia="en-GB"/>
        </w:rPr>
      </w:pPr>
      <w:bookmarkStart w:id="63" w:name="_Toc65785461"/>
      <w:bookmarkStart w:id="64" w:name="_Toc65785544"/>
      <w:bookmarkStart w:id="65" w:name="_Toc65785462"/>
      <w:bookmarkStart w:id="66" w:name="_Toc65785545"/>
      <w:bookmarkStart w:id="67" w:name="_Toc65785463"/>
      <w:bookmarkStart w:id="68" w:name="_Toc65785546"/>
      <w:bookmarkStart w:id="69" w:name="_Toc65785464"/>
      <w:bookmarkStart w:id="70" w:name="_Toc65785547"/>
      <w:bookmarkStart w:id="71" w:name="_Toc65785465"/>
      <w:bookmarkStart w:id="72" w:name="_Toc65785548"/>
      <w:bookmarkStart w:id="73" w:name="_Toc65785466"/>
      <w:bookmarkStart w:id="74" w:name="_Toc65785549"/>
      <w:bookmarkStart w:id="75" w:name="_Toc65785467"/>
      <w:bookmarkStart w:id="76" w:name="_Toc65785550"/>
      <w:bookmarkStart w:id="77" w:name="_Toc65785468"/>
      <w:bookmarkStart w:id="78" w:name="_Toc65785551"/>
      <w:bookmarkStart w:id="79" w:name="_Toc65785469"/>
      <w:bookmarkStart w:id="80" w:name="_Toc65785552"/>
      <w:bookmarkStart w:id="81" w:name="_Toc65785470"/>
      <w:bookmarkStart w:id="82" w:name="_Toc65785553"/>
      <w:bookmarkStart w:id="83" w:name="_Toc65785471"/>
      <w:bookmarkStart w:id="84" w:name="_Toc65785554"/>
      <w:bookmarkStart w:id="85" w:name="_Toc65785472"/>
      <w:bookmarkStart w:id="86" w:name="_Toc65785555"/>
      <w:bookmarkStart w:id="87" w:name="_Toc65785473"/>
      <w:bookmarkStart w:id="88" w:name="_Toc65785556"/>
      <w:bookmarkStart w:id="89" w:name="_Toc65785474"/>
      <w:bookmarkStart w:id="90" w:name="_Toc65785557"/>
      <w:bookmarkStart w:id="91" w:name="_Toc65785475"/>
      <w:bookmarkStart w:id="92" w:name="_Toc65785558"/>
      <w:bookmarkStart w:id="93" w:name="_Toc65785476"/>
      <w:bookmarkStart w:id="94" w:name="_Toc65785559"/>
      <w:bookmarkStart w:id="95" w:name="_Toc66868903"/>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Arial" w:eastAsia="Times New Roman" w:hAnsi="Arial" w:cs="Arial"/>
          <w:b/>
          <w:bCs/>
          <w:color w:val="auto"/>
          <w:sz w:val="24"/>
          <w:szCs w:val="24"/>
          <w:lang w:eastAsia="en-GB"/>
        </w:rPr>
        <w:t>Data Input</w:t>
      </w:r>
      <w:bookmarkEnd w:id="95"/>
    </w:p>
    <w:p w14:paraId="2DC95F08" w14:textId="575B061D" w:rsidR="00827E59" w:rsidRDefault="001732A8" w:rsidP="004A2DD4">
      <w:pPr>
        <w:spacing w:line="360" w:lineRule="auto"/>
        <w:jc w:val="both"/>
        <w:rPr>
          <w:rFonts w:ascii="Arial" w:hAnsi="Arial" w:cs="Arial"/>
          <w:lang w:eastAsia="en-GB"/>
        </w:rPr>
      </w:pPr>
      <w:r w:rsidRPr="008C2EE9">
        <w:rPr>
          <w:rFonts w:ascii="Arial" w:hAnsi="Arial" w:cs="Arial"/>
          <w:lang w:eastAsia="en-GB"/>
        </w:rPr>
        <w:t xml:space="preserve">To develop life cycle plans for the two maintenance strategies, SAVI required some initial input to define </w:t>
      </w:r>
      <w:r>
        <w:rPr>
          <w:rFonts w:ascii="Arial" w:hAnsi="Arial" w:cs="Arial"/>
          <w:lang w:eastAsia="en-GB"/>
        </w:rPr>
        <w:t xml:space="preserve">the </w:t>
      </w:r>
      <w:r w:rsidRPr="008C2EE9">
        <w:rPr>
          <w:rFonts w:ascii="Arial" w:hAnsi="Arial" w:cs="Arial"/>
          <w:lang w:eastAsia="en-GB"/>
        </w:rPr>
        <w:t>general information about the structure</w:t>
      </w:r>
      <w:r>
        <w:rPr>
          <w:rFonts w:ascii="Arial" w:hAnsi="Arial" w:cs="Arial"/>
          <w:lang w:eastAsia="en-GB"/>
        </w:rPr>
        <w:t xml:space="preserve"> and</w:t>
      </w:r>
      <w:r w:rsidRPr="008C2EE9">
        <w:rPr>
          <w:rFonts w:ascii="Arial" w:hAnsi="Arial" w:cs="Arial"/>
          <w:lang w:eastAsia="en-GB"/>
        </w:rPr>
        <w:t xml:space="preserve"> details of all structural elements. </w:t>
      </w:r>
      <w:r>
        <w:rPr>
          <w:rFonts w:ascii="Arial" w:hAnsi="Arial" w:cs="Arial"/>
          <w:lang w:eastAsia="en-GB"/>
        </w:rPr>
        <w:t xml:space="preserve">All this information was obtained from the structure records which included the most recent inspection reports and as-built information. </w:t>
      </w:r>
    </w:p>
    <w:p w14:paraId="132DE42B" w14:textId="6D698196" w:rsidR="00A4649B" w:rsidRPr="00A7710C" w:rsidRDefault="00A4649B" w:rsidP="004A2DD4">
      <w:pPr>
        <w:spacing w:line="360" w:lineRule="auto"/>
        <w:jc w:val="both"/>
        <w:rPr>
          <w:rFonts w:ascii="Arial" w:hAnsi="Arial" w:cs="Arial"/>
          <w:lang w:eastAsia="en-GB"/>
        </w:rPr>
      </w:pPr>
      <w:r w:rsidRPr="00A7710C">
        <w:rPr>
          <w:rFonts w:ascii="Arial" w:hAnsi="Arial" w:cs="Arial"/>
          <w:lang w:eastAsia="en-GB"/>
        </w:rPr>
        <w:t>To determine both</w:t>
      </w:r>
      <w:r>
        <w:rPr>
          <w:rFonts w:ascii="Arial" w:hAnsi="Arial" w:cs="Arial"/>
          <w:lang w:eastAsia="en-GB"/>
        </w:rPr>
        <w:t>,</w:t>
      </w:r>
      <w:r w:rsidRPr="00A7710C">
        <w:rPr>
          <w:rFonts w:ascii="Arial" w:hAnsi="Arial" w:cs="Arial"/>
          <w:lang w:eastAsia="en-GB"/>
        </w:rPr>
        <w:t xml:space="preserve"> the rate of deterioration to structural elements and the subsequent years  in which maintenance </w:t>
      </w:r>
      <w:r>
        <w:rPr>
          <w:rFonts w:ascii="Arial" w:hAnsi="Arial" w:cs="Arial"/>
          <w:lang w:eastAsia="en-GB"/>
        </w:rPr>
        <w:t>should be carried out,</w:t>
      </w:r>
      <w:r w:rsidRPr="00A7710C">
        <w:rPr>
          <w:rFonts w:ascii="Arial" w:hAnsi="Arial" w:cs="Arial"/>
          <w:lang w:eastAsia="en-GB"/>
        </w:rPr>
        <w:t xml:space="preserve"> the environmental exposure conditions</w:t>
      </w:r>
      <w:r>
        <w:rPr>
          <w:rFonts w:ascii="Arial" w:hAnsi="Arial" w:cs="Arial"/>
          <w:lang w:eastAsia="en-GB"/>
        </w:rPr>
        <w:t xml:space="preserve"> for</w:t>
      </w:r>
      <w:r w:rsidRPr="00A7710C">
        <w:rPr>
          <w:rFonts w:ascii="Arial" w:hAnsi="Arial" w:cs="Arial"/>
          <w:lang w:eastAsia="en-GB"/>
        </w:rPr>
        <w:t xml:space="preserve"> the bridge </w:t>
      </w:r>
      <w:r w:rsidR="00827E59">
        <w:rPr>
          <w:rFonts w:ascii="Arial" w:hAnsi="Arial" w:cs="Arial"/>
          <w:lang w:eastAsia="en-GB"/>
        </w:rPr>
        <w:t xml:space="preserve">and </w:t>
      </w:r>
      <w:r w:rsidR="00827E59" w:rsidRPr="008A5B9A">
        <w:rPr>
          <w:rFonts w:ascii="Arial" w:hAnsi="Arial" w:cs="Arial"/>
          <w:lang w:eastAsia="en-GB"/>
        </w:rPr>
        <w:t>intervention threshold</w:t>
      </w:r>
      <w:r w:rsidR="005E67B5">
        <w:rPr>
          <w:rFonts w:ascii="Arial" w:hAnsi="Arial" w:cs="Arial"/>
          <w:lang w:eastAsia="en-GB"/>
        </w:rPr>
        <w:t>s</w:t>
      </w:r>
      <w:r w:rsidR="00827E59" w:rsidRPr="008A5B9A">
        <w:rPr>
          <w:rFonts w:ascii="Arial" w:hAnsi="Arial" w:cs="Arial"/>
          <w:lang w:eastAsia="en-GB"/>
        </w:rPr>
        <w:t xml:space="preserve"> </w:t>
      </w:r>
      <w:r w:rsidR="00513747" w:rsidRPr="00A7710C">
        <w:rPr>
          <w:rFonts w:ascii="Arial" w:hAnsi="Arial" w:cs="Arial"/>
          <w:lang w:eastAsia="en-GB"/>
        </w:rPr>
        <w:t>were</w:t>
      </w:r>
      <w:r w:rsidR="00513747">
        <w:rPr>
          <w:rFonts w:ascii="Arial" w:hAnsi="Arial" w:cs="Arial"/>
          <w:lang w:eastAsia="en-GB"/>
        </w:rPr>
        <w:t xml:space="preserve"> also</w:t>
      </w:r>
      <w:r w:rsidR="00513747" w:rsidRPr="00A7710C">
        <w:rPr>
          <w:rFonts w:ascii="Arial" w:hAnsi="Arial" w:cs="Arial"/>
          <w:lang w:eastAsia="en-GB"/>
        </w:rPr>
        <w:t xml:space="preserve"> defined</w:t>
      </w:r>
      <w:r w:rsidR="00513747">
        <w:rPr>
          <w:rFonts w:ascii="Arial" w:hAnsi="Arial" w:cs="Arial"/>
          <w:lang w:eastAsia="en-GB"/>
        </w:rPr>
        <w:t xml:space="preserve"> as outlined in this section.</w:t>
      </w:r>
      <w:r w:rsidR="00513747" w:rsidRPr="008A5B9A">
        <w:rPr>
          <w:rFonts w:ascii="Arial" w:hAnsi="Arial" w:cs="Arial"/>
          <w:lang w:eastAsia="en-GB"/>
        </w:rPr>
        <w:t xml:space="preserve"> </w:t>
      </w:r>
    </w:p>
    <w:p w14:paraId="131C7529" w14:textId="3D1D309E" w:rsidR="000C6BB5" w:rsidRPr="00A7710C" w:rsidRDefault="00A32A57" w:rsidP="00E6059A">
      <w:pPr>
        <w:pStyle w:val="Heading3"/>
        <w:spacing w:after="240"/>
        <w:rPr>
          <w:rFonts w:eastAsia="Times New Roman" w:cs="Arial"/>
          <w:b w:val="0"/>
          <w:bCs/>
          <w:color w:val="auto"/>
          <w:sz w:val="22"/>
          <w:szCs w:val="22"/>
          <w:lang w:eastAsia="en-GB"/>
        </w:rPr>
      </w:pPr>
      <w:bookmarkStart w:id="96" w:name="_Toc65785479"/>
      <w:bookmarkStart w:id="97" w:name="_Toc65785562"/>
      <w:bookmarkStart w:id="98" w:name="_Toc66868904"/>
      <w:bookmarkEnd w:id="96"/>
      <w:bookmarkEnd w:id="97"/>
      <w:r w:rsidRPr="00A7710C">
        <w:rPr>
          <w:rFonts w:eastAsia="Times New Roman" w:cs="Arial"/>
          <w:bCs/>
          <w:color w:val="auto"/>
          <w:sz w:val="22"/>
          <w:szCs w:val="22"/>
          <w:lang w:eastAsia="en-GB"/>
        </w:rPr>
        <w:t>Exposure Environment</w:t>
      </w:r>
      <w:bookmarkEnd w:id="98"/>
    </w:p>
    <w:p w14:paraId="7C7E73C0" w14:textId="23E3B536" w:rsidR="00D0159C" w:rsidRDefault="00CE04C8" w:rsidP="004A2DD4">
      <w:pPr>
        <w:spacing w:after="240" w:line="360" w:lineRule="auto"/>
        <w:jc w:val="both"/>
        <w:rPr>
          <w:rFonts w:ascii="Arial" w:hAnsi="Arial" w:cs="Arial"/>
        </w:rPr>
        <w:sectPr w:rsidR="00D0159C" w:rsidSect="00687186">
          <w:pgSz w:w="11906" w:h="16838"/>
          <w:pgMar w:top="1440" w:right="1440" w:bottom="1440" w:left="1440" w:header="708" w:footer="708" w:gutter="0"/>
          <w:pgNumType w:start="1"/>
          <w:cols w:space="708"/>
          <w:titlePg/>
          <w:docGrid w:linePitch="360"/>
        </w:sectPr>
      </w:pPr>
      <w:r>
        <w:rPr>
          <w:rFonts w:ascii="Arial" w:hAnsi="Arial" w:cs="Arial"/>
        </w:rPr>
        <w:t>T</w:t>
      </w:r>
      <w:r w:rsidR="0007630E">
        <w:rPr>
          <w:rFonts w:ascii="Arial" w:hAnsi="Arial" w:cs="Arial"/>
        </w:rPr>
        <w:t>he obstacle supported by the structure</w:t>
      </w:r>
      <w:r w:rsidR="00F23539">
        <w:rPr>
          <w:rFonts w:ascii="Arial" w:hAnsi="Arial" w:cs="Arial"/>
        </w:rPr>
        <w:t xml:space="preserve"> and obstacles crossed</w:t>
      </w:r>
      <w:r w:rsidR="00710118">
        <w:rPr>
          <w:rFonts w:ascii="Arial" w:hAnsi="Arial" w:cs="Arial"/>
        </w:rPr>
        <w:t xml:space="preserve"> were firstly defined</w:t>
      </w:r>
      <w:r w:rsidR="00CD06CD">
        <w:rPr>
          <w:rFonts w:ascii="Arial" w:hAnsi="Arial" w:cs="Arial"/>
        </w:rPr>
        <w:t>,</w:t>
      </w:r>
      <w:r w:rsidR="00710118">
        <w:rPr>
          <w:rFonts w:ascii="Arial" w:hAnsi="Arial" w:cs="Arial"/>
        </w:rPr>
        <w:t xml:space="preserve"> including </w:t>
      </w:r>
      <w:r w:rsidR="00995CBB">
        <w:rPr>
          <w:rFonts w:ascii="Arial" w:hAnsi="Arial" w:cs="Arial"/>
        </w:rPr>
        <w:t>whether the route</w:t>
      </w:r>
      <w:r w:rsidR="00D778A8">
        <w:rPr>
          <w:rFonts w:ascii="Arial" w:hAnsi="Arial" w:cs="Arial"/>
        </w:rPr>
        <w:t>s</w:t>
      </w:r>
      <w:r w:rsidR="00995CBB">
        <w:rPr>
          <w:rFonts w:ascii="Arial" w:hAnsi="Arial" w:cs="Arial"/>
        </w:rPr>
        <w:t xml:space="preserve"> supported or crossed </w:t>
      </w:r>
      <w:r w:rsidR="00D778A8">
        <w:rPr>
          <w:rFonts w:ascii="Arial" w:hAnsi="Arial" w:cs="Arial"/>
        </w:rPr>
        <w:t>were</w:t>
      </w:r>
      <w:r w:rsidR="00DB60C0">
        <w:rPr>
          <w:rFonts w:ascii="Arial" w:hAnsi="Arial" w:cs="Arial"/>
        </w:rPr>
        <w:t xml:space="preserve"> salted (located on a gritted route). </w:t>
      </w:r>
      <w:r w:rsidR="00A21F4B">
        <w:rPr>
          <w:rFonts w:ascii="Arial" w:hAnsi="Arial" w:cs="Arial"/>
        </w:rPr>
        <w:t>W</w:t>
      </w:r>
      <w:r w:rsidR="0032711F" w:rsidRPr="00546EAF">
        <w:rPr>
          <w:rFonts w:ascii="Arial" w:hAnsi="Arial" w:cs="Arial"/>
        </w:rPr>
        <w:t>inter maintenance (salting) routes for the local authority were reviewed</w:t>
      </w:r>
      <w:r w:rsidR="00D6213A">
        <w:rPr>
          <w:rFonts w:ascii="Arial" w:hAnsi="Arial" w:cs="Arial"/>
        </w:rPr>
        <w:t xml:space="preserve"> </w:t>
      </w:r>
      <w:r w:rsidR="00C64AF1">
        <w:rPr>
          <w:rFonts w:ascii="Arial" w:hAnsi="Arial" w:cs="Arial"/>
        </w:rPr>
        <w:t xml:space="preserve">and confirmed </w:t>
      </w:r>
      <w:r w:rsidR="00D6213A">
        <w:rPr>
          <w:rFonts w:ascii="Arial" w:hAnsi="Arial" w:cs="Arial"/>
        </w:rPr>
        <w:t xml:space="preserve">the </w:t>
      </w:r>
      <w:r w:rsidR="00BE1702">
        <w:rPr>
          <w:rFonts w:ascii="Arial" w:hAnsi="Arial" w:cs="Arial"/>
        </w:rPr>
        <w:t xml:space="preserve">road supported by the structure </w:t>
      </w:r>
      <w:r w:rsidR="00D6213A">
        <w:rPr>
          <w:rFonts w:ascii="Arial" w:hAnsi="Arial" w:cs="Arial"/>
        </w:rPr>
        <w:t>is</w:t>
      </w:r>
      <w:r w:rsidR="00754940">
        <w:rPr>
          <w:rFonts w:ascii="Arial" w:hAnsi="Arial" w:cs="Arial"/>
        </w:rPr>
        <w:t xml:space="preserve"> subjected to de-icing salts</w:t>
      </w:r>
      <w:r w:rsidR="00353118">
        <w:rPr>
          <w:rFonts w:ascii="Arial" w:hAnsi="Arial" w:cs="Arial"/>
        </w:rPr>
        <w:t>.</w:t>
      </w:r>
      <w:r w:rsidR="003F51BC">
        <w:rPr>
          <w:rFonts w:ascii="Arial" w:hAnsi="Arial" w:cs="Arial"/>
        </w:rPr>
        <w:t xml:space="preserve"> </w:t>
      </w:r>
    </w:p>
    <w:p w14:paraId="3F32F460" w14:textId="77866E65" w:rsidR="00D0159C" w:rsidRDefault="00F968B7" w:rsidP="00003FFC">
      <w:pPr>
        <w:pStyle w:val="Heading3"/>
        <w:spacing w:after="240"/>
        <w:rPr>
          <w:rFonts w:cs="Arial"/>
          <w:b w:val="0"/>
          <w:bCs/>
          <w:color w:val="auto"/>
          <w:sz w:val="22"/>
          <w:szCs w:val="22"/>
        </w:rPr>
      </w:pPr>
      <w:bookmarkStart w:id="99" w:name="_Toc66868905"/>
      <w:r>
        <w:rPr>
          <w:rFonts w:cs="Arial"/>
          <w:bCs/>
          <w:color w:val="auto"/>
          <w:sz w:val="22"/>
          <w:szCs w:val="22"/>
        </w:rPr>
        <w:t>Bridge Elements</w:t>
      </w:r>
      <w:r w:rsidR="004F402B" w:rsidRPr="006A63CB">
        <w:rPr>
          <w:rFonts w:cs="Arial"/>
          <w:bCs/>
          <w:color w:val="auto"/>
          <w:sz w:val="22"/>
          <w:szCs w:val="22"/>
        </w:rPr>
        <w:t xml:space="preserve"> and Proximity to Traffic Spray</w:t>
      </w:r>
      <w:bookmarkEnd w:id="99"/>
      <w:r w:rsidR="001A5A43" w:rsidRPr="006A63CB">
        <w:rPr>
          <w:rFonts w:cs="Arial"/>
          <w:bCs/>
          <w:color w:val="auto"/>
          <w:sz w:val="22"/>
          <w:szCs w:val="22"/>
        </w:rPr>
        <w:t xml:space="preserve"> </w:t>
      </w:r>
    </w:p>
    <w:p w14:paraId="7B45FFF0" w14:textId="48B6CDA9" w:rsidR="00003FFC" w:rsidRPr="00003FFC" w:rsidRDefault="003B7F6D" w:rsidP="004A2DD4">
      <w:pPr>
        <w:spacing w:line="360" w:lineRule="auto"/>
        <w:jc w:val="both"/>
        <w:rPr>
          <w:rFonts w:ascii="Arial" w:hAnsi="Arial" w:cs="Arial"/>
        </w:rPr>
      </w:pPr>
      <w:r>
        <w:rPr>
          <w:rFonts w:ascii="Arial" w:hAnsi="Arial" w:cs="Arial"/>
        </w:rPr>
        <w:t>Each element of the bridge was defined in SAVI indicating the comp</w:t>
      </w:r>
      <w:r w:rsidR="00DF3F30">
        <w:rPr>
          <w:rFonts w:ascii="Arial" w:hAnsi="Arial" w:cs="Arial"/>
        </w:rPr>
        <w:t>onent / material type, condition and proximity to traffic spay</w:t>
      </w:r>
      <w:r w:rsidR="00A6690D">
        <w:rPr>
          <w:rFonts w:ascii="Arial" w:hAnsi="Arial" w:cs="Arial"/>
        </w:rPr>
        <w:t xml:space="preserve"> as indicated in </w:t>
      </w:r>
      <w:r w:rsidR="00CF724D">
        <w:rPr>
          <w:rFonts w:ascii="Arial" w:hAnsi="Arial" w:cs="Arial"/>
        </w:rPr>
        <w:t>T</w:t>
      </w:r>
      <w:r w:rsidR="00A6690D">
        <w:rPr>
          <w:rFonts w:ascii="Arial" w:hAnsi="Arial" w:cs="Arial"/>
        </w:rPr>
        <w:t>able 4.</w:t>
      </w:r>
      <w:r w:rsidR="00CF1E0F">
        <w:rPr>
          <w:rFonts w:ascii="Arial" w:hAnsi="Arial" w:cs="Arial"/>
        </w:rPr>
        <w:t xml:space="preserve"> </w:t>
      </w:r>
      <w:r w:rsidR="005C4647">
        <w:rPr>
          <w:rFonts w:ascii="Arial" w:hAnsi="Arial" w:cs="Arial"/>
        </w:rPr>
        <w:t xml:space="preserve">The condition of bridge elements in the UK </w:t>
      </w:r>
      <w:r w:rsidR="00883911">
        <w:rPr>
          <w:rFonts w:ascii="Arial" w:hAnsi="Arial" w:cs="Arial"/>
        </w:rPr>
        <w:t xml:space="preserve">are defined using CSS condition scores </w:t>
      </w:r>
      <w:r w:rsidR="00F04389">
        <w:rPr>
          <w:rFonts w:ascii="Arial" w:hAnsi="Arial" w:cs="Arial"/>
        </w:rPr>
        <w:t xml:space="preserve">using severity and extent codes. </w:t>
      </w:r>
      <w:r w:rsidR="00964E61">
        <w:rPr>
          <w:rFonts w:ascii="Arial" w:hAnsi="Arial" w:cs="Arial"/>
        </w:rPr>
        <w:t xml:space="preserve">Extent and severity codes </w:t>
      </w:r>
      <w:r w:rsidR="00AE4C26">
        <w:rPr>
          <w:rFonts w:ascii="Arial" w:hAnsi="Arial" w:cs="Arial"/>
        </w:rPr>
        <w:t>along with the corresponding</w:t>
      </w:r>
      <w:r w:rsidR="00964E61">
        <w:rPr>
          <w:rFonts w:ascii="Arial" w:hAnsi="Arial" w:cs="Arial"/>
        </w:rPr>
        <w:t xml:space="preserve"> descriptions are</w:t>
      </w:r>
      <w:r w:rsidR="00B35775">
        <w:rPr>
          <w:rFonts w:ascii="Arial" w:hAnsi="Arial" w:cs="Arial"/>
        </w:rPr>
        <w:t xml:space="preserve"> provided in Tables 5 &amp; 6.</w:t>
      </w:r>
      <w:r w:rsidR="00964E61">
        <w:rPr>
          <w:rFonts w:ascii="Arial" w:hAnsi="Arial" w:cs="Arial"/>
        </w:rPr>
        <w:t xml:space="preserve"> </w:t>
      </w:r>
      <w:r w:rsidR="00F04389">
        <w:rPr>
          <w:rFonts w:ascii="Arial" w:hAnsi="Arial" w:cs="Arial"/>
        </w:rPr>
        <w:t xml:space="preserve"> </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2977"/>
        <w:gridCol w:w="1317"/>
        <w:gridCol w:w="5910"/>
      </w:tblGrid>
      <w:tr w:rsidR="007860A7" w:rsidRPr="00D0159C" w14:paraId="3EB425F2" w14:textId="77777777" w:rsidTr="00AA34FF">
        <w:trPr>
          <w:trHeight w:val="296"/>
          <w:tblHeader/>
        </w:trPr>
        <w:tc>
          <w:tcPr>
            <w:tcW w:w="13887" w:type="dxa"/>
            <w:gridSpan w:val="4"/>
            <w:shd w:val="clear" w:color="auto" w:fill="000099"/>
            <w:vAlign w:val="center"/>
          </w:tcPr>
          <w:p w14:paraId="46F4F6FD" w14:textId="05BAB483" w:rsidR="007860A7" w:rsidRPr="007860A7" w:rsidRDefault="007860A7" w:rsidP="00D0159C">
            <w:pPr>
              <w:spacing w:after="0" w:line="240" w:lineRule="auto"/>
              <w:jc w:val="center"/>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Element Condition and P</w:t>
            </w:r>
            <w:r w:rsidR="00403468">
              <w:rPr>
                <w:rFonts w:ascii="Arial" w:eastAsia="Times New Roman" w:hAnsi="Arial" w:cs="Arial"/>
                <w:b/>
                <w:bCs/>
                <w:color w:val="FFFFFF" w:themeColor="background1"/>
                <w:lang w:eastAsia="en-GB"/>
              </w:rPr>
              <w:t>roximity to Traffic Spray</w:t>
            </w:r>
          </w:p>
        </w:tc>
      </w:tr>
      <w:tr w:rsidR="001A5A43" w:rsidRPr="00D0159C" w14:paraId="73CBFD78" w14:textId="77777777" w:rsidTr="00403468">
        <w:trPr>
          <w:trHeight w:val="966"/>
          <w:tblHeader/>
        </w:trPr>
        <w:tc>
          <w:tcPr>
            <w:tcW w:w="3683" w:type="dxa"/>
            <w:shd w:val="clear" w:color="auto" w:fill="99CCFF"/>
            <w:vAlign w:val="center"/>
            <w:hideMark/>
          </w:tcPr>
          <w:p w14:paraId="2E29E8B9" w14:textId="77777777" w:rsidR="001A5A43" w:rsidRPr="00D0159C" w:rsidRDefault="001A5A43" w:rsidP="00D0159C">
            <w:pPr>
              <w:spacing w:after="0" w:line="240" w:lineRule="auto"/>
              <w:jc w:val="center"/>
              <w:rPr>
                <w:rFonts w:ascii="Arial" w:eastAsia="Times New Roman" w:hAnsi="Arial" w:cs="Arial"/>
                <w:b/>
                <w:bCs/>
                <w:color w:val="000099"/>
                <w:lang w:eastAsia="en-GB"/>
              </w:rPr>
            </w:pPr>
            <w:r w:rsidRPr="00D0159C">
              <w:rPr>
                <w:rFonts w:ascii="Arial" w:eastAsia="Times New Roman" w:hAnsi="Arial" w:cs="Arial"/>
                <w:b/>
                <w:bCs/>
                <w:color w:val="000099"/>
                <w:lang w:eastAsia="en-GB"/>
              </w:rPr>
              <w:t>Full Name of Element</w:t>
            </w:r>
          </w:p>
        </w:tc>
        <w:tc>
          <w:tcPr>
            <w:tcW w:w="2977" w:type="dxa"/>
            <w:shd w:val="clear" w:color="auto" w:fill="99CCFF"/>
            <w:vAlign w:val="center"/>
            <w:hideMark/>
          </w:tcPr>
          <w:p w14:paraId="18D1BB81" w14:textId="77777777" w:rsidR="001A5A43" w:rsidRPr="00D0159C" w:rsidRDefault="001A5A43" w:rsidP="00D0159C">
            <w:pPr>
              <w:spacing w:after="0" w:line="240" w:lineRule="auto"/>
              <w:jc w:val="center"/>
              <w:rPr>
                <w:rFonts w:ascii="Arial" w:eastAsia="Times New Roman" w:hAnsi="Arial" w:cs="Arial"/>
                <w:b/>
                <w:bCs/>
                <w:color w:val="000099"/>
                <w:lang w:eastAsia="en-GB"/>
              </w:rPr>
            </w:pPr>
            <w:r w:rsidRPr="00D0159C">
              <w:rPr>
                <w:rFonts w:ascii="Arial" w:eastAsia="Times New Roman" w:hAnsi="Arial" w:cs="Arial"/>
                <w:b/>
                <w:bCs/>
                <w:color w:val="000099"/>
                <w:lang w:eastAsia="en-GB"/>
              </w:rPr>
              <w:t>Component/Material Type</w:t>
            </w:r>
          </w:p>
        </w:tc>
        <w:tc>
          <w:tcPr>
            <w:tcW w:w="1317" w:type="dxa"/>
            <w:shd w:val="clear" w:color="auto" w:fill="99CCFF"/>
            <w:vAlign w:val="center"/>
            <w:hideMark/>
          </w:tcPr>
          <w:p w14:paraId="4113037A" w14:textId="77777777" w:rsidR="001A5A43" w:rsidRPr="00D0159C" w:rsidRDefault="001A5A43" w:rsidP="00D0159C">
            <w:pPr>
              <w:spacing w:after="0" w:line="240" w:lineRule="auto"/>
              <w:jc w:val="center"/>
              <w:rPr>
                <w:rFonts w:ascii="Arial" w:eastAsia="Times New Roman" w:hAnsi="Arial" w:cs="Arial"/>
                <w:b/>
                <w:bCs/>
                <w:color w:val="000099"/>
                <w:lang w:eastAsia="en-GB"/>
              </w:rPr>
            </w:pPr>
            <w:r w:rsidRPr="00D0159C">
              <w:rPr>
                <w:rFonts w:ascii="Arial" w:eastAsia="Times New Roman" w:hAnsi="Arial" w:cs="Arial"/>
                <w:b/>
                <w:bCs/>
                <w:color w:val="000099"/>
                <w:lang w:eastAsia="en-GB"/>
              </w:rPr>
              <w:t>Condition at last inspection</w:t>
            </w:r>
          </w:p>
        </w:tc>
        <w:tc>
          <w:tcPr>
            <w:tcW w:w="5910" w:type="dxa"/>
            <w:shd w:val="clear" w:color="auto" w:fill="99CCFF"/>
            <w:vAlign w:val="center"/>
            <w:hideMark/>
          </w:tcPr>
          <w:p w14:paraId="11794154" w14:textId="77777777" w:rsidR="001A5A43" w:rsidRPr="00D0159C" w:rsidRDefault="001A5A43" w:rsidP="00D0159C">
            <w:pPr>
              <w:spacing w:after="0" w:line="240" w:lineRule="auto"/>
              <w:jc w:val="center"/>
              <w:rPr>
                <w:rFonts w:ascii="Arial" w:eastAsia="Times New Roman" w:hAnsi="Arial" w:cs="Arial"/>
                <w:b/>
                <w:bCs/>
                <w:color w:val="000099"/>
                <w:lang w:eastAsia="en-GB"/>
              </w:rPr>
            </w:pPr>
            <w:r w:rsidRPr="00D0159C">
              <w:rPr>
                <w:rFonts w:ascii="Arial" w:eastAsia="Times New Roman" w:hAnsi="Arial" w:cs="Arial"/>
                <w:b/>
                <w:bCs/>
                <w:color w:val="000099"/>
                <w:lang w:eastAsia="en-GB"/>
              </w:rPr>
              <w:t>Proximity to Traffic Spray Zone</w:t>
            </w:r>
          </w:p>
        </w:tc>
      </w:tr>
      <w:tr w:rsidR="001A5A43" w:rsidRPr="00D0159C" w14:paraId="00BE845C" w14:textId="77777777" w:rsidTr="001A5A43">
        <w:trPr>
          <w:trHeight w:val="255"/>
        </w:trPr>
        <w:tc>
          <w:tcPr>
            <w:tcW w:w="3683" w:type="dxa"/>
            <w:shd w:val="clear" w:color="auto" w:fill="auto"/>
            <w:noWrap/>
            <w:vAlign w:val="bottom"/>
            <w:hideMark/>
          </w:tcPr>
          <w:p w14:paraId="0E6CEB36"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Br01.  Primary Deck Element</w:t>
            </w:r>
          </w:p>
        </w:tc>
        <w:tc>
          <w:tcPr>
            <w:tcW w:w="2977" w:type="dxa"/>
            <w:shd w:val="clear" w:color="auto" w:fill="auto"/>
            <w:noWrap/>
            <w:vAlign w:val="bottom"/>
            <w:hideMark/>
          </w:tcPr>
          <w:p w14:paraId="03882C6B"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Weathering Steel</w:t>
            </w:r>
          </w:p>
        </w:tc>
        <w:tc>
          <w:tcPr>
            <w:tcW w:w="1317" w:type="dxa"/>
            <w:shd w:val="clear" w:color="auto" w:fill="auto"/>
            <w:noWrap/>
            <w:vAlign w:val="bottom"/>
            <w:hideMark/>
          </w:tcPr>
          <w:p w14:paraId="1A1CC862"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1A</w:t>
            </w:r>
          </w:p>
        </w:tc>
        <w:tc>
          <w:tcPr>
            <w:tcW w:w="5910" w:type="dxa"/>
            <w:shd w:val="clear" w:color="auto" w:fill="auto"/>
            <w:noWrap/>
            <w:vAlign w:val="bottom"/>
            <w:hideMark/>
          </w:tcPr>
          <w:p w14:paraId="5D402454" w14:textId="4C5D2B9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Not within 3 metres</w:t>
            </w:r>
            <w:r w:rsidR="00F614A3">
              <w:rPr>
                <w:rFonts w:ascii="Arial" w:eastAsia="Times New Roman" w:hAnsi="Arial" w:cs="Arial"/>
                <w:lang w:eastAsia="en-GB"/>
              </w:rPr>
              <w:t>’</w:t>
            </w:r>
            <w:r w:rsidRPr="00D0159C">
              <w:rPr>
                <w:rFonts w:ascii="Arial" w:eastAsia="Times New Roman" w:hAnsi="Arial" w:cs="Arial"/>
                <w:lang w:eastAsia="en-GB"/>
              </w:rPr>
              <w:t xml:space="preserve"> proximity to spray zone / Not applicable</w:t>
            </w:r>
          </w:p>
        </w:tc>
      </w:tr>
      <w:tr w:rsidR="001A5A43" w:rsidRPr="00D0159C" w14:paraId="6E5A4102" w14:textId="77777777" w:rsidTr="001A5A43">
        <w:trPr>
          <w:trHeight w:val="255"/>
        </w:trPr>
        <w:tc>
          <w:tcPr>
            <w:tcW w:w="3683" w:type="dxa"/>
            <w:shd w:val="clear" w:color="auto" w:fill="auto"/>
            <w:noWrap/>
            <w:vAlign w:val="bottom"/>
            <w:hideMark/>
          </w:tcPr>
          <w:p w14:paraId="0C4DF4E2"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Br03.  Secondary Deck Element</w:t>
            </w:r>
          </w:p>
        </w:tc>
        <w:tc>
          <w:tcPr>
            <w:tcW w:w="2977" w:type="dxa"/>
            <w:shd w:val="clear" w:color="auto" w:fill="auto"/>
            <w:noWrap/>
            <w:vAlign w:val="bottom"/>
            <w:hideMark/>
          </w:tcPr>
          <w:p w14:paraId="25B83624" w14:textId="31E18E2B"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In</w:t>
            </w:r>
            <w:r w:rsidR="004F402B">
              <w:rPr>
                <w:rFonts w:ascii="Arial" w:eastAsia="Times New Roman" w:hAnsi="Arial" w:cs="Arial"/>
                <w:lang w:eastAsia="en-GB"/>
              </w:rPr>
              <w:t>-</w:t>
            </w:r>
            <w:r w:rsidRPr="00D0159C">
              <w:rPr>
                <w:rFonts w:ascii="Arial" w:eastAsia="Times New Roman" w:hAnsi="Arial" w:cs="Arial"/>
                <w:lang w:eastAsia="en-GB"/>
              </w:rPr>
              <w:t>situ Reinforced Concrete</w:t>
            </w:r>
          </w:p>
        </w:tc>
        <w:tc>
          <w:tcPr>
            <w:tcW w:w="1317" w:type="dxa"/>
            <w:shd w:val="clear" w:color="auto" w:fill="auto"/>
            <w:noWrap/>
            <w:vAlign w:val="bottom"/>
            <w:hideMark/>
          </w:tcPr>
          <w:p w14:paraId="2701CF78"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1A</w:t>
            </w:r>
          </w:p>
        </w:tc>
        <w:tc>
          <w:tcPr>
            <w:tcW w:w="5910" w:type="dxa"/>
            <w:shd w:val="clear" w:color="auto" w:fill="auto"/>
            <w:noWrap/>
            <w:vAlign w:val="bottom"/>
            <w:hideMark/>
          </w:tcPr>
          <w:p w14:paraId="0B80FC43" w14:textId="2D5E1E6B"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Not within 3 metres</w:t>
            </w:r>
            <w:r w:rsidR="00F614A3">
              <w:rPr>
                <w:rFonts w:ascii="Arial" w:eastAsia="Times New Roman" w:hAnsi="Arial" w:cs="Arial"/>
                <w:lang w:eastAsia="en-GB"/>
              </w:rPr>
              <w:t>’</w:t>
            </w:r>
            <w:r w:rsidRPr="00D0159C">
              <w:rPr>
                <w:rFonts w:ascii="Arial" w:eastAsia="Times New Roman" w:hAnsi="Arial" w:cs="Arial"/>
                <w:lang w:eastAsia="en-GB"/>
              </w:rPr>
              <w:t xml:space="preserve"> proximity to spray zone / Not applicable</w:t>
            </w:r>
          </w:p>
        </w:tc>
      </w:tr>
      <w:tr w:rsidR="001A5A43" w:rsidRPr="00D0159C" w14:paraId="5E874072" w14:textId="77777777" w:rsidTr="001A5A43">
        <w:trPr>
          <w:trHeight w:val="255"/>
        </w:trPr>
        <w:tc>
          <w:tcPr>
            <w:tcW w:w="3683" w:type="dxa"/>
            <w:shd w:val="clear" w:color="auto" w:fill="auto"/>
            <w:noWrap/>
            <w:vAlign w:val="bottom"/>
            <w:hideMark/>
          </w:tcPr>
          <w:p w14:paraId="675C74A9"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Br07.  Deck Bracing</w:t>
            </w:r>
          </w:p>
        </w:tc>
        <w:tc>
          <w:tcPr>
            <w:tcW w:w="2977" w:type="dxa"/>
            <w:shd w:val="clear" w:color="auto" w:fill="auto"/>
            <w:noWrap/>
            <w:vAlign w:val="bottom"/>
            <w:hideMark/>
          </w:tcPr>
          <w:p w14:paraId="60F46E4E"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Other/Unknown Material</w:t>
            </w:r>
          </w:p>
        </w:tc>
        <w:tc>
          <w:tcPr>
            <w:tcW w:w="1317" w:type="dxa"/>
            <w:shd w:val="clear" w:color="auto" w:fill="auto"/>
            <w:noWrap/>
            <w:vAlign w:val="bottom"/>
            <w:hideMark/>
          </w:tcPr>
          <w:p w14:paraId="1C388A4B"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2B</w:t>
            </w:r>
          </w:p>
        </w:tc>
        <w:tc>
          <w:tcPr>
            <w:tcW w:w="5910" w:type="dxa"/>
            <w:shd w:val="clear" w:color="auto" w:fill="auto"/>
            <w:noWrap/>
            <w:vAlign w:val="bottom"/>
            <w:hideMark/>
          </w:tcPr>
          <w:p w14:paraId="401E1E90" w14:textId="0EC1AB31"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Not within 3 metres</w:t>
            </w:r>
            <w:r w:rsidR="00F614A3">
              <w:rPr>
                <w:rFonts w:ascii="Arial" w:eastAsia="Times New Roman" w:hAnsi="Arial" w:cs="Arial"/>
                <w:lang w:eastAsia="en-GB"/>
              </w:rPr>
              <w:t>’</w:t>
            </w:r>
            <w:r w:rsidRPr="00D0159C">
              <w:rPr>
                <w:rFonts w:ascii="Arial" w:eastAsia="Times New Roman" w:hAnsi="Arial" w:cs="Arial"/>
                <w:lang w:eastAsia="en-GB"/>
              </w:rPr>
              <w:t xml:space="preserve"> proximity to spray zone / Not applicable</w:t>
            </w:r>
          </w:p>
        </w:tc>
      </w:tr>
      <w:tr w:rsidR="001A5A43" w:rsidRPr="00D0159C" w14:paraId="136776FB" w14:textId="77777777" w:rsidTr="001A5A43">
        <w:trPr>
          <w:trHeight w:val="255"/>
        </w:trPr>
        <w:tc>
          <w:tcPr>
            <w:tcW w:w="3683" w:type="dxa"/>
            <w:shd w:val="clear" w:color="auto" w:fill="auto"/>
            <w:noWrap/>
            <w:vAlign w:val="bottom"/>
            <w:hideMark/>
          </w:tcPr>
          <w:p w14:paraId="354EF309"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Br08.  Foundations</w:t>
            </w:r>
          </w:p>
        </w:tc>
        <w:tc>
          <w:tcPr>
            <w:tcW w:w="2977" w:type="dxa"/>
            <w:shd w:val="clear" w:color="auto" w:fill="auto"/>
            <w:noWrap/>
            <w:vAlign w:val="bottom"/>
            <w:hideMark/>
          </w:tcPr>
          <w:p w14:paraId="30CE717E"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Foundation material</w:t>
            </w:r>
          </w:p>
        </w:tc>
        <w:tc>
          <w:tcPr>
            <w:tcW w:w="1317" w:type="dxa"/>
            <w:shd w:val="clear" w:color="auto" w:fill="auto"/>
            <w:noWrap/>
            <w:vAlign w:val="bottom"/>
            <w:hideMark/>
          </w:tcPr>
          <w:p w14:paraId="7AE4C4B7"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1A</w:t>
            </w:r>
          </w:p>
        </w:tc>
        <w:tc>
          <w:tcPr>
            <w:tcW w:w="5910" w:type="dxa"/>
            <w:shd w:val="clear" w:color="auto" w:fill="auto"/>
            <w:noWrap/>
            <w:vAlign w:val="bottom"/>
            <w:hideMark/>
          </w:tcPr>
          <w:p w14:paraId="355B876F" w14:textId="36D132BF"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Not within 3 metres</w:t>
            </w:r>
            <w:r w:rsidR="00F614A3">
              <w:rPr>
                <w:rFonts w:ascii="Arial" w:eastAsia="Times New Roman" w:hAnsi="Arial" w:cs="Arial"/>
                <w:lang w:eastAsia="en-GB"/>
              </w:rPr>
              <w:t>’</w:t>
            </w:r>
            <w:r w:rsidRPr="00D0159C">
              <w:rPr>
                <w:rFonts w:ascii="Arial" w:eastAsia="Times New Roman" w:hAnsi="Arial" w:cs="Arial"/>
                <w:lang w:eastAsia="en-GB"/>
              </w:rPr>
              <w:t xml:space="preserve"> proximity to spray zone / Not applicable</w:t>
            </w:r>
          </w:p>
        </w:tc>
      </w:tr>
      <w:tr w:rsidR="001A5A43" w:rsidRPr="00D0159C" w14:paraId="52716094" w14:textId="77777777" w:rsidTr="001A5A43">
        <w:trPr>
          <w:trHeight w:val="255"/>
        </w:trPr>
        <w:tc>
          <w:tcPr>
            <w:tcW w:w="3683" w:type="dxa"/>
            <w:shd w:val="clear" w:color="auto" w:fill="auto"/>
            <w:noWrap/>
            <w:vAlign w:val="bottom"/>
            <w:hideMark/>
          </w:tcPr>
          <w:p w14:paraId="300603A0"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Br09.  Abutments (incl. Arch Springing)</w:t>
            </w:r>
          </w:p>
        </w:tc>
        <w:tc>
          <w:tcPr>
            <w:tcW w:w="2977" w:type="dxa"/>
            <w:shd w:val="clear" w:color="auto" w:fill="auto"/>
            <w:noWrap/>
            <w:vAlign w:val="bottom"/>
            <w:hideMark/>
          </w:tcPr>
          <w:p w14:paraId="71C5ED49"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Precast Reinforced Concrete</w:t>
            </w:r>
          </w:p>
        </w:tc>
        <w:tc>
          <w:tcPr>
            <w:tcW w:w="1317" w:type="dxa"/>
            <w:shd w:val="clear" w:color="auto" w:fill="auto"/>
            <w:noWrap/>
            <w:vAlign w:val="bottom"/>
            <w:hideMark/>
          </w:tcPr>
          <w:p w14:paraId="512CF364"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3D</w:t>
            </w:r>
          </w:p>
        </w:tc>
        <w:tc>
          <w:tcPr>
            <w:tcW w:w="5910" w:type="dxa"/>
            <w:shd w:val="clear" w:color="auto" w:fill="auto"/>
            <w:noWrap/>
            <w:vAlign w:val="bottom"/>
            <w:hideMark/>
          </w:tcPr>
          <w:p w14:paraId="4482367E" w14:textId="129488DB"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Not within 3 metres</w:t>
            </w:r>
            <w:r w:rsidR="00F614A3">
              <w:rPr>
                <w:rFonts w:ascii="Arial" w:eastAsia="Times New Roman" w:hAnsi="Arial" w:cs="Arial"/>
                <w:lang w:eastAsia="en-GB"/>
              </w:rPr>
              <w:t>’</w:t>
            </w:r>
            <w:r w:rsidRPr="00D0159C">
              <w:rPr>
                <w:rFonts w:ascii="Arial" w:eastAsia="Times New Roman" w:hAnsi="Arial" w:cs="Arial"/>
                <w:lang w:eastAsia="en-GB"/>
              </w:rPr>
              <w:t xml:space="preserve"> proximity to spray zone / Not applicable</w:t>
            </w:r>
          </w:p>
        </w:tc>
      </w:tr>
      <w:tr w:rsidR="001A5A43" w:rsidRPr="00D0159C" w14:paraId="5015CC22" w14:textId="77777777" w:rsidTr="001A5A43">
        <w:trPr>
          <w:trHeight w:val="255"/>
        </w:trPr>
        <w:tc>
          <w:tcPr>
            <w:tcW w:w="3683" w:type="dxa"/>
            <w:shd w:val="clear" w:color="auto" w:fill="auto"/>
            <w:noWrap/>
            <w:vAlign w:val="bottom"/>
            <w:hideMark/>
          </w:tcPr>
          <w:p w14:paraId="6B86C686"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Br13.  Bearings</w:t>
            </w:r>
          </w:p>
        </w:tc>
        <w:tc>
          <w:tcPr>
            <w:tcW w:w="2977" w:type="dxa"/>
            <w:shd w:val="clear" w:color="auto" w:fill="auto"/>
            <w:noWrap/>
            <w:vAlign w:val="bottom"/>
            <w:hideMark/>
          </w:tcPr>
          <w:p w14:paraId="2C7AE031"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Pot</w:t>
            </w:r>
          </w:p>
        </w:tc>
        <w:tc>
          <w:tcPr>
            <w:tcW w:w="1317" w:type="dxa"/>
            <w:shd w:val="clear" w:color="auto" w:fill="auto"/>
            <w:noWrap/>
            <w:vAlign w:val="bottom"/>
            <w:hideMark/>
          </w:tcPr>
          <w:p w14:paraId="00F785A8"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2D</w:t>
            </w:r>
          </w:p>
        </w:tc>
        <w:tc>
          <w:tcPr>
            <w:tcW w:w="5910" w:type="dxa"/>
            <w:shd w:val="clear" w:color="auto" w:fill="auto"/>
            <w:noWrap/>
            <w:vAlign w:val="bottom"/>
            <w:hideMark/>
          </w:tcPr>
          <w:p w14:paraId="32CF26F1" w14:textId="6752E743"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Not within 3 metres</w:t>
            </w:r>
            <w:r w:rsidR="00F614A3">
              <w:rPr>
                <w:rFonts w:ascii="Arial" w:eastAsia="Times New Roman" w:hAnsi="Arial" w:cs="Arial"/>
                <w:lang w:eastAsia="en-GB"/>
              </w:rPr>
              <w:t>’</w:t>
            </w:r>
            <w:r w:rsidRPr="00D0159C">
              <w:rPr>
                <w:rFonts w:ascii="Arial" w:eastAsia="Times New Roman" w:hAnsi="Arial" w:cs="Arial"/>
                <w:lang w:eastAsia="en-GB"/>
              </w:rPr>
              <w:t xml:space="preserve"> proximity to spray zone / Not applicable</w:t>
            </w:r>
          </w:p>
        </w:tc>
      </w:tr>
      <w:tr w:rsidR="001A5A43" w:rsidRPr="00D0159C" w14:paraId="7325CAAE" w14:textId="77777777" w:rsidTr="001A5A43">
        <w:trPr>
          <w:trHeight w:val="255"/>
        </w:trPr>
        <w:tc>
          <w:tcPr>
            <w:tcW w:w="3683" w:type="dxa"/>
            <w:shd w:val="clear" w:color="auto" w:fill="auto"/>
            <w:noWrap/>
            <w:vAlign w:val="bottom"/>
            <w:hideMark/>
          </w:tcPr>
          <w:p w14:paraId="1247773D"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Br14.  Bearing Plinth/Shelf</w:t>
            </w:r>
          </w:p>
        </w:tc>
        <w:tc>
          <w:tcPr>
            <w:tcW w:w="2977" w:type="dxa"/>
            <w:shd w:val="clear" w:color="auto" w:fill="auto"/>
            <w:noWrap/>
            <w:vAlign w:val="bottom"/>
            <w:hideMark/>
          </w:tcPr>
          <w:p w14:paraId="5AB60A78"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Precast Reinforced Concrete</w:t>
            </w:r>
          </w:p>
        </w:tc>
        <w:tc>
          <w:tcPr>
            <w:tcW w:w="1317" w:type="dxa"/>
            <w:shd w:val="clear" w:color="auto" w:fill="auto"/>
            <w:noWrap/>
            <w:vAlign w:val="bottom"/>
            <w:hideMark/>
          </w:tcPr>
          <w:p w14:paraId="14BC76FC"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3C</w:t>
            </w:r>
          </w:p>
        </w:tc>
        <w:tc>
          <w:tcPr>
            <w:tcW w:w="5910" w:type="dxa"/>
            <w:shd w:val="clear" w:color="auto" w:fill="auto"/>
            <w:noWrap/>
            <w:vAlign w:val="bottom"/>
            <w:hideMark/>
          </w:tcPr>
          <w:p w14:paraId="1D2D6FC6" w14:textId="727EEDE6"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Not within 3 metres</w:t>
            </w:r>
            <w:r w:rsidR="00F614A3">
              <w:rPr>
                <w:rFonts w:ascii="Arial" w:eastAsia="Times New Roman" w:hAnsi="Arial" w:cs="Arial"/>
                <w:lang w:eastAsia="en-GB"/>
              </w:rPr>
              <w:t>’</w:t>
            </w:r>
            <w:r w:rsidRPr="00D0159C">
              <w:rPr>
                <w:rFonts w:ascii="Arial" w:eastAsia="Times New Roman" w:hAnsi="Arial" w:cs="Arial"/>
                <w:lang w:eastAsia="en-GB"/>
              </w:rPr>
              <w:t xml:space="preserve"> proximity to spray zone / Not applicable</w:t>
            </w:r>
          </w:p>
        </w:tc>
      </w:tr>
      <w:tr w:rsidR="001A5A43" w:rsidRPr="00D0159C" w14:paraId="5AB948E9" w14:textId="77777777" w:rsidTr="001A5A43">
        <w:trPr>
          <w:trHeight w:val="255"/>
        </w:trPr>
        <w:tc>
          <w:tcPr>
            <w:tcW w:w="3683" w:type="dxa"/>
            <w:shd w:val="clear" w:color="auto" w:fill="auto"/>
            <w:noWrap/>
            <w:vAlign w:val="bottom"/>
            <w:hideMark/>
          </w:tcPr>
          <w:p w14:paraId="219E3912"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Br15.  Superstructure Drainage</w:t>
            </w:r>
          </w:p>
        </w:tc>
        <w:tc>
          <w:tcPr>
            <w:tcW w:w="2977" w:type="dxa"/>
            <w:shd w:val="clear" w:color="auto" w:fill="auto"/>
            <w:noWrap/>
            <w:vAlign w:val="bottom"/>
            <w:hideMark/>
          </w:tcPr>
          <w:p w14:paraId="4E0034F1"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Other/Unknown Drainage System</w:t>
            </w:r>
          </w:p>
        </w:tc>
        <w:tc>
          <w:tcPr>
            <w:tcW w:w="1317" w:type="dxa"/>
            <w:shd w:val="clear" w:color="auto" w:fill="auto"/>
            <w:noWrap/>
            <w:vAlign w:val="bottom"/>
            <w:hideMark/>
          </w:tcPr>
          <w:p w14:paraId="78FBCD60"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1A</w:t>
            </w:r>
          </w:p>
        </w:tc>
        <w:tc>
          <w:tcPr>
            <w:tcW w:w="5910" w:type="dxa"/>
            <w:shd w:val="clear" w:color="auto" w:fill="auto"/>
            <w:noWrap/>
            <w:vAlign w:val="bottom"/>
            <w:hideMark/>
          </w:tcPr>
          <w:p w14:paraId="6F02D52E" w14:textId="19A47813"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Within 3 metres</w:t>
            </w:r>
            <w:r w:rsidR="00F614A3">
              <w:rPr>
                <w:rFonts w:ascii="Arial" w:eastAsia="Times New Roman" w:hAnsi="Arial" w:cs="Arial"/>
                <w:lang w:eastAsia="en-GB"/>
              </w:rPr>
              <w:t>’</w:t>
            </w:r>
            <w:r w:rsidRPr="00D0159C">
              <w:rPr>
                <w:rFonts w:ascii="Arial" w:eastAsia="Times New Roman" w:hAnsi="Arial" w:cs="Arial"/>
                <w:lang w:eastAsia="en-GB"/>
              </w:rPr>
              <w:t xml:space="preserve"> proximity to spray zone</w:t>
            </w:r>
          </w:p>
        </w:tc>
      </w:tr>
      <w:tr w:rsidR="001A5A43" w:rsidRPr="00D0159C" w14:paraId="1C40C48E" w14:textId="77777777" w:rsidTr="001A5A43">
        <w:trPr>
          <w:trHeight w:val="255"/>
        </w:trPr>
        <w:tc>
          <w:tcPr>
            <w:tcW w:w="3683" w:type="dxa"/>
            <w:shd w:val="clear" w:color="auto" w:fill="auto"/>
            <w:noWrap/>
            <w:vAlign w:val="bottom"/>
            <w:hideMark/>
          </w:tcPr>
          <w:p w14:paraId="647B5B2B"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Br16.  Substructure Drainage</w:t>
            </w:r>
          </w:p>
        </w:tc>
        <w:tc>
          <w:tcPr>
            <w:tcW w:w="2977" w:type="dxa"/>
            <w:shd w:val="clear" w:color="auto" w:fill="auto"/>
            <w:noWrap/>
            <w:vAlign w:val="bottom"/>
            <w:hideMark/>
          </w:tcPr>
          <w:p w14:paraId="6B657FB2"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Concrete Pipe</w:t>
            </w:r>
          </w:p>
        </w:tc>
        <w:tc>
          <w:tcPr>
            <w:tcW w:w="1317" w:type="dxa"/>
            <w:shd w:val="clear" w:color="auto" w:fill="auto"/>
            <w:noWrap/>
            <w:vAlign w:val="bottom"/>
            <w:hideMark/>
          </w:tcPr>
          <w:p w14:paraId="2FE0D244"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4B</w:t>
            </w:r>
          </w:p>
        </w:tc>
        <w:tc>
          <w:tcPr>
            <w:tcW w:w="5910" w:type="dxa"/>
            <w:shd w:val="clear" w:color="auto" w:fill="auto"/>
            <w:noWrap/>
            <w:vAlign w:val="bottom"/>
            <w:hideMark/>
          </w:tcPr>
          <w:p w14:paraId="5EEF4541" w14:textId="559F38C2"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Not within 3 metres</w:t>
            </w:r>
            <w:r w:rsidR="00F614A3">
              <w:rPr>
                <w:rFonts w:ascii="Arial" w:eastAsia="Times New Roman" w:hAnsi="Arial" w:cs="Arial"/>
                <w:lang w:eastAsia="en-GB"/>
              </w:rPr>
              <w:t>’</w:t>
            </w:r>
            <w:r w:rsidRPr="00D0159C">
              <w:rPr>
                <w:rFonts w:ascii="Arial" w:eastAsia="Times New Roman" w:hAnsi="Arial" w:cs="Arial"/>
                <w:lang w:eastAsia="en-GB"/>
              </w:rPr>
              <w:t xml:space="preserve"> proximity to spray zone / Not applicable</w:t>
            </w:r>
          </w:p>
        </w:tc>
      </w:tr>
      <w:tr w:rsidR="001A5A43" w:rsidRPr="00D0159C" w14:paraId="61301916" w14:textId="77777777" w:rsidTr="001A5A43">
        <w:trPr>
          <w:trHeight w:val="255"/>
        </w:trPr>
        <w:tc>
          <w:tcPr>
            <w:tcW w:w="3683" w:type="dxa"/>
            <w:shd w:val="clear" w:color="auto" w:fill="auto"/>
            <w:noWrap/>
            <w:vAlign w:val="bottom"/>
            <w:hideMark/>
          </w:tcPr>
          <w:p w14:paraId="0370A1E8"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Br17.  Waterproofing</w:t>
            </w:r>
          </w:p>
        </w:tc>
        <w:tc>
          <w:tcPr>
            <w:tcW w:w="2977" w:type="dxa"/>
            <w:shd w:val="clear" w:color="auto" w:fill="auto"/>
            <w:noWrap/>
            <w:vAlign w:val="bottom"/>
            <w:hideMark/>
          </w:tcPr>
          <w:p w14:paraId="12FFFCC7"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Other/Unknown Waterproofing</w:t>
            </w:r>
          </w:p>
        </w:tc>
        <w:tc>
          <w:tcPr>
            <w:tcW w:w="1317" w:type="dxa"/>
            <w:shd w:val="clear" w:color="auto" w:fill="auto"/>
            <w:noWrap/>
            <w:vAlign w:val="bottom"/>
            <w:hideMark/>
          </w:tcPr>
          <w:p w14:paraId="01911A51"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1A</w:t>
            </w:r>
          </w:p>
        </w:tc>
        <w:tc>
          <w:tcPr>
            <w:tcW w:w="5910" w:type="dxa"/>
            <w:shd w:val="clear" w:color="auto" w:fill="auto"/>
            <w:noWrap/>
            <w:vAlign w:val="bottom"/>
            <w:hideMark/>
          </w:tcPr>
          <w:p w14:paraId="36AB357F" w14:textId="58514BBB"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Within 3 metres</w:t>
            </w:r>
            <w:r w:rsidR="00F614A3">
              <w:rPr>
                <w:rFonts w:ascii="Arial" w:eastAsia="Times New Roman" w:hAnsi="Arial" w:cs="Arial"/>
                <w:lang w:eastAsia="en-GB"/>
              </w:rPr>
              <w:t>’</w:t>
            </w:r>
            <w:r w:rsidRPr="00D0159C">
              <w:rPr>
                <w:rFonts w:ascii="Arial" w:eastAsia="Times New Roman" w:hAnsi="Arial" w:cs="Arial"/>
                <w:lang w:eastAsia="en-GB"/>
              </w:rPr>
              <w:t xml:space="preserve"> proximity to spray zone</w:t>
            </w:r>
          </w:p>
        </w:tc>
      </w:tr>
      <w:tr w:rsidR="001A5A43" w:rsidRPr="00D0159C" w14:paraId="0FFFDFB3" w14:textId="77777777" w:rsidTr="001A5A43">
        <w:trPr>
          <w:trHeight w:val="255"/>
        </w:trPr>
        <w:tc>
          <w:tcPr>
            <w:tcW w:w="3683" w:type="dxa"/>
            <w:shd w:val="clear" w:color="auto" w:fill="auto"/>
            <w:noWrap/>
            <w:vAlign w:val="bottom"/>
            <w:hideMark/>
          </w:tcPr>
          <w:p w14:paraId="183B28FE"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Br18.  Expansion Joints</w:t>
            </w:r>
          </w:p>
        </w:tc>
        <w:tc>
          <w:tcPr>
            <w:tcW w:w="2977" w:type="dxa"/>
            <w:shd w:val="clear" w:color="auto" w:fill="auto"/>
            <w:noWrap/>
            <w:vAlign w:val="bottom"/>
            <w:hideMark/>
          </w:tcPr>
          <w:p w14:paraId="30A0551E"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Asphaltic Plug Joint</w:t>
            </w:r>
          </w:p>
        </w:tc>
        <w:tc>
          <w:tcPr>
            <w:tcW w:w="1317" w:type="dxa"/>
            <w:shd w:val="clear" w:color="auto" w:fill="auto"/>
            <w:noWrap/>
            <w:vAlign w:val="bottom"/>
            <w:hideMark/>
          </w:tcPr>
          <w:p w14:paraId="15E504FF" w14:textId="77777777" w:rsidR="001A5A43"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3E</w:t>
            </w:r>
          </w:p>
          <w:p w14:paraId="4EF02F19" w14:textId="77777777" w:rsidR="009C5C56" w:rsidRDefault="009C5C56" w:rsidP="009C5C56">
            <w:pPr>
              <w:rPr>
                <w:rFonts w:ascii="Arial" w:eastAsia="Times New Roman" w:hAnsi="Arial" w:cs="Arial"/>
                <w:lang w:eastAsia="en-GB"/>
              </w:rPr>
            </w:pPr>
          </w:p>
          <w:p w14:paraId="11EE2642" w14:textId="0DFD714C" w:rsidR="009C5C56" w:rsidRPr="009C5C56" w:rsidRDefault="009C5C56" w:rsidP="009C5C56">
            <w:pPr>
              <w:rPr>
                <w:rFonts w:ascii="Arial" w:eastAsia="Times New Roman" w:hAnsi="Arial" w:cs="Arial"/>
                <w:lang w:eastAsia="en-GB"/>
              </w:rPr>
            </w:pPr>
          </w:p>
        </w:tc>
        <w:tc>
          <w:tcPr>
            <w:tcW w:w="5910" w:type="dxa"/>
            <w:shd w:val="clear" w:color="auto" w:fill="auto"/>
            <w:noWrap/>
            <w:vAlign w:val="bottom"/>
            <w:hideMark/>
          </w:tcPr>
          <w:p w14:paraId="783E7AF4" w14:textId="41D33C4B"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Within 3 metres</w:t>
            </w:r>
            <w:r w:rsidR="00F614A3">
              <w:rPr>
                <w:rFonts w:ascii="Arial" w:eastAsia="Times New Roman" w:hAnsi="Arial" w:cs="Arial"/>
                <w:lang w:eastAsia="en-GB"/>
              </w:rPr>
              <w:t>’</w:t>
            </w:r>
            <w:r w:rsidRPr="00D0159C">
              <w:rPr>
                <w:rFonts w:ascii="Arial" w:eastAsia="Times New Roman" w:hAnsi="Arial" w:cs="Arial"/>
                <w:lang w:eastAsia="en-GB"/>
              </w:rPr>
              <w:t xml:space="preserve"> proximity to spray zone</w:t>
            </w:r>
          </w:p>
        </w:tc>
      </w:tr>
      <w:tr w:rsidR="001A5A43" w:rsidRPr="00D0159C" w14:paraId="4F70D282" w14:textId="77777777" w:rsidTr="001A5A43">
        <w:trPr>
          <w:trHeight w:val="255"/>
        </w:trPr>
        <w:tc>
          <w:tcPr>
            <w:tcW w:w="3683" w:type="dxa"/>
            <w:shd w:val="clear" w:color="auto" w:fill="auto"/>
            <w:noWrap/>
            <w:vAlign w:val="bottom"/>
            <w:hideMark/>
          </w:tcPr>
          <w:p w14:paraId="0B2EAB32"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Br22.  Access/Walkways/Gantries</w:t>
            </w:r>
          </w:p>
        </w:tc>
        <w:tc>
          <w:tcPr>
            <w:tcW w:w="2977" w:type="dxa"/>
            <w:shd w:val="clear" w:color="auto" w:fill="auto"/>
            <w:noWrap/>
            <w:vAlign w:val="bottom"/>
            <w:hideMark/>
          </w:tcPr>
          <w:p w14:paraId="186A63C0"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Fabricated Steel, Rolled Steel, Steel, or Steel Plate</w:t>
            </w:r>
          </w:p>
        </w:tc>
        <w:tc>
          <w:tcPr>
            <w:tcW w:w="1317" w:type="dxa"/>
            <w:shd w:val="clear" w:color="auto" w:fill="auto"/>
            <w:noWrap/>
            <w:vAlign w:val="bottom"/>
            <w:hideMark/>
          </w:tcPr>
          <w:p w14:paraId="44817446"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1A</w:t>
            </w:r>
          </w:p>
        </w:tc>
        <w:tc>
          <w:tcPr>
            <w:tcW w:w="5910" w:type="dxa"/>
            <w:shd w:val="clear" w:color="auto" w:fill="auto"/>
            <w:noWrap/>
            <w:vAlign w:val="bottom"/>
            <w:hideMark/>
          </w:tcPr>
          <w:p w14:paraId="35566BC2" w14:textId="5FBCF0A5"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Not within 3 metres</w:t>
            </w:r>
            <w:r w:rsidR="00F614A3">
              <w:rPr>
                <w:rFonts w:ascii="Arial" w:eastAsia="Times New Roman" w:hAnsi="Arial" w:cs="Arial"/>
                <w:lang w:eastAsia="en-GB"/>
              </w:rPr>
              <w:t>’</w:t>
            </w:r>
            <w:r w:rsidRPr="00D0159C">
              <w:rPr>
                <w:rFonts w:ascii="Arial" w:eastAsia="Times New Roman" w:hAnsi="Arial" w:cs="Arial"/>
                <w:lang w:eastAsia="en-GB"/>
              </w:rPr>
              <w:t xml:space="preserve"> proximity to spray zone / Not applicable</w:t>
            </w:r>
          </w:p>
        </w:tc>
      </w:tr>
      <w:tr w:rsidR="001A5A43" w:rsidRPr="00D0159C" w14:paraId="744FB2AA" w14:textId="77777777" w:rsidTr="001A5A43">
        <w:trPr>
          <w:trHeight w:val="255"/>
        </w:trPr>
        <w:tc>
          <w:tcPr>
            <w:tcW w:w="3683" w:type="dxa"/>
            <w:shd w:val="clear" w:color="auto" w:fill="auto"/>
            <w:noWrap/>
            <w:vAlign w:val="bottom"/>
            <w:hideMark/>
          </w:tcPr>
          <w:p w14:paraId="1E998FA6"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Br23.  Handrail/Parapets/Safety Fences</w:t>
            </w:r>
          </w:p>
        </w:tc>
        <w:tc>
          <w:tcPr>
            <w:tcW w:w="2977" w:type="dxa"/>
            <w:shd w:val="clear" w:color="auto" w:fill="auto"/>
            <w:noWrap/>
            <w:vAlign w:val="bottom"/>
            <w:hideMark/>
          </w:tcPr>
          <w:p w14:paraId="0428A641"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Concrete</w:t>
            </w:r>
          </w:p>
        </w:tc>
        <w:tc>
          <w:tcPr>
            <w:tcW w:w="1317" w:type="dxa"/>
            <w:shd w:val="clear" w:color="auto" w:fill="auto"/>
            <w:noWrap/>
            <w:vAlign w:val="bottom"/>
            <w:hideMark/>
          </w:tcPr>
          <w:p w14:paraId="267EC203"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2B</w:t>
            </w:r>
          </w:p>
        </w:tc>
        <w:tc>
          <w:tcPr>
            <w:tcW w:w="5910" w:type="dxa"/>
            <w:shd w:val="clear" w:color="auto" w:fill="auto"/>
            <w:noWrap/>
            <w:vAlign w:val="bottom"/>
            <w:hideMark/>
          </w:tcPr>
          <w:p w14:paraId="67E5C1FB" w14:textId="6E68DD41"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Within 3 metres</w:t>
            </w:r>
            <w:r w:rsidR="00F614A3">
              <w:rPr>
                <w:rFonts w:ascii="Arial" w:eastAsia="Times New Roman" w:hAnsi="Arial" w:cs="Arial"/>
                <w:lang w:eastAsia="en-GB"/>
              </w:rPr>
              <w:t>’</w:t>
            </w:r>
            <w:r w:rsidRPr="00D0159C">
              <w:rPr>
                <w:rFonts w:ascii="Arial" w:eastAsia="Times New Roman" w:hAnsi="Arial" w:cs="Arial"/>
                <w:lang w:eastAsia="en-GB"/>
              </w:rPr>
              <w:t xml:space="preserve"> proximity to spray zone</w:t>
            </w:r>
          </w:p>
        </w:tc>
      </w:tr>
      <w:tr w:rsidR="001A5A43" w:rsidRPr="00D0159C" w14:paraId="2096B45B" w14:textId="77777777" w:rsidTr="001A5A43">
        <w:trPr>
          <w:trHeight w:val="255"/>
        </w:trPr>
        <w:tc>
          <w:tcPr>
            <w:tcW w:w="3683" w:type="dxa"/>
            <w:shd w:val="clear" w:color="auto" w:fill="auto"/>
            <w:noWrap/>
            <w:vAlign w:val="bottom"/>
            <w:hideMark/>
          </w:tcPr>
          <w:p w14:paraId="5540D285"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Br24.  Carriageway surfacing</w:t>
            </w:r>
          </w:p>
        </w:tc>
        <w:tc>
          <w:tcPr>
            <w:tcW w:w="2977" w:type="dxa"/>
            <w:shd w:val="clear" w:color="auto" w:fill="auto"/>
            <w:noWrap/>
            <w:vAlign w:val="bottom"/>
            <w:hideMark/>
          </w:tcPr>
          <w:p w14:paraId="32D91168"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Carriageway surfacing</w:t>
            </w:r>
          </w:p>
        </w:tc>
        <w:tc>
          <w:tcPr>
            <w:tcW w:w="1317" w:type="dxa"/>
            <w:shd w:val="clear" w:color="auto" w:fill="auto"/>
            <w:noWrap/>
            <w:vAlign w:val="bottom"/>
            <w:hideMark/>
          </w:tcPr>
          <w:p w14:paraId="4C7D9B7F"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1A</w:t>
            </w:r>
          </w:p>
        </w:tc>
        <w:tc>
          <w:tcPr>
            <w:tcW w:w="5910" w:type="dxa"/>
            <w:shd w:val="clear" w:color="auto" w:fill="auto"/>
            <w:noWrap/>
            <w:vAlign w:val="bottom"/>
            <w:hideMark/>
          </w:tcPr>
          <w:p w14:paraId="09C33361" w14:textId="47FCF55B"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Within 3 metres</w:t>
            </w:r>
            <w:r w:rsidR="00F614A3">
              <w:rPr>
                <w:rFonts w:ascii="Arial" w:eastAsia="Times New Roman" w:hAnsi="Arial" w:cs="Arial"/>
                <w:lang w:eastAsia="en-GB"/>
              </w:rPr>
              <w:t>’</w:t>
            </w:r>
            <w:r w:rsidRPr="00D0159C">
              <w:rPr>
                <w:rFonts w:ascii="Arial" w:eastAsia="Times New Roman" w:hAnsi="Arial" w:cs="Arial"/>
                <w:lang w:eastAsia="en-GB"/>
              </w:rPr>
              <w:t xml:space="preserve"> proximity to spray zone</w:t>
            </w:r>
          </w:p>
        </w:tc>
      </w:tr>
      <w:tr w:rsidR="001A5A43" w:rsidRPr="00D0159C" w14:paraId="1F18B37B" w14:textId="77777777" w:rsidTr="001A5A43">
        <w:trPr>
          <w:trHeight w:val="255"/>
        </w:trPr>
        <w:tc>
          <w:tcPr>
            <w:tcW w:w="3683" w:type="dxa"/>
            <w:shd w:val="clear" w:color="auto" w:fill="auto"/>
            <w:noWrap/>
            <w:vAlign w:val="bottom"/>
            <w:hideMark/>
          </w:tcPr>
          <w:p w14:paraId="01BECC9D"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Br25.  Footway/verge/footbridge surfacing</w:t>
            </w:r>
          </w:p>
        </w:tc>
        <w:tc>
          <w:tcPr>
            <w:tcW w:w="2977" w:type="dxa"/>
            <w:shd w:val="clear" w:color="auto" w:fill="auto"/>
            <w:noWrap/>
            <w:vAlign w:val="bottom"/>
            <w:hideMark/>
          </w:tcPr>
          <w:p w14:paraId="0FBC4176"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Footway surfacing</w:t>
            </w:r>
          </w:p>
        </w:tc>
        <w:tc>
          <w:tcPr>
            <w:tcW w:w="1317" w:type="dxa"/>
            <w:shd w:val="clear" w:color="auto" w:fill="auto"/>
            <w:noWrap/>
            <w:vAlign w:val="bottom"/>
            <w:hideMark/>
          </w:tcPr>
          <w:p w14:paraId="4427F59B"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2C</w:t>
            </w:r>
          </w:p>
        </w:tc>
        <w:tc>
          <w:tcPr>
            <w:tcW w:w="5910" w:type="dxa"/>
            <w:shd w:val="clear" w:color="auto" w:fill="auto"/>
            <w:noWrap/>
            <w:vAlign w:val="bottom"/>
            <w:hideMark/>
          </w:tcPr>
          <w:p w14:paraId="4C060C75" w14:textId="4E5D8FE1"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Within 3 metres</w:t>
            </w:r>
            <w:r w:rsidR="00F614A3">
              <w:rPr>
                <w:rFonts w:ascii="Arial" w:eastAsia="Times New Roman" w:hAnsi="Arial" w:cs="Arial"/>
                <w:lang w:eastAsia="en-GB"/>
              </w:rPr>
              <w:t>’</w:t>
            </w:r>
            <w:r w:rsidRPr="00D0159C">
              <w:rPr>
                <w:rFonts w:ascii="Arial" w:eastAsia="Times New Roman" w:hAnsi="Arial" w:cs="Arial"/>
                <w:lang w:eastAsia="en-GB"/>
              </w:rPr>
              <w:t xml:space="preserve"> proximity to spray zone</w:t>
            </w:r>
          </w:p>
        </w:tc>
      </w:tr>
      <w:tr w:rsidR="001A5A43" w:rsidRPr="00D0159C" w14:paraId="49D6E0A5" w14:textId="77777777" w:rsidTr="001A5A43">
        <w:trPr>
          <w:trHeight w:val="255"/>
        </w:trPr>
        <w:tc>
          <w:tcPr>
            <w:tcW w:w="3683" w:type="dxa"/>
            <w:shd w:val="clear" w:color="auto" w:fill="auto"/>
            <w:noWrap/>
            <w:vAlign w:val="bottom"/>
            <w:hideMark/>
          </w:tcPr>
          <w:p w14:paraId="6AAC45EA"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Br32.  Retaining Walls</w:t>
            </w:r>
          </w:p>
        </w:tc>
        <w:tc>
          <w:tcPr>
            <w:tcW w:w="2977" w:type="dxa"/>
            <w:shd w:val="clear" w:color="auto" w:fill="auto"/>
            <w:noWrap/>
            <w:vAlign w:val="bottom"/>
            <w:hideMark/>
          </w:tcPr>
          <w:p w14:paraId="6E032009" w14:textId="3517CA4F"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In</w:t>
            </w:r>
            <w:r w:rsidR="004F402B">
              <w:rPr>
                <w:rFonts w:ascii="Arial" w:eastAsia="Times New Roman" w:hAnsi="Arial" w:cs="Arial"/>
                <w:lang w:eastAsia="en-GB"/>
              </w:rPr>
              <w:t>-</w:t>
            </w:r>
            <w:r w:rsidRPr="00D0159C">
              <w:rPr>
                <w:rFonts w:ascii="Arial" w:eastAsia="Times New Roman" w:hAnsi="Arial" w:cs="Arial"/>
                <w:lang w:eastAsia="en-GB"/>
              </w:rPr>
              <w:t>situ Reinforced Concrete</w:t>
            </w:r>
          </w:p>
        </w:tc>
        <w:tc>
          <w:tcPr>
            <w:tcW w:w="1317" w:type="dxa"/>
            <w:shd w:val="clear" w:color="auto" w:fill="auto"/>
            <w:noWrap/>
            <w:vAlign w:val="bottom"/>
            <w:hideMark/>
          </w:tcPr>
          <w:p w14:paraId="08F0E70B" w14:textId="77777777"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2B</w:t>
            </w:r>
          </w:p>
        </w:tc>
        <w:tc>
          <w:tcPr>
            <w:tcW w:w="5910" w:type="dxa"/>
            <w:shd w:val="clear" w:color="auto" w:fill="auto"/>
            <w:noWrap/>
            <w:vAlign w:val="bottom"/>
            <w:hideMark/>
          </w:tcPr>
          <w:p w14:paraId="1CDC4885" w14:textId="7665932F" w:rsidR="001A5A43" w:rsidRPr="00D0159C" w:rsidRDefault="001A5A43" w:rsidP="00D0159C">
            <w:pPr>
              <w:spacing w:after="0" w:line="240" w:lineRule="auto"/>
              <w:rPr>
                <w:rFonts w:ascii="Arial" w:eastAsia="Times New Roman" w:hAnsi="Arial" w:cs="Arial"/>
                <w:lang w:eastAsia="en-GB"/>
              </w:rPr>
            </w:pPr>
            <w:r w:rsidRPr="00D0159C">
              <w:rPr>
                <w:rFonts w:ascii="Arial" w:eastAsia="Times New Roman" w:hAnsi="Arial" w:cs="Arial"/>
                <w:lang w:eastAsia="en-GB"/>
              </w:rPr>
              <w:t>Not within 3 metres</w:t>
            </w:r>
            <w:r w:rsidR="00F614A3">
              <w:rPr>
                <w:rFonts w:ascii="Arial" w:eastAsia="Times New Roman" w:hAnsi="Arial" w:cs="Arial"/>
                <w:lang w:eastAsia="en-GB"/>
              </w:rPr>
              <w:t>’</w:t>
            </w:r>
            <w:r w:rsidRPr="00D0159C">
              <w:rPr>
                <w:rFonts w:ascii="Arial" w:eastAsia="Times New Roman" w:hAnsi="Arial" w:cs="Arial"/>
                <w:lang w:eastAsia="en-GB"/>
              </w:rPr>
              <w:t xml:space="preserve"> proximity to spray zone / Not applicable</w:t>
            </w:r>
          </w:p>
        </w:tc>
      </w:tr>
    </w:tbl>
    <w:p w14:paraId="25599330" w14:textId="0C5DA3E9" w:rsidR="00381A8B" w:rsidRDefault="00381A8B" w:rsidP="00381A8B">
      <w:pPr>
        <w:rPr>
          <w:rFonts w:ascii="Arial" w:hAnsi="Arial" w:cs="Arial"/>
        </w:rPr>
      </w:pPr>
      <w:r>
        <w:rPr>
          <w:rFonts w:ascii="Arial" w:hAnsi="Arial" w:cs="Arial"/>
        </w:rPr>
        <w:t xml:space="preserve">(Note: </w:t>
      </w:r>
      <w:r w:rsidRPr="001C78E1">
        <w:rPr>
          <w:rFonts w:ascii="Arial" w:hAnsi="Arial" w:cs="Arial"/>
        </w:rPr>
        <w:t xml:space="preserve">The condition </w:t>
      </w:r>
      <w:r>
        <w:rPr>
          <w:rFonts w:ascii="Arial" w:hAnsi="Arial" w:cs="Arial"/>
        </w:rPr>
        <w:t xml:space="preserve">scores </w:t>
      </w:r>
      <w:r w:rsidRPr="001C78E1">
        <w:rPr>
          <w:rFonts w:ascii="Arial" w:hAnsi="Arial" w:cs="Arial"/>
        </w:rPr>
        <w:t xml:space="preserve">data obtained in this section has been taken from </w:t>
      </w:r>
      <w:r w:rsidR="002B40C1">
        <w:rPr>
          <w:rFonts w:ascii="Arial" w:hAnsi="Arial" w:cs="Arial"/>
        </w:rPr>
        <w:t>the last Principal Inspection</w:t>
      </w:r>
      <w:r>
        <w:rPr>
          <w:rFonts w:ascii="Arial" w:hAnsi="Arial" w:cs="Arial"/>
        </w:rPr>
        <w:t xml:space="preserve">) </w:t>
      </w:r>
    </w:p>
    <w:p w14:paraId="5B52EEB2" w14:textId="31CC7A38" w:rsidR="00D0159C" w:rsidRDefault="006460A6" w:rsidP="007E69C5">
      <w:pPr>
        <w:pStyle w:val="Caption"/>
        <w:jc w:val="center"/>
        <w:rPr>
          <w:rFonts w:ascii="Arial" w:hAnsi="Arial" w:cs="Arial"/>
          <w:sz w:val="22"/>
          <w:szCs w:val="22"/>
        </w:rPr>
      </w:pPr>
      <w:bookmarkStart w:id="100" w:name="_Toc66868988"/>
      <w:r w:rsidRPr="006460A6">
        <w:rPr>
          <w:rFonts w:ascii="Arial" w:hAnsi="Arial" w:cs="Arial"/>
          <w:sz w:val="22"/>
          <w:szCs w:val="22"/>
        </w:rPr>
        <w:t xml:space="preserve">Table </w:t>
      </w:r>
      <w:r w:rsidRPr="006460A6">
        <w:rPr>
          <w:rFonts w:ascii="Arial" w:hAnsi="Arial" w:cs="Arial"/>
          <w:sz w:val="22"/>
          <w:szCs w:val="22"/>
        </w:rPr>
        <w:fldChar w:fldCharType="begin"/>
      </w:r>
      <w:r w:rsidRPr="006460A6">
        <w:rPr>
          <w:rFonts w:ascii="Arial" w:hAnsi="Arial" w:cs="Arial"/>
          <w:sz w:val="22"/>
          <w:szCs w:val="22"/>
        </w:rPr>
        <w:instrText xml:space="preserve"> SEQ Table \* ARABIC </w:instrText>
      </w:r>
      <w:r w:rsidRPr="006460A6">
        <w:rPr>
          <w:rFonts w:ascii="Arial" w:hAnsi="Arial" w:cs="Arial"/>
          <w:sz w:val="22"/>
          <w:szCs w:val="22"/>
        </w:rPr>
        <w:fldChar w:fldCharType="separate"/>
      </w:r>
      <w:r w:rsidR="00B97B5D">
        <w:rPr>
          <w:rFonts w:ascii="Arial" w:hAnsi="Arial" w:cs="Arial"/>
          <w:noProof/>
          <w:sz w:val="22"/>
          <w:szCs w:val="22"/>
        </w:rPr>
        <w:t>4</w:t>
      </w:r>
      <w:r w:rsidRPr="006460A6">
        <w:rPr>
          <w:rFonts w:ascii="Arial" w:hAnsi="Arial" w:cs="Arial"/>
          <w:sz w:val="22"/>
          <w:szCs w:val="22"/>
        </w:rPr>
        <w:fldChar w:fldCharType="end"/>
      </w:r>
      <w:r w:rsidRPr="006460A6">
        <w:rPr>
          <w:rFonts w:ascii="Arial" w:hAnsi="Arial" w:cs="Arial"/>
          <w:sz w:val="22"/>
          <w:szCs w:val="22"/>
        </w:rPr>
        <w:t xml:space="preserve"> </w:t>
      </w:r>
      <w:r w:rsidR="00F614A3">
        <w:rPr>
          <w:rFonts w:ascii="Arial" w:hAnsi="Arial" w:cs="Arial"/>
          <w:sz w:val="22"/>
          <w:szCs w:val="22"/>
        </w:rPr>
        <w:t>–</w:t>
      </w:r>
      <w:r w:rsidRPr="006460A6">
        <w:rPr>
          <w:rFonts w:ascii="Arial" w:hAnsi="Arial" w:cs="Arial"/>
          <w:sz w:val="22"/>
          <w:szCs w:val="22"/>
        </w:rPr>
        <w:t xml:space="preserve"> Element Condition and Proximity to Traffic Spray Zone</w:t>
      </w:r>
      <w:bookmarkEnd w:id="100"/>
    </w:p>
    <w:p w14:paraId="17220FE0" w14:textId="3ECA9CCC" w:rsidR="00B56203" w:rsidRDefault="00B56203" w:rsidP="00B56203"/>
    <w:p w14:paraId="7DEE1E3D" w14:textId="0BF94F91" w:rsidR="00B56203" w:rsidRDefault="00B56203" w:rsidP="00B56203"/>
    <w:p w14:paraId="766E2186" w14:textId="77777777" w:rsidR="00B56203" w:rsidRPr="007E69C5" w:rsidRDefault="00B56203" w:rsidP="007E69C5"/>
    <w:p w14:paraId="4EBE9F4A" w14:textId="4B2AC3A0" w:rsidR="0049166E" w:rsidRDefault="0049166E" w:rsidP="0049166E"/>
    <w:p w14:paraId="4A7726B1" w14:textId="77777777" w:rsidR="00EF7E73" w:rsidRDefault="00EF7E73" w:rsidP="0049166E"/>
    <w:p w14:paraId="6386720B" w14:textId="77777777" w:rsidR="006319F2" w:rsidRDefault="006319F2" w:rsidP="0049166E"/>
    <w:p w14:paraId="2F8B9D43" w14:textId="581431F6" w:rsidR="0049166E" w:rsidRPr="0049166E" w:rsidRDefault="00FB5FE6" w:rsidP="0049166E">
      <w:r w:rsidRPr="00FB5FE6">
        <w:rPr>
          <w:noProof/>
        </w:rPr>
        <w:t xml:space="preserve"> </w:t>
      </w:r>
    </w:p>
    <w:p w14:paraId="11081E34" w14:textId="179BFBE8" w:rsidR="00D0159C" w:rsidRPr="00D0159C" w:rsidRDefault="00D0159C" w:rsidP="00D0159C">
      <w:pPr>
        <w:tabs>
          <w:tab w:val="left" w:pos="677"/>
        </w:tabs>
        <w:rPr>
          <w:rFonts w:ascii="Arial" w:hAnsi="Arial" w:cs="Arial"/>
        </w:rPr>
        <w:sectPr w:rsidR="00D0159C" w:rsidRPr="00D0159C" w:rsidSect="009C5C56">
          <w:pgSz w:w="16838" w:h="11906" w:orient="landscape"/>
          <w:pgMar w:top="1440" w:right="1440" w:bottom="1440" w:left="1440" w:header="708" w:footer="708" w:gutter="0"/>
          <w:cols w:space="708"/>
          <w:titlePg/>
          <w:docGrid w:linePitch="360"/>
        </w:sectPr>
      </w:pPr>
      <w:r>
        <w:rPr>
          <w:rFonts w:ascii="Arial" w:hAnsi="Arial" w:cs="Arial"/>
        </w:rPr>
        <w:tab/>
      </w:r>
    </w:p>
    <w:tbl>
      <w:tblPr>
        <w:tblStyle w:val="TableGrid"/>
        <w:tblW w:w="0" w:type="auto"/>
        <w:jc w:val="center"/>
        <w:tblInd w:w="0" w:type="dxa"/>
        <w:tblLook w:val="04A0" w:firstRow="1" w:lastRow="0" w:firstColumn="1" w:lastColumn="0" w:noHBand="0" w:noVBand="1"/>
      </w:tblPr>
      <w:tblGrid>
        <w:gridCol w:w="1129"/>
        <w:gridCol w:w="5812"/>
      </w:tblGrid>
      <w:tr w:rsidR="00B56203" w14:paraId="39C3A45B" w14:textId="77777777" w:rsidTr="007E69C5">
        <w:trPr>
          <w:jc w:val="center"/>
        </w:trPr>
        <w:tc>
          <w:tcPr>
            <w:tcW w:w="6941" w:type="dxa"/>
            <w:gridSpan w:val="2"/>
            <w:shd w:val="clear" w:color="auto" w:fill="000099"/>
          </w:tcPr>
          <w:p w14:paraId="13A4F124" w14:textId="77777777" w:rsidR="00B56203" w:rsidRPr="006319F2" w:rsidRDefault="00B56203" w:rsidP="00100A5B">
            <w:pPr>
              <w:jc w:val="center"/>
              <w:rPr>
                <w:rFonts w:ascii="Arial" w:hAnsi="Arial" w:cs="Arial"/>
                <w:b/>
                <w:bCs/>
              </w:rPr>
            </w:pPr>
            <w:r w:rsidRPr="006319F2">
              <w:rPr>
                <w:rFonts w:ascii="Arial" w:hAnsi="Arial" w:cs="Arial"/>
                <w:b/>
                <w:bCs/>
              </w:rPr>
              <w:t>Extent Codes (Highways Agency, 2007)</w:t>
            </w:r>
          </w:p>
        </w:tc>
      </w:tr>
      <w:tr w:rsidR="00B56203" w14:paraId="379B6421" w14:textId="77777777" w:rsidTr="007E69C5">
        <w:trPr>
          <w:jc w:val="center"/>
        </w:trPr>
        <w:tc>
          <w:tcPr>
            <w:tcW w:w="1129" w:type="dxa"/>
            <w:shd w:val="clear" w:color="auto" w:fill="99CCFF"/>
          </w:tcPr>
          <w:p w14:paraId="21850C54" w14:textId="77777777" w:rsidR="00B56203" w:rsidRPr="00581CE0" w:rsidRDefault="00B56203" w:rsidP="00100A5B">
            <w:pPr>
              <w:jc w:val="center"/>
              <w:rPr>
                <w:rFonts w:ascii="Arial" w:hAnsi="Arial" w:cs="Arial"/>
                <w:b/>
                <w:bCs/>
                <w:color w:val="000099"/>
              </w:rPr>
            </w:pPr>
            <w:r w:rsidRPr="00581CE0">
              <w:rPr>
                <w:rFonts w:ascii="Arial" w:hAnsi="Arial" w:cs="Arial"/>
                <w:b/>
                <w:bCs/>
                <w:color w:val="000099"/>
              </w:rPr>
              <w:t>Code</w:t>
            </w:r>
          </w:p>
        </w:tc>
        <w:tc>
          <w:tcPr>
            <w:tcW w:w="5812" w:type="dxa"/>
            <w:shd w:val="clear" w:color="auto" w:fill="99CCFF"/>
          </w:tcPr>
          <w:p w14:paraId="0836C11E" w14:textId="77777777" w:rsidR="00B56203" w:rsidRPr="00581CE0" w:rsidRDefault="00B56203" w:rsidP="00100A5B">
            <w:pPr>
              <w:jc w:val="center"/>
              <w:rPr>
                <w:rFonts w:ascii="Arial" w:hAnsi="Arial" w:cs="Arial"/>
                <w:b/>
                <w:bCs/>
                <w:color w:val="000099"/>
              </w:rPr>
            </w:pPr>
            <w:r w:rsidRPr="00581CE0">
              <w:rPr>
                <w:rFonts w:ascii="Arial" w:hAnsi="Arial" w:cs="Arial"/>
                <w:b/>
                <w:bCs/>
                <w:color w:val="000099"/>
              </w:rPr>
              <w:t>Description</w:t>
            </w:r>
          </w:p>
        </w:tc>
      </w:tr>
      <w:tr w:rsidR="00B56203" w14:paraId="3FEB90A4" w14:textId="77777777" w:rsidTr="007E69C5">
        <w:trPr>
          <w:jc w:val="center"/>
        </w:trPr>
        <w:tc>
          <w:tcPr>
            <w:tcW w:w="1129" w:type="dxa"/>
          </w:tcPr>
          <w:p w14:paraId="5F5D23B9" w14:textId="77777777" w:rsidR="00B56203" w:rsidRPr="006319F2" w:rsidRDefault="00B56203" w:rsidP="00100A5B">
            <w:pPr>
              <w:rPr>
                <w:rFonts w:ascii="Arial" w:hAnsi="Arial" w:cs="Arial"/>
              </w:rPr>
            </w:pPr>
            <w:r w:rsidRPr="006319F2">
              <w:rPr>
                <w:rFonts w:ascii="Arial" w:hAnsi="Arial" w:cs="Arial"/>
              </w:rPr>
              <w:t>A</w:t>
            </w:r>
          </w:p>
        </w:tc>
        <w:tc>
          <w:tcPr>
            <w:tcW w:w="5812" w:type="dxa"/>
          </w:tcPr>
          <w:p w14:paraId="133052F7" w14:textId="77777777" w:rsidR="00B56203" w:rsidRPr="006319F2" w:rsidRDefault="00B56203" w:rsidP="00100A5B">
            <w:pPr>
              <w:rPr>
                <w:rFonts w:ascii="Arial" w:hAnsi="Arial" w:cs="Arial"/>
              </w:rPr>
            </w:pPr>
            <w:r w:rsidRPr="006319F2">
              <w:rPr>
                <w:rFonts w:ascii="Arial" w:hAnsi="Arial" w:cs="Arial"/>
              </w:rPr>
              <w:t>No significant defect</w:t>
            </w:r>
          </w:p>
        </w:tc>
      </w:tr>
      <w:tr w:rsidR="00B56203" w14:paraId="34CFB368" w14:textId="77777777" w:rsidTr="007E69C5">
        <w:trPr>
          <w:jc w:val="center"/>
        </w:trPr>
        <w:tc>
          <w:tcPr>
            <w:tcW w:w="1129" w:type="dxa"/>
          </w:tcPr>
          <w:p w14:paraId="4B18C549" w14:textId="77777777" w:rsidR="00B56203" w:rsidRPr="006319F2" w:rsidRDefault="00B56203" w:rsidP="00100A5B">
            <w:pPr>
              <w:rPr>
                <w:rFonts w:ascii="Arial" w:hAnsi="Arial" w:cs="Arial"/>
              </w:rPr>
            </w:pPr>
            <w:r w:rsidRPr="006319F2">
              <w:rPr>
                <w:rFonts w:ascii="Arial" w:hAnsi="Arial" w:cs="Arial"/>
              </w:rPr>
              <w:t>B</w:t>
            </w:r>
          </w:p>
        </w:tc>
        <w:tc>
          <w:tcPr>
            <w:tcW w:w="5812" w:type="dxa"/>
          </w:tcPr>
          <w:p w14:paraId="105555F8" w14:textId="77777777" w:rsidR="00B56203" w:rsidRPr="006319F2" w:rsidRDefault="00B56203" w:rsidP="00100A5B">
            <w:pPr>
              <w:rPr>
                <w:rFonts w:ascii="Arial" w:hAnsi="Arial" w:cs="Arial"/>
              </w:rPr>
            </w:pPr>
            <w:r w:rsidRPr="006319F2">
              <w:rPr>
                <w:rFonts w:ascii="Arial" w:hAnsi="Arial" w:cs="Arial"/>
              </w:rPr>
              <w:t>Slight, not more than 5% of surface area/length/number</w:t>
            </w:r>
          </w:p>
        </w:tc>
      </w:tr>
      <w:tr w:rsidR="00B56203" w14:paraId="2A09563E" w14:textId="77777777" w:rsidTr="007E69C5">
        <w:trPr>
          <w:jc w:val="center"/>
        </w:trPr>
        <w:tc>
          <w:tcPr>
            <w:tcW w:w="1129" w:type="dxa"/>
          </w:tcPr>
          <w:p w14:paraId="1F226BFC" w14:textId="77777777" w:rsidR="00B56203" w:rsidRPr="006319F2" w:rsidRDefault="00B56203" w:rsidP="00100A5B">
            <w:pPr>
              <w:rPr>
                <w:rFonts w:ascii="Arial" w:hAnsi="Arial" w:cs="Arial"/>
              </w:rPr>
            </w:pPr>
            <w:r w:rsidRPr="006319F2">
              <w:rPr>
                <w:rFonts w:ascii="Arial" w:hAnsi="Arial" w:cs="Arial"/>
              </w:rPr>
              <w:t>C</w:t>
            </w:r>
          </w:p>
        </w:tc>
        <w:tc>
          <w:tcPr>
            <w:tcW w:w="5812" w:type="dxa"/>
          </w:tcPr>
          <w:p w14:paraId="069555CD" w14:textId="77777777" w:rsidR="00B56203" w:rsidRPr="006319F2" w:rsidRDefault="00B56203" w:rsidP="00100A5B">
            <w:pPr>
              <w:rPr>
                <w:rFonts w:ascii="Arial" w:hAnsi="Arial" w:cs="Arial"/>
              </w:rPr>
            </w:pPr>
            <w:r w:rsidRPr="006319F2">
              <w:rPr>
                <w:rFonts w:ascii="Arial" w:hAnsi="Arial" w:cs="Arial"/>
              </w:rPr>
              <w:t>Moderate, 5% - 20% of surface area/length/number</w:t>
            </w:r>
          </w:p>
        </w:tc>
      </w:tr>
      <w:tr w:rsidR="00B56203" w14:paraId="55B96D7D" w14:textId="77777777" w:rsidTr="007E69C5">
        <w:trPr>
          <w:jc w:val="center"/>
        </w:trPr>
        <w:tc>
          <w:tcPr>
            <w:tcW w:w="1129" w:type="dxa"/>
          </w:tcPr>
          <w:p w14:paraId="433E47EA" w14:textId="77777777" w:rsidR="00B56203" w:rsidRPr="006319F2" w:rsidRDefault="00B56203" w:rsidP="00100A5B">
            <w:pPr>
              <w:rPr>
                <w:rFonts w:ascii="Arial" w:hAnsi="Arial" w:cs="Arial"/>
              </w:rPr>
            </w:pPr>
            <w:r w:rsidRPr="006319F2">
              <w:rPr>
                <w:rFonts w:ascii="Arial" w:hAnsi="Arial" w:cs="Arial"/>
              </w:rPr>
              <w:t>D</w:t>
            </w:r>
          </w:p>
        </w:tc>
        <w:tc>
          <w:tcPr>
            <w:tcW w:w="5812" w:type="dxa"/>
          </w:tcPr>
          <w:p w14:paraId="4759A91C" w14:textId="77777777" w:rsidR="00B56203" w:rsidRPr="006319F2" w:rsidRDefault="00B56203" w:rsidP="00100A5B">
            <w:pPr>
              <w:rPr>
                <w:rFonts w:ascii="Arial" w:hAnsi="Arial" w:cs="Arial"/>
              </w:rPr>
            </w:pPr>
            <w:r w:rsidRPr="006319F2">
              <w:rPr>
                <w:rFonts w:ascii="Arial" w:hAnsi="Arial" w:cs="Arial"/>
              </w:rPr>
              <w:t>Wide: 20% - 50% of surface area/length/number</w:t>
            </w:r>
          </w:p>
        </w:tc>
      </w:tr>
      <w:tr w:rsidR="00B56203" w14:paraId="118D0F22" w14:textId="77777777" w:rsidTr="007E69C5">
        <w:trPr>
          <w:jc w:val="center"/>
        </w:trPr>
        <w:tc>
          <w:tcPr>
            <w:tcW w:w="1129" w:type="dxa"/>
          </w:tcPr>
          <w:p w14:paraId="45AA37D7" w14:textId="77777777" w:rsidR="00B56203" w:rsidRPr="006319F2" w:rsidRDefault="00B56203" w:rsidP="00100A5B">
            <w:pPr>
              <w:rPr>
                <w:rFonts w:ascii="Arial" w:hAnsi="Arial" w:cs="Arial"/>
              </w:rPr>
            </w:pPr>
            <w:r w:rsidRPr="006319F2">
              <w:rPr>
                <w:rFonts w:ascii="Arial" w:hAnsi="Arial" w:cs="Arial"/>
              </w:rPr>
              <w:t>E</w:t>
            </w:r>
          </w:p>
        </w:tc>
        <w:tc>
          <w:tcPr>
            <w:tcW w:w="5812" w:type="dxa"/>
          </w:tcPr>
          <w:p w14:paraId="2E2D0E5F" w14:textId="77777777" w:rsidR="00B56203" w:rsidRPr="006319F2" w:rsidRDefault="00B56203" w:rsidP="00100A5B">
            <w:pPr>
              <w:rPr>
                <w:rFonts w:ascii="Arial" w:hAnsi="Arial" w:cs="Arial"/>
              </w:rPr>
            </w:pPr>
            <w:r w:rsidRPr="006319F2">
              <w:rPr>
                <w:rFonts w:ascii="Arial" w:hAnsi="Arial" w:cs="Arial"/>
              </w:rPr>
              <w:t>Extensive, more than 50% of surface area/length/number</w:t>
            </w:r>
          </w:p>
        </w:tc>
      </w:tr>
    </w:tbl>
    <w:p w14:paraId="0E5B11AC" w14:textId="121A5624" w:rsidR="00B56203" w:rsidRPr="007E69C5" w:rsidRDefault="006D1160" w:rsidP="007E69C5">
      <w:pPr>
        <w:pStyle w:val="Caption"/>
        <w:jc w:val="center"/>
        <w:rPr>
          <w:rFonts w:ascii="Arial" w:hAnsi="Arial" w:cs="Arial"/>
          <w:b/>
          <w:bCs/>
          <w:color w:val="auto"/>
          <w:sz w:val="22"/>
          <w:szCs w:val="22"/>
        </w:rPr>
      </w:pPr>
      <w:bookmarkStart w:id="101" w:name="_Toc66868989"/>
      <w:r w:rsidRPr="007E69C5">
        <w:rPr>
          <w:rFonts w:ascii="Arial" w:hAnsi="Arial" w:cs="Arial"/>
          <w:sz w:val="22"/>
          <w:szCs w:val="22"/>
        </w:rPr>
        <w:t xml:space="preserve">Table </w:t>
      </w:r>
      <w:r w:rsidRPr="007E69C5">
        <w:rPr>
          <w:rFonts w:ascii="Arial" w:hAnsi="Arial" w:cs="Arial"/>
          <w:sz w:val="22"/>
          <w:szCs w:val="22"/>
        </w:rPr>
        <w:fldChar w:fldCharType="begin"/>
      </w:r>
      <w:r w:rsidRPr="007E69C5">
        <w:rPr>
          <w:rFonts w:ascii="Arial" w:hAnsi="Arial" w:cs="Arial"/>
          <w:sz w:val="22"/>
          <w:szCs w:val="22"/>
        </w:rPr>
        <w:instrText xml:space="preserve"> SEQ Table \* ARABIC </w:instrText>
      </w:r>
      <w:r w:rsidRPr="007E69C5">
        <w:rPr>
          <w:rFonts w:ascii="Arial" w:hAnsi="Arial" w:cs="Arial"/>
          <w:sz w:val="22"/>
          <w:szCs w:val="22"/>
        </w:rPr>
        <w:fldChar w:fldCharType="separate"/>
      </w:r>
      <w:r w:rsidR="00B97B5D">
        <w:rPr>
          <w:rFonts w:ascii="Arial" w:hAnsi="Arial" w:cs="Arial"/>
          <w:noProof/>
          <w:sz w:val="22"/>
          <w:szCs w:val="22"/>
        </w:rPr>
        <w:t>5</w:t>
      </w:r>
      <w:r w:rsidRPr="007E69C5">
        <w:rPr>
          <w:rFonts w:ascii="Arial" w:hAnsi="Arial" w:cs="Arial"/>
          <w:sz w:val="22"/>
          <w:szCs w:val="22"/>
        </w:rPr>
        <w:fldChar w:fldCharType="end"/>
      </w:r>
      <w:r w:rsidRPr="007E69C5">
        <w:rPr>
          <w:rFonts w:ascii="Arial" w:hAnsi="Arial" w:cs="Arial"/>
          <w:sz w:val="22"/>
          <w:szCs w:val="22"/>
        </w:rPr>
        <w:t xml:space="preserve"> </w:t>
      </w:r>
      <w:r w:rsidR="00F614A3">
        <w:rPr>
          <w:rFonts w:ascii="Arial" w:hAnsi="Arial" w:cs="Arial"/>
          <w:sz w:val="22"/>
          <w:szCs w:val="22"/>
        </w:rPr>
        <w:t>–</w:t>
      </w:r>
      <w:r w:rsidRPr="007E69C5">
        <w:rPr>
          <w:rFonts w:ascii="Arial" w:hAnsi="Arial" w:cs="Arial"/>
          <w:sz w:val="22"/>
          <w:szCs w:val="22"/>
        </w:rPr>
        <w:t xml:space="preserve"> Extent Codes</w:t>
      </w:r>
      <w:bookmarkEnd w:id="101"/>
    </w:p>
    <w:tbl>
      <w:tblPr>
        <w:tblStyle w:val="TableGrid"/>
        <w:tblW w:w="0" w:type="auto"/>
        <w:jc w:val="center"/>
        <w:tblInd w:w="0" w:type="dxa"/>
        <w:tblLook w:val="04A0" w:firstRow="1" w:lastRow="0" w:firstColumn="1" w:lastColumn="0" w:noHBand="0" w:noVBand="1"/>
      </w:tblPr>
      <w:tblGrid>
        <w:gridCol w:w="1129"/>
        <w:gridCol w:w="5812"/>
      </w:tblGrid>
      <w:tr w:rsidR="00B56203" w14:paraId="11BCF776" w14:textId="77777777" w:rsidTr="007E69C5">
        <w:trPr>
          <w:jc w:val="center"/>
        </w:trPr>
        <w:tc>
          <w:tcPr>
            <w:tcW w:w="6941" w:type="dxa"/>
            <w:gridSpan w:val="2"/>
            <w:shd w:val="clear" w:color="auto" w:fill="000099"/>
          </w:tcPr>
          <w:p w14:paraId="6E2EBAB1" w14:textId="77777777" w:rsidR="00B56203" w:rsidRPr="006319F2" w:rsidRDefault="00B56203" w:rsidP="00100A5B">
            <w:pPr>
              <w:jc w:val="center"/>
              <w:rPr>
                <w:rFonts w:ascii="Arial" w:hAnsi="Arial" w:cs="Arial"/>
                <w:b/>
                <w:bCs/>
              </w:rPr>
            </w:pPr>
            <w:r>
              <w:rPr>
                <w:rFonts w:ascii="Arial" w:hAnsi="Arial" w:cs="Arial"/>
                <w:b/>
                <w:bCs/>
              </w:rPr>
              <w:t>Severity Descriptions</w:t>
            </w:r>
            <w:r w:rsidRPr="006319F2">
              <w:rPr>
                <w:rFonts w:ascii="Arial" w:hAnsi="Arial" w:cs="Arial"/>
                <w:b/>
                <w:bCs/>
              </w:rPr>
              <w:t xml:space="preserve"> (Highways Agency, 2007)</w:t>
            </w:r>
          </w:p>
        </w:tc>
      </w:tr>
      <w:tr w:rsidR="00B56203" w14:paraId="566D287B" w14:textId="77777777" w:rsidTr="007E69C5">
        <w:trPr>
          <w:jc w:val="center"/>
        </w:trPr>
        <w:tc>
          <w:tcPr>
            <w:tcW w:w="1129" w:type="dxa"/>
            <w:shd w:val="clear" w:color="auto" w:fill="99CCFF"/>
          </w:tcPr>
          <w:p w14:paraId="196E37B8" w14:textId="77777777" w:rsidR="00B56203" w:rsidRPr="00581CE0" w:rsidRDefault="00B56203" w:rsidP="00100A5B">
            <w:pPr>
              <w:jc w:val="center"/>
              <w:rPr>
                <w:rFonts w:ascii="Arial" w:hAnsi="Arial" w:cs="Arial"/>
                <w:b/>
                <w:bCs/>
                <w:color w:val="000099"/>
              </w:rPr>
            </w:pPr>
            <w:r w:rsidRPr="00581CE0">
              <w:rPr>
                <w:rFonts w:ascii="Arial" w:hAnsi="Arial" w:cs="Arial"/>
                <w:b/>
                <w:bCs/>
                <w:color w:val="000099"/>
              </w:rPr>
              <w:t>Code</w:t>
            </w:r>
          </w:p>
        </w:tc>
        <w:tc>
          <w:tcPr>
            <w:tcW w:w="5812" w:type="dxa"/>
            <w:shd w:val="clear" w:color="auto" w:fill="99CCFF"/>
          </w:tcPr>
          <w:p w14:paraId="345C5D1E" w14:textId="77777777" w:rsidR="00B56203" w:rsidRPr="00581CE0" w:rsidRDefault="00B56203" w:rsidP="00100A5B">
            <w:pPr>
              <w:jc w:val="center"/>
              <w:rPr>
                <w:rFonts w:ascii="Arial" w:hAnsi="Arial" w:cs="Arial"/>
                <w:b/>
                <w:bCs/>
                <w:color w:val="000099"/>
              </w:rPr>
            </w:pPr>
            <w:r w:rsidRPr="00581CE0">
              <w:rPr>
                <w:rFonts w:ascii="Arial" w:hAnsi="Arial" w:cs="Arial"/>
                <w:b/>
                <w:bCs/>
                <w:color w:val="000099"/>
              </w:rPr>
              <w:t>Description</w:t>
            </w:r>
          </w:p>
        </w:tc>
      </w:tr>
      <w:tr w:rsidR="00B56203" w14:paraId="1C45BE8B" w14:textId="77777777" w:rsidTr="007E69C5">
        <w:trPr>
          <w:jc w:val="center"/>
        </w:trPr>
        <w:tc>
          <w:tcPr>
            <w:tcW w:w="1129" w:type="dxa"/>
          </w:tcPr>
          <w:p w14:paraId="34B6D5B2" w14:textId="77777777" w:rsidR="00B56203" w:rsidRPr="006319F2" w:rsidRDefault="00B56203" w:rsidP="00100A5B">
            <w:pPr>
              <w:rPr>
                <w:rFonts w:ascii="Arial" w:hAnsi="Arial" w:cs="Arial"/>
              </w:rPr>
            </w:pPr>
            <w:r>
              <w:rPr>
                <w:rFonts w:ascii="Arial" w:hAnsi="Arial" w:cs="Arial"/>
              </w:rPr>
              <w:t>1</w:t>
            </w:r>
          </w:p>
        </w:tc>
        <w:tc>
          <w:tcPr>
            <w:tcW w:w="5812" w:type="dxa"/>
          </w:tcPr>
          <w:p w14:paraId="6530CD6D" w14:textId="77777777" w:rsidR="00B56203" w:rsidRPr="006319F2" w:rsidRDefault="00B56203" w:rsidP="00100A5B">
            <w:pPr>
              <w:rPr>
                <w:rFonts w:ascii="Arial" w:hAnsi="Arial" w:cs="Arial"/>
              </w:rPr>
            </w:pPr>
            <w:r>
              <w:rPr>
                <w:rFonts w:ascii="Arial" w:hAnsi="Arial" w:cs="Arial"/>
              </w:rPr>
              <w:t>As new condition or defect has no significant effect on the element (visually or functionality)</w:t>
            </w:r>
          </w:p>
        </w:tc>
      </w:tr>
      <w:tr w:rsidR="00B56203" w14:paraId="3061719B" w14:textId="77777777" w:rsidTr="007E69C5">
        <w:trPr>
          <w:jc w:val="center"/>
        </w:trPr>
        <w:tc>
          <w:tcPr>
            <w:tcW w:w="1129" w:type="dxa"/>
          </w:tcPr>
          <w:p w14:paraId="3AAB9C35" w14:textId="77777777" w:rsidR="00B56203" w:rsidRPr="006319F2" w:rsidRDefault="00B56203" w:rsidP="00100A5B">
            <w:pPr>
              <w:rPr>
                <w:rFonts w:ascii="Arial" w:hAnsi="Arial" w:cs="Arial"/>
              </w:rPr>
            </w:pPr>
            <w:r>
              <w:rPr>
                <w:rFonts w:ascii="Arial" w:hAnsi="Arial" w:cs="Arial"/>
              </w:rPr>
              <w:t>2</w:t>
            </w:r>
          </w:p>
        </w:tc>
        <w:tc>
          <w:tcPr>
            <w:tcW w:w="5812" w:type="dxa"/>
          </w:tcPr>
          <w:p w14:paraId="6494828E" w14:textId="77777777" w:rsidR="00B56203" w:rsidRPr="006319F2" w:rsidRDefault="00B56203" w:rsidP="00100A5B">
            <w:pPr>
              <w:rPr>
                <w:rFonts w:ascii="Arial" w:hAnsi="Arial" w:cs="Arial"/>
              </w:rPr>
            </w:pPr>
            <w:r>
              <w:rPr>
                <w:rFonts w:ascii="Arial" w:hAnsi="Arial" w:cs="Arial"/>
              </w:rPr>
              <w:t>Early signs of deterioration, minor defect/damage, no reduction in functionality of element</w:t>
            </w:r>
          </w:p>
        </w:tc>
      </w:tr>
      <w:tr w:rsidR="00B56203" w14:paraId="1E94E8C0" w14:textId="77777777" w:rsidTr="007E69C5">
        <w:trPr>
          <w:jc w:val="center"/>
        </w:trPr>
        <w:tc>
          <w:tcPr>
            <w:tcW w:w="1129" w:type="dxa"/>
          </w:tcPr>
          <w:p w14:paraId="25500FFE" w14:textId="77777777" w:rsidR="00B56203" w:rsidRPr="006319F2" w:rsidRDefault="00B56203" w:rsidP="00100A5B">
            <w:pPr>
              <w:rPr>
                <w:rFonts w:ascii="Arial" w:hAnsi="Arial" w:cs="Arial"/>
              </w:rPr>
            </w:pPr>
            <w:r>
              <w:rPr>
                <w:rFonts w:ascii="Arial" w:hAnsi="Arial" w:cs="Arial"/>
              </w:rPr>
              <w:t>3</w:t>
            </w:r>
          </w:p>
        </w:tc>
        <w:tc>
          <w:tcPr>
            <w:tcW w:w="5812" w:type="dxa"/>
          </w:tcPr>
          <w:p w14:paraId="0B823E18" w14:textId="77777777" w:rsidR="00B56203" w:rsidRPr="006319F2" w:rsidRDefault="00B56203" w:rsidP="00100A5B">
            <w:pPr>
              <w:rPr>
                <w:rFonts w:ascii="Arial" w:hAnsi="Arial" w:cs="Arial"/>
              </w:rPr>
            </w:pPr>
            <w:r>
              <w:rPr>
                <w:rFonts w:ascii="Arial" w:hAnsi="Arial" w:cs="Arial"/>
              </w:rPr>
              <w:t>Moderate defect/damage, some loss of functionality could be expected</w:t>
            </w:r>
          </w:p>
        </w:tc>
      </w:tr>
      <w:tr w:rsidR="00B56203" w14:paraId="2B3CB39C" w14:textId="77777777" w:rsidTr="007E69C5">
        <w:trPr>
          <w:jc w:val="center"/>
        </w:trPr>
        <w:tc>
          <w:tcPr>
            <w:tcW w:w="1129" w:type="dxa"/>
          </w:tcPr>
          <w:p w14:paraId="51B1D2E8" w14:textId="77777777" w:rsidR="00B56203" w:rsidRPr="006319F2" w:rsidRDefault="00B56203" w:rsidP="00100A5B">
            <w:pPr>
              <w:rPr>
                <w:rFonts w:ascii="Arial" w:hAnsi="Arial" w:cs="Arial"/>
              </w:rPr>
            </w:pPr>
            <w:r>
              <w:rPr>
                <w:rFonts w:ascii="Arial" w:hAnsi="Arial" w:cs="Arial"/>
              </w:rPr>
              <w:t>4</w:t>
            </w:r>
          </w:p>
        </w:tc>
        <w:tc>
          <w:tcPr>
            <w:tcW w:w="5812" w:type="dxa"/>
          </w:tcPr>
          <w:p w14:paraId="2DF50139" w14:textId="77777777" w:rsidR="00B56203" w:rsidRPr="006319F2" w:rsidRDefault="00B56203" w:rsidP="00100A5B">
            <w:pPr>
              <w:rPr>
                <w:rFonts w:ascii="Arial" w:hAnsi="Arial" w:cs="Arial"/>
              </w:rPr>
            </w:pPr>
            <w:r>
              <w:rPr>
                <w:rFonts w:ascii="Arial" w:hAnsi="Arial" w:cs="Arial"/>
              </w:rPr>
              <w:t>Severe defect/damage, significant loss of functionality and/or element is close to failure/collapse</w:t>
            </w:r>
          </w:p>
        </w:tc>
      </w:tr>
      <w:tr w:rsidR="00B56203" w14:paraId="56841D9E" w14:textId="77777777" w:rsidTr="007E69C5">
        <w:trPr>
          <w:jc w:val="center"/>
        </w:trPr>
        <w:tc>
          <w:tcPr>
            <w:tcW w:w="1129" w:type="dxa"/>
          </w:tcPr>
          <w:p w14:paraId="52C34196" w14:textId="77777777" w:rsidR="00B56203" w:rsidRPr="006319F2" w:rsidRDefault="00B56203" w:rsidP="00100A5B">
            <w:pPr>
              <w:rPr>
                <w:rFonts w:ascii="Arial" w:hAnsi="Arial" w:cs="Arial"/>
              </w:rPr>
            </w:pPr>
            <w:r>
              <w:rPr>
                <w:rFonts w:ascii="Arial" w:hAnsi="Arial" w:cs="Arial"/>
              </w:rPr>
              <w:t>5</w:t>
            </w:r>
          </w:p>
        </w:tc>
        <w:tc>
          <w:tcPr>
            <w:tcW w:w="5812" w:type="dxa"/>
          </w:tcPr>
          <w:p w14:paraId="27B7F022" w14:textId="77777777" w:rsidR="00B56203" w:rsidRPr="006319F2" w:rsidRDefault="00B56203" w:rsidP="00100A5B">
            <w:pPr>
              <w:rPr>
                <w:rFonts w:ascii="Arial" w:hAnsi="Arial" w:cs="Arial"/>
              </w:rPr>
            </w:pPr>
            <w:r>
              <w:rPr>
                <w:rFonts w:ascii="Arial" w:hAnsi="Arial" w:cs="Arial"/>
              </w:rPr>
              <w:t>Extensive, more than 50% of surface area/length surface</w:t>
            </w:r>
          </w:p>
        </w:tc>
      </w:tr>
    </w:tbl>
    <w:p w14:paraId="5847056E" w14:textId="718781BB" w:rsidR="00B56203" w:rsidRPr="007E69C5" w:rsidRDefault="006D1160" w:rsidP="007E69C5">
      <w:pPr>
        <w:pStyle w:val="Caption"/>
        <w:jc w:val="center"/>
        <w:rPr>
          <w:rFonts w:ascii="Arial" w:hAnsi="Arial" w:cs="Arial"/>
          <w:sz w:val="22"/>
          <w:szCs w:val="22"/>
        </w:rPr>
      </w:pPr>
      <w:bookmarkStart w:id="102" w:name="_Toc66868990"/>
      <w:r w:rsidRPr="007E69C5">
        <w:rPr>
          <w:rFonts w:ascii="Arial" w:hAnsi="Arial" w:cs="Arial"/>
          <w:sz w:val="22"/>
          <w:szCs w:val="22"/>
        </w:rPr>
        <w:t xml:space="preserve">Table </w:t>
      </w:r>
      <w:r w:rsidRPr="007E69C5">
        <w:rPr>
          <w:rFonts w:ascii="Arial" w:hAnsi="Arial" w:cs="Arial"/>
          <w:sz w:val="22"/>
          <w:szCs w:val="22"/>
        </w:rPr>
        <w:fldChar w:fldCharType="begin"/>
      </w:r>
      <w:r w:rsidRPr="007E69C5">
        <w:rPr>
          <w:rFonts w:ascii="Arial" w:hAnsi="Arial" w:cs="Arial"/>
          <w:sz w:val="22"/>
          <w:szCs w:val="22"/>
        </w:rPr>
        <w:instrText xml:space="preserve"> SEQ Table \* ARABIC </w:instrText>
      </w:r>
      <w:r w:rsidRPr="007E69C5">
        <w:rPr>
          <w:rFonts w:ascii="Arial" w:hAnsi="Arial" w:cs="Arial"/>
          <w:sz w:val="22"/>
          <w:szCs w:val="22"/>
        </w:rPr>
        <w:fldChar w:fldCharType="separate"/>
      </w:r>
      <w:r w:rsidR="00B97B5D">
        <w:rPr>
          <w:rFonts w:ascii="Arial" w:hAnsi="Arial" w:cs="Arial"/>
          <w:noProof/>
          <w:sz w:val="22"/>
          <w:szCs w:val="22"/>
        </w:rPr>
        <w:t>6</w:t>
      </w:r>
      <w:r w:rsidRPr="007E69C5">
        <w:rPr>
          <w:rFonts w:ascii="Arial" w:hAnsi="Arial" w:cs="Arial"/>
          <w:sz w:val="22"/>
          <w:szCs w:val="22"/>
        </w:rPr>
        <w:fldChar w:fldCharType="end"/>
      </w:r>
      <w:r w:rsidRPr="007E69C5">
        <w:rPr>
          <w:rFonts w:ascii="Arial" w:hAnsi="Arial" w:cs="Arial"/>
          <w:sz w:val="22"/>
          <w:szCs w:val="22"/>
        </w:rPr>
        <w:t xml:space="preserve"> </w:t>
      </w:r>
      <w:r w:rsidR="00F614A3">
        <w:rPr>
          <w:rFonts w:ascii="Arial" w:hAnsi="Arial" w:cs="Arial"/>
          <w:sz w:val="22"/>
          <w:szCs w:val="22"/>
        </w:rPr>
        <w:t>–</w:t>
      </w:r>
      <w:r w:rsidRPr="007E69C5">
        <w:rPr>
          <w:rFonts w:ascii="Arial" w:hAnsi="Arial" w:cs="Arial"/>
          <w:sz w:val="22"/>
          <w:szCs w:val="22"/>
        </w:rPr>
        <w:t xml:space="preserve"> Severity Descriptions</w:t>
      </w:r>
      <w:bookmarkEnd w:id="102"/>
    </w:p>
    <w:p w14:paraId="73CE33EF" w14:textId="77777777" w:rsidR="00B56203" w:rsidRPr="007E69C5" w:rsidRDefault="00B56203" w:rsidP="007E69C5"/>
    <w:p w14:paraId="5B2E45F5" w14:textId="1699338B" w:rsidR="0032711F" w:rsidRPr="00E6059A" w:rsidRDefault="00570213" w:rsidP="00E6059A">
      <w:pPr>
        <w:pStyle w:val="Heading3"/>
        <w:spacing w:after="240"/>
        <w:rPr>
          <w:rFonts w:cs="Arial"/>
          <w:b w:val="0"/>
          <w:bCs/>
          <w:color w:val="auto"/>
          <w:sz w:val="22"/>
          <w:szCs w:val="22"/>
        </w:rPr>
      </w:pPr>
      <w:bookmarkStart w:id="103" w:name="_Toc66868906"/>
      <w:r w:rsidRPr="00E6059A">
        <w:rPr>
          <w:rFonts w:cs="Arial"/>
          <w:bCs/>
          <w:color w:val="auto"/>
          <w:sz w:val="22"/>
          <w:szCs w:val="22"/>
        </w:rPr>
        <w:t>Traffic Category</w:t>
      </w:r>
      <w:bookmarkEnd w:id="103"/>
    </w:p>
    <w:p w14:paraId="6BB9E10B" w14:textId="46A443D8" w:rsidR="00C64AF1" w:rsidRDefault="00026959" w:rsidP="004A2DD4">
      <w:pPr>
        <w:spacing w:after="240" w:line="360" w:lineRule="auto"/>
        <w:jc w:val="both"/>
        <w:rPr>
          <w:rFonts w:ascii="Arial" w:hAnsi="Arial" w:cs="Arial"/>
          <w:lang w:eastAsia="en-GB"/>
        </w:rPr>
      </w:pPr>
      <w:r>
        <w:rPr>
          <w:rFonts w:ascii="Arial" w:hAnsi="Arial" w:cs="Arial"/>
        </w:rPr>
        <w:t>T</w:t>
      </w:r>
      <w:r w:rsidR="00892447">
        <w:rPr>
          <w:rFonts w:ascii="Arial" w:hAnsi="Arial" w:cs="Arial"/>
        </w:rPr>
        <w:t>he traffic category</w:t>
      </w:r>
      <w:r w:rsidR="00F614A3">
        <w:rPr>
          <w:rFonts w:ascii="Arial" w:hAnsi="Arial" w:cs="Arial"/>
        </w:rPr>
        <w:t xml:space="preserve"> for the structure</w:t>
      </w:r>
      <w:r>
        <w:rPr>
          <w:rFonts w:ascii="Arial" w:hAnsi="Arial" w:cs="Arial"/>
        </w:rPr>
        <w:t xml:space="preserve"> was then defined</w:t>
      </w:r>
      <w:r w:rsidR="000E0BB8">
        <w:rPr>
          <w:rFonts w:ascii="Arial" w:hAnsi="Arial" w:cs="Arial"/>
        </w:rPr>
        <w:t xml:space="preserve"> using</w:t>
      </w:r>
      <w:r w:rsidR="00C64AF1" w:rsidRPr="00C47BFC">
        <w:rPr>
          <w:rFonts w:ascii="Arial" w:hAnsi="Arial" w:cs="Arial"/>
          <w:lang w:eastAsia="en-GB"/>
        </w:rPr>
        <w:t xml:space="preserve"> </w:t>
      </w:r>
      <w:r w:rsidR="00AD7E30">
        <w:rPr>
          <w:rFonts w:ascii="Arial" w:hAnsi="Arial" w:cs="Arial"/>
          <w:lang w:eastAsia="en-GB"/>
        </w:rPr>
        <w:t xml:space="preserve">the </w:t>
      </w:r>
      <w:r w:rsidR="00C1254C">
        <w:rPr>
          <w:rFonts w:ascii="Arial" w:hAnsi="Arial" w:cs="Arial"/>
          <w:lang w:eastAsia="en-GB"/>
        </w:rPr>
        <w:t xml:space="preserve">exposure descriptions in Table 7 and </w:t>
      </w:r>
      <w:r w:rsidR="00C64AF1" w:rsidRPr="00B33A93">
        <w:rPr>
          <w:rFonts w:ascii="Arial" w:hAnsi="Arial" w:cs="Arial"/>
          <w:lang w:eastAsia="en-GB"/>
        </w:rPr>
        <w:t>the</w:t>
      </w:r>
      <w:r w:rsidR="0037111D" w:rsidRPr="00B33A93">
        <w:rPr>
          <w:rFonts w:ascii="Arial" w:hAnsi="Arial" w:cs="Arial"/>
          <w:lang w:eastAsia="en-GB"/>
        </w:rPr>
        <w:t xml:space="preserve"> </w:t>
      </w:r>
      <w:r w:rsidR="000E0BB8" w:rsidRPr="00E6059A">
        <w:rPr>
          <w:rFonts w:ascii="Arial" w:hAnsi="Arial" w:cs="Arial"/>
        </w:rPr>
        <w:t xml:space="preserve">available Annual Average Daily Traffic Counts (AADT) from the Department for Transport (DfT) </w:t>
      </w:r>
      <w:r w:rsidR="00C64AF1" w:rsidRPr="00C47BFC">
        <w:rPr>
          <w:rFonts w:ascii="Arial" w:hAnsi="Arial" w:cs="Arial"/>
          <w:lang w:eastAsia="en-GB"/>
        </w:rPr>
        <w:t xml:space="preserve">in </w:t>
      </w:r>
      <w:r w:rsidR="00C64AF1">
        <w:rPr>
          <w:rFonts w:ascii="Arial" w:hAnsi="Arial" w:cs="Arial"/>
          <w:lang w:eastAsia="en-GB"/>
        </w:rPr>
        <w:t>T</w:t>
      </w:r>
      <w:r w:rsidR="00C64AF1" w:rsidRPr="00C47BFC">
        <w:rPr>
          <w:rFonts w:ascii="Arial" w:hAnsi="Arial" w:cs="Arial"/>
          <w:lang w:eastAsia="en-GB"/>
        </w:rPr>
        <w:t xml:space="preserve">able </w:t>
      </w:r>
      <w:r w:rsidR="00AF5D17">
        <w:rPr>
          <w:rFonts w:ascii="Arial" w:hAnsi="Arial" w:cs="Arial"/>
          <w:lang w:eastAsia="en-GB"/>
        </w:rPr>
        <w:t>8</w:t>
      </w:r>
      <w:r w:rsidR="00EA272E">
        <w:rPr>
          <w:rFonts w:ascii="Arial" w:hAnsi="Arial" w:cs="Arial"/>
          <w:lang w:eastAsia="en-GB"/>
        </w:rPr>
        <w:t xml:space="preserve">. Using this </w:t>
      </w:r>
      <w:r w:rsidR="00CA75C6">
        <w:rPr>
          <w:rFonts w:ascii="Arial" w:hAnsi="Arial" w:cs="Arial"/>
          <w:lang w:eastAsia="en-GB"/>
        </w:rPr>
        <w:t>information,</w:t>
      </w:r>
      <w:r w:rsidR="00C64AF1">
        <w:rPr>
          <w:rFonts w:ascii="Arial" w:hAnsi="Arial" w:cs="Arial"/>
          <w:lang w:eastAsia="en-GB"/>
        </w:rPr>
        <w:t xml:space="preserve"> </w:t>
      </w:r>
      <w:r w:rsidR="00C64AF1" w:rsidRPr="00C47BFC">
        <w:rPr>
          <w:rFonts w:ascii="Arial" w:hAnsi="Arial" w:cs="Arial"/>
          <w:lang w:eastAsia="en-GB"/>
        </w:rPr>
        <w:t xml:space="preserve">the traffic category for the structure </w:t>
      </w:r>
      <w:r w:rsidR="00C64AF1">
        <w:rPr>
          <w:rFonts w:ascii="Arial" w:hAnsi="Arial" w:cs="Arial"/>
          <w:lang w:eastAsia="en-GB"/>
        </w:rPr>
        <w:t>was classified as</w:t>
      </w:r>
      <w:r w:rsidR="00C64AF1" w:rsidRPr="00C47BFC">
        <w:rPr>
          <w:rFonts w:ascii="Arial" w:hAnsi="Arial" w:cs="Arial"/>
          <w:lang w:eastAsia="en-GB"/>
        </w:rPr>
        <w:t xml:space="preserve"> ‘Medium’</w:t>
      </w:r>
      <w:r w:rsidR="00C64AF1">
        <w:rPr>
          <w:rFonts w:ascii="Arial" w:hAnsi="Arial" w:cs="Arial"/>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7822"/>
      </w:tblGrid>
      <w:tr w:rsidR="00067B5D" w14:paraId="5B8E5FCE" w14:textId="77777777" w:rsidTr="006460A6">
        <w:trPr>
          <w:tblHeader/>
        </w:trPr>
        <w:tc>
          <w:tcPr>
            <w:tcW w:w="9016" w:type="dxa"/>
            <w:gridSpan w:val="2"/>
            <w:shd w:val="clear" w:color="auto" w:fill="000099"/>
          </w:tcPr>
          <w:p w14:paraId="137DC8D5" w14:textId="16EF0F7C" w:rsidR="00067B5D" w:rsidRPr="00C11494" w:rsidRDefault="00067B5D" w:rsidP="00FE4463">
            <w:pPr>
              <w:jc w:val="center"/>
              <w:rPr>
                <w:rFonts w:ascii="Arial" w:hAnsi="Arial" w:cs="Arial"/>
                <w:b/>
                <w:bCs/>
                <w:lang w:eastAsia="en-GB"/>
              </w:rPr>
            </w:pPr>
            <w:r w:rsidRPr="00C11494">
              <w:rPr>
                <w:rFonts w:ascii="Arial" w:hAnsi="Arial" w:cs="Arial"/>
                <w:b/>
                <w:bCs/>
                <w:lang w:eastAsia="en-GB"/>
              </w:rPr>
              <w:t>Traffic Category</w:t>
            </w:r>
            <w:r w:rsidR="00DC5C8D">
              <w:rPr>
                <w:rFonts w:ascii="Arial" w:hAnsi="Arial" w:cs="Arial"/>
                <w:b/>
                <w:bCs/>
                <w:lang w:eastAsia="en-GB"/>
              </w:rPr>
              <w:t xml:space="preserve"> </w:t>
            </w:r>
            <w:r w:rsidR="00DC5C8D" w:rsidRPr="00DC5C8D">
              <w:rPr>
                <w:rFonts w:ascii="Arial" w:hAnsi="Arial" w:cs="Arial"/>
                <w:b/>
                <w:bCs/>
                <w:lang w:eastAsia="en-GB"/>
              </w:rPr>
              <w:t>(CIHT, 2020)</w:t>
            </w:r>
          </w:p>
        </w:tc>
      </w:tr>
      <w:tr w:rsidR="00067B5D" w14:paraId="3C15098D" w14:textId="77777777" w:rsidTr="006460A6">
        <w:trPr>
          <w:tblHeader/>
        </w:trPr>
        <w:tc>
          <w:tcPr>
            <w:tcW w:w="1194" w:type="dxa"/>
            <w:shd w:val="clear" w:color="auto" w:fill="99CCFF"/>
          </w:tcPr>
          <w:p w14:paraId="7FFE4629" w14:textId="77777777" w:rsidR="00067B5D" w:rsidRPr="00DB0956" w:rsidRDefault="00067B5D" w:rsidP="00FE4463">
            <w:pPr>
              <w:jc w:val="center"/>
              <w:rPr>
                <w:rFonts w:ascii="Arial" w:hAnsi="Arial" w:cs="Arial"/>
                <w:b/>
                <w:bCs/>
                <w:color w:val="000099"/>
                <w:lang w:eastAsia="en-GB"/>
              </w:rPr>
            </w:pPr>
            <w:r w:rsidRPr="00DB0956">
              <w:rPr>
                <w:rFonts w:ascii="Arial" w:hAnsi="Arial" w:cs="Arial"/>
                <w:b/>
                <w:bCs/>
                <w:color w:val="000099"/>
                <w:lang w:eastAsia="en-GB"/>
              </w:rPr>
              <w:t>Category</w:t>
            </w:r>
          </w:p>
        </w:tc>
        <w:tc>
          <w:tcPr>
            <w:tcW w:w="7822" w:type="dxa"/>
            <w:shd w:val="clear" w:color="auto" w:fill="99CCFF"/>
          </w:tcPr>
          <w:p w14:paraId="58D69B6A" w14:textId="77777777" w:rsidR="00067B5D" w:rsidRPr="00DB0956" w:rsidRDefault="00067B5D" w:rsidP="00FE4463">
            <w:pPr>
              <w:jc w:val="center"/>
              <w:rPr>
                <w:rFonts w:ascii="Arial" w:hAnsi="Arial" w:cs="Arial"/>
                <w:b/>
                <w:bCs/>
                <w:color w:val="000099"/>
                <w:lang w:eastAsia="en-GB"/>
              </w:rPr>
            </w:pPr>
            <w:r w:rsidRPr="00DB0956">
              <w:rPr>
                <w:rFonts w:ascii="Arial" w:hAnsi="Arial" w:cs="Arial"/>
                <w:b/>
                <w:bCs/>
                <w:color w:val="000099"/>
                <w:lang w:eastAsia="en-GB"/>
              </w:rPr>
              <w:t>Exposure Description</w:t>
            </w:r>
          </w:p>
        </w:tc>
      </w:tr>
      <w:tr w:rsidR="00067B5D" w14:paraId="2A381C5F" w14:textId="77777777" w:rsidTr="006460A6">
        <w:tc>
          <w:tcPr>
            <w:tcW w:w="1194" w:type="dxa"/>
          </w:tcPr>
          <w:p w14:paraId="0E1C2A1C" w14:textId="77777777" w:rsidR="00067B5D" w:rsidRPr="00C11494" w:rsidRDefault="00067B5D" w:rsidP="00FE4463">
            <w:pPr>
              <w:jc w:val="center"/>
              <w:rPr>
                <w:rFonts w:ascii="Arial" w:hAnsi="Arial" w:cs="Arial"/>
                <w:b/>
                <w:bCs/>
                <w:lang w:eastAsia="en-GB"/>
              </w:rPr>
            </w:pPr>
            <w:r w:rsidRPr="00C11494">
              <w:rPr>
                <w:rFonts w:ascii="Arial" w:hAnsi="Arial" w:cs="Arial"/>
                <w:b/>
                <w:bCs/>
                <w:lang w:eastAsia="en-GB"/>
              </w:rPr>
              <w:t>High</w:t>
            </w:r>
          </w:p>
        </w:tc>
        <w:tc>
          <w:tcPr>
            <w:tcW w:w="7822" w:type="dxa"/>
          </w:tcPr>
          <w:p w14:paraId="69883D60" w14:textId="77777777" w:rsidR="00067B5D" w:rsidRPr="000B37BF" w:rsidRDefault="00067B5D" w:rsidP="00620482">
            <w:pPr>
              <w:pStyle w:val="ListParagraph"/>
              <w:numPr>
                <w:ilvl w:val="0"/>
                <w:numId w:val="5"/>
              </w:numPr>
              <w:ind w:left="446"/>
              <w:rPr>
                <w:rFonts w:ascii="Arial" w:hAnsi="Arial" w:cs="Arial"/>
                <w:lang w:eastAsia="en-GB"/>
              </w:rPr>
            </w:pPr>
            <w:r w:rsidRPr="000B37BF">
              <w:rPr>
                <w:rFonts w:ascii="Arial" w:hAnsi="Arial" w:cs="Arial"/>
                <w:lang w:eastAsia="en-GB"/>
              </w:rPr>
              <w:t>Structure or Route located at or is adjacent to features (e.g. junctions, interchange, etc.) that frequently impose obstructions to traffic flow (i.e. resulting in queuing/slow moving traffic).</w:t>
            </w:r>
          </w:p>
          <w:p w14:paraId="2AA77779" w14:textId="77777777" w:rsidR="00067B5D" w:rsidRPr="000B37BF" w:rsidRDefault="00067B5D" w:rsidP="00620482">
            <w:pPr>
              <w:pStyle w:val="ListParagraph"/>
              <w:numPr>
                <w:ilvl w:val="0"/>
                <w:numId w:val="5"/>
              </w:numPr>
              <w:ind w:left="446"/>
              <w:rPr>
                <w:rFonts w:ascii="Arial" w:hAnsi="Arial" w:cs="Arial"/>
                <w:lang w:eastAsia="en-GB"/>
              </w:rPr>
            </w:pPr>
            <w:r w:rsidRPr="000B37BF">
              <w:rPr>
                <w:rFonts w:ascii="Arial" w:hAnsi="Arial" w:cs="Arial"/>
                <w:lang w:eastAsia="en-GB"/>
              </w:rPr>
              <w:t xml:space="preserve"> Speed limit &gt;40mph, with poor horizontal and vertical alignment (e.g. uneven carriageway, located on/near a bend or gradient, etc.)</w:t>
            </w:r>
          </w:p>
          <w:p w14:paraId="759F3080" w14:textId="77777777" w:rsidR="00067B5D" w:rsidRPr="000B37BF" w:rsidRDefault="00067B5D" w:rsidP="00620482">
            <w:pPr>
              <w:pStyle w:val="ListParagraph"/>
              <w:numPr>
                <w:ilvl w:val="0"/>
                <w:numId w:val="5"/>
              </w:numPr>
              <w:ind w:left="446"/>
              <w:rPr>
                <w:rFonts w:ascii="Arial" w:hAnsi="Arial" w:cs="Arial"/>
                <w:lang w:eastAsia="en-GB"/>
              </w:rPr>
            </w:pPr>
            <w:r w:rsidRPr="000B37BF">
              <w:rPr>
                <w:rFonts w:ascii="Arial" w:hAnsi="Arial" w:cs="Arial"/>
                <w:lang w:eastAsia="en-GB"/>
              </w:rPr>
              <w:t>High Annual Average Daily Traffic (e.g. AADT &gt;25,000 vehicles)</w:t>
            </w:r>
          </w:p>
          <w:p w14:paraId="77148CA4" w14:textId="77777777" w:rsidR="00067B5D" w:rsidRPr="000B37BF" w:rsidRDefault="00067B5D" w:rsidP="00620482">
            <w:pPr>
              <w:pStyle w:val="ListParagraph"/>
              <w:numPr>
                <w:ilvl w:val="0"/>
                <w:numId w:val="5"/>
              </w:numPr>
              <w:ind w:left="446"/>
              <w:rPr>
                <w:rFonts w:ascii="Arial" w:hAnsi="Arial" w:cs="Arial"/>
                <w:lang w:eastAsia="en-GB"/>
              </w:rPr>
            </w:pPr>
            <w:r w:rsidRPr="000B37BF">
              <w:rPr>
                <w:rFonts w:ascii="Arial" w:hAnsi="Arial" w:cs="Arial"/>
                <w:lang w:eastAsia="en-GB"/>
              </w:rPr>
              <w:t>High volume of Commercial Vehicles (e.g. CV &gt;2,500 vehicles)</w:t>
            </w:r>
          </w:p>
          <w:p w14:paraId="6A647061" w14:textId="77777777" w:rsidR="00067B5D" w:rsidRPr="000B37BF" w:rsidRDefault="00067B5D" w:rsidP="00620482">
            <w:pPr>
              <w:pStyle w:val="ListParagraph"/>
              <w:numPr>
                <w:ilvl w:val="0"/>
                <w:numId w:val="5"/>
              </w:numPr>
              <w:ind w:left="446"/>
              <w:rPr>
                <w:rFonts w:ascii="Arial" w:hAnsi="Arial" w:cs="Arial"/>
                <w:lang w:eastAsia="en-GB"/>
              </w:rPr>
            </w:pPr>
            <w:r w:rsidRPr="000B37BF">
              <w:rPr>
                <w:rFonts w:ascii="Arial" w:hAnsi="Arial" w:cs="Arial"/>
                <w:lang w:eastAsia="en-GB"/>
              </w:rPr>
              <w:t>High volume of Heavy Goods Vehicles</w:t>
            </w:r>
          </w:p>
        </w:tc>
      </w:tr>
      <w:tr w:rsidR="00067B5D" w14:paraId="265AF2EF" w14:textId="77777777" w:rsidTr="006460A6">
        <w:tc>
          <w:tcPr>
            <w:tcW w:w="1194" w:type="dxa"/>
          </w:tcPr>
          <w:p w14:paraId="45A527E7" w14:textId="77777777" w:rsidR="00067B5D" w:rsidRPr="00C11494" w:rsidRDefault="00067B5D" w:rsidP="00FE4463">
            <w:pPr>
              <w:jc w:val="center"/>
              <w:rPr>
                <w:rFonts w:ascii="Arial" w:hAnsi="Arial" w:cs="Arial"/>
                <w:b/>
                <w:bCs/>
                <w:lang w:eastAsia="en-GB"/>
              </w:rPr>
            </w:pPr>
            <w:r w:rsidRPr="00C11494">
              <w:rPr>
                <w:rFonts w:ascii="Arial" w:hAnsi="Arial" w:cs="Arial"/>
                <w:b/>
                <w:bCs/>
                <w:lang w:eastAsia="en-GB"/>
              </w:rPr>
              <w:t>Moderate</w:t>
            </w:r>
          </w:p>
        </w:tc>
        <w:tc>
          <w:tcPr>
            <w:tcW w:w="7822" w:type="dxa"/>
          </w:tcPr>
          <w:p w14:paraId="6BF89604" w14:textId="77777777" w:rsidR="00067B5D" w:rsidRPr="001B4FB3" w:rsidRDefault="00067B5D" w:rsidP="00620482">
            <w:pPr>
              <w:pStyle w:val="ListParagraph"/>
              <w:numPr>
                <w:ilvl w:val="0"/>
                <w:numId w:val="5"/>
              </w:numPr>
              <w:ind w:left="446"/>
              <w:rPr>
                <w:rFonts w:ascii="Arial" w:hAnsi="Arial" w:cs="Arial"/>
                <w:lang w:eastAsia="en-GB"/>
              </w:rPr>
            </w:pPr>
            <w:r w:rsidRPr="001B4FB3">
              <w:rPr>
                <w:rFonts w:ascii="Arial" w:hAnsi="Arial" w:cs="Arial"/>
                <w:lang w:eastAsia="en-GB"/>
              </w:rPr>
              <w:t>Structure or route is located at or is or adjacent to features (e.g. junctions, interchanges, etc.) that occasionally impose obstructions to traffic flow (i.e. resulting in queuing/slow moving traffic).</w:t>
            </w:r>
          </w:p>
          <w:p w14:paraId="3AA01422" w14:textId="77777777" w:rsidR="00067B5D" w:rsidRDefault="00067B5D" w:rsidP="00620482">
            <w:pPr>
              <w:pStyle w:val="ListParagraph"/>
              <w:numPr>
                <w:ilvl w:val="0"/>
                <w:numId w:val="5"/>
              </w:numPr>
              <w:ind w:left="446"/>
              <w:rPr>
                <w:rFonts w:ascii="Arial" w:hAnsi="Arial" w:cs="Arial"/>
                <w:lang w:eastAsia="en-GB"/>
              </w:rPr>
            </w:pPr>
            <w:r w:rsidRPr="001B4FB3">
              <w:rPr>
                <w:rFonts w:ascii="Arial" w:hAnsi="Arial" w:cs="Arial"/>
                <w:lang w:eastAsia="en-GB"/>
              </w:rPr>
              <w:t>Speed limit &gt;</w:t>
            </w:r>
            <w:r>
              <w:rPr>
                <w:rFonts w:ascii="Arial" w:hAnsi="Arial" w:cs="Arial"/>
                <w:lang w:eastAsia="en-GB"/>
              </w:rPr>
              <w:t>20mph to ≤</w:t>
            </w:r>
            <w:r w:rsidRPr="001B4FB3">
              <w:rPr>
                <w:rFonts w:ascii="Arial" w:hAnsi="Arial" w:cs="Arial"/>
                <w:lang w:eastAsia="en-GB"/>
              </w:rPr>
              <w:t>40mph, with poor horizontal and vertical alignment (e.g. uneven carriageway, located on/near a bend or gradient, etc.)</w:t>
            </w:r>
          </w:p>
          <w:p w14:paraId="2A313FC8" w14:textId="77777777" w:rsidR="00067B5D" w:rsidRPr="000B37BF" w:rsidRDefault="00067B5D" w:rsidP="00620482">
            <w:pPr>
              <w:pStyle w:val="ListParagraph"/>
              <w:numPr>
                <w:ilvl w:val="0"/>
                <w:numId w:val="5"/>
              </w:numPr>
              <w:ind w:left="446"/>
              <w:rPr>
                <w:rFonts w:ascii="Arial" w:hAnsi="Arial" w:cs="Arial"/>
                <w:lang w:eastAsia="en-GB"/>
              </w:rPr>
            </w:pPr>
            <w:r>
              <w:rPr>
                <w:rFonts w:ascii="Arial" w:hAnsi="Arial" w:cs="Arial"/>
                <w:lang w:eastAsia="en-GB"/>
              </w:rPr>
              <w:t>Medium</w:t>
            </w:r>
            <w:r w:rsidRPr="000B37BF">
              <w:rPr>
                <w:rFonts w:ascii="Arial" w:hAnsi="Arial" w:cs="Arial"/>
                <w:lang w:eastAsia="en-GB"/>
              </w:rPr>
              <w:t xml:space="preserve"> Annual Average Daily Traffic (e.g. AADT &gt;</w:t>
            </w:r>
            <w:r>
              <w:rPr>
                <w:rFonts w:ascii="Arial" w:hAnsi="Arial" w:cs="Arial"/>
                <w:lang w:eastAsia="en-GB"/>
              </w:rPr>
              <w:t xml:space="preserve">10,000 to ≤ </w:t>
            </w:r>
            <w:r w:rsidRPr="000B37BF">
              <w:rPr>
                <w:rFonts w:ascii="Arial" w:hAnsi="Arial" w:cs="Arial"/>
                <w:lang w:eastAsia="en-GB"/>
              </w:rPr>
              <w:t>25,000 vehicles)</w:t>
            </w:r>
          </w:p>
          <w:p w14:paraId="3E68B6EB" w14:textId="77777777" w:rsidR="00067B5D" w:rsidRPr="000B37BF" w:rsidRDefault="00067B5D" w:rsidP="00620482">
            <w:pPr>
              <w:pStyle w:val="ListParagraph"/>
              <w:numPr>
                <w:ilvl w:val="0"/>
                <w:numId w:val="5"/>
              </w:numPr>
              <w:ind w:left="446"/>
              <w:rPr>
                <w:rFonts w:ascii="Arial" w:hAnsi="Arial" w:cs="Arial"/>
                <w:lang w:eastAsia="en-GB"/>
              </w:rPr>
            </w:pPr>
            <w:r>
              <w:rPr>
                <w:rFonts w:ascii="Arial" w:hAnsi="Arial" w:cs="Arial"/>
                <w:lang w:eastAsia="en-GB"/>
              </w:rPr>
              <w:t>Medium</w:t>
            </w:r>
            <w:r w:rsidRPr="000B37BF">
              <w:rPr>
                <w:rFonts w:ascii="Arial" w:hAnsi="Arial" w:cs="Arial"/>
                <w:lang w:eastAsia="en-GB"/>
              </w:rPr>
              <w:t xml:space="preserve"> volume of Commercial Vehicles (e.g. CV &gt;</w:t>
            </w:r>
            <w:r>
              <w:rPr>
                <w:rFonts w:ascii="Arial" w:hAnsi="Arial" w:cs="Arial"/>
                <w:lang w:eastAsia="en-GB"/>
              </w:rPr>
              <w:t xml:space="preserve">1,000 to ≤ </w:t>
            </w:r>
            <w:r w:rsidRPr="000B37BF">
              <w:rPr>
                <w:rFonts w:ascii="Arial" w:hAnsi="Arial" w:cs="Arial"/>
                <w:lang w:eastAsia="en-GB"/>
              </w:rPr>
              <w:t>2,500 vehicles)</w:t>
            </w:r>
          </w:p>
          <w:p w14:paraId="3804AC83" w14:textId="4D3EF232" w:rsidR="00067B5D" w:rsidRPr="000B37BF" w:rsidRDefault="00067B5D" w:rsidP="00C87FA3">
            <w:pPr>
              <w:pStyle w:val="ListParagraph"/>
              <w:numPr>
                <w:ilvl w:val="0"/>
                <w:numId w:val="5"/>
              </w:numPr>
              <w:ind w:left="446"/>
              <w:rPr>
                <w:rFonts w:ascii="Arial" w:hAnsi="Arial" w:cs="Arial"/>
                <w:lang w:eastAsia="en-GB"/>
              </w:rPr>
            </w:pPr>
            <w:r>
              <w:rPr>
                <w:rFonts w:ascii="Arial" w:hAnsi="Arial" w:cs="Arial"/>
                <w:lang w:eastAsia="en-GB"/>
              </w:rPr>
              <w:t>Medium</w:t>
            </w:r>
            <w:r w:rsidRPr="000B37BF">
              <w:rPr>
                <w:rFonts w:ascii="Arial" w:hAnsi="Arial" w:cs="Arial"/>
                <w:lang w:eastAsia="en-GB"/>
              </w:rPr>
              <w:t xml:space="preserve"> volume of Heavy Goods Vehicles</w:t>
            </w:r>
          </w:p>
        </w:tc>
      </w:tr>
      <w:tr w:rsidR="00067B5D" w14:paraId="61100ED3" w14:textId="77777777" w:rsidTr="006460A6">
        <w:tc>
          <w:tcPr>
            <w:tcW w:w="1194" w:type="dxa"/>
          </w:tcPr>
          <w:p w14:paraId="0A269065" w14:textId="77777777" w:rsidR="00067B5D" w:rsidRPr="00C11494" w:rsidRDefault="00067B5D" w:rsidP="00FE4463">
            <w:pPr>
              <w:jc w:val="center"/>
              <w:rPr>
                <w:rFonts w:ascii="Arial" w:hAnsi="Arial" w:cs="Arial"/>
                <w:b/>
                <w:bCs/>
                <w:lang w:eastAsia="en-GB"/>
              </w:rPr>
            </w:pPr>
            <w:r w:rsidRPr="00C11494">
              <w:rPr>
                <w:rFonts w:ascii="Arial" w:hAnsi="Arial" w:cs="Arial"/>
                <w:b/>
                <w:bCs/>
                <w:lang w:eastAsia="en-GB"/>
              </w:rPr>
              <w:t>Low</w:t>
            </w:r>
          </w:p>
        </w:tc>
        <w:tc>
          <w:tcPr>
            <w:tcW w:w="7822" w:type="dxa"/>
          </w:tcPr>
          <w:p w14:paraId="047E36CE" w14:textId="77777777" w:rsidR="00067B5D" w:rsidRDefault="00067B5D" w:rsidP="00FE4463">
            <w:pPr>
              <w:rPr>
                <w:rFonts w:ascii="Arial" w:hAnsi="Arial" w:cs="Arial"/>
                <w:lang w:eastAsia="en-GB"/>
              </w:rPr>
            </w:pPr>
            <w:r w:rsidRPr="001B4FB3">
              <w:rPr>
                <w:rFonts w:ascii="Arial" w:hAnsi="Arial" w:cs="Arial"/>
                <w:lang w:eastAsia="en-GB"/>
              </w:rPr>
              <w:t>Structure or route</w:t>
            </w:r>
            <w:r>
              <w:rPr>
                <w:rFonts w:ascii="Arial" w:hAnsi="Arial" w:cs="Arial"/>
                <w:lang w:eastAsia="en-GB"/>
              </w:rPr>
              <w:t xml:space="preserve"> or</w:t>
            </w:r>
            <w:r w:rsidRPr="001B4FB3">
              <w:rPr>
                <w:rFonts w:ascii="Arial" w:hAnsi="Arial" w:cs="Arial"/>
                <w:lang w:eastAsia="en-GB"/>
              </w:rPr>
              <w:t xml:space="preserve"> is </w:t>
            </w:r>
            <w:r>
              <w:rPr>
                <w:rFonts w:ascii="Arial" w:hAnsi="Arial" w:cs="Arial"/>
                <w:lang w:eastAsia="en-GB"/>
              </w:rPr>
              <w:t>adjacent to features do not impose obstructions to traffic flow</w:t>
            </w:r>
          </w:p>
          <w:p w14:paraId="79093494" w14:textId="77777777" w:rsidR="00067B5D" w:rsidRDefault="00067B5D" w:rsidP="00620482">
            <w:pPr>
              <w:pStyle w:val="ListParagraph"/>
              <w:numPr>
                <w:ilvl w:val="0"/>
                <w:numId w:val="5"/>
              </w:numPr>
              <w:ind w:left="446"/>
              <w:rPr>
                <w:rFonts w:ascii="Arial" w:hAnsi="Arial" w:cs="Arial"/>
                <w:lang w:eastAsia="en-GB"/>
              </w:rPr>
            </w:pPr>
            <w:r w:rsidRPr="001B4FB3">
              <w:rPr>
                <w:rFonts w:ascii="Arial" w:hAnsi="Arial" w:cs="Arial"/>
                <w:lang w:eastAsia="en-GB"/>
              </w:rPr>
              <w:t xml:space="preserve">Speed limit </w:t>
            </w:r>
            <w:r>
              <w:rPr>
                <w:rFonts w:ascii="Arial" w:hAnsi="Arial" w:cs="Arial"/>
                <w:lang w:eastAsia="en-GB"/>
              </w:rPr>
              <w:t>≤ 20mph</w:t>
            </w:r>
            <w:r w:rsidRPr="001B4FB3">
              <w:rPr>
                <w:rFonts w:ascii="Arial" w:hAnsi="Arial" w:cs="Arial"/>
                <w:lang w:eastAsia="en-GB"/>
              </w:rPr>
              <w:t xml:space="preserve">, with </w:t>
            </w:r>
            <w:r>
              <w:rPr>
                <w:rFonts w:ascii="Arial" w:hAnsi="Arial" w:cs="Arial"/>
                <w:lang w:eastAsia="en-GB"/>
              </w:rPr>
              <w:t>good</w:t>
            </w:r>
            <w:r w:rsidRPr="001B4FB3">
              <w:rPr>
                <w:rFonts w:ascii="Arial" w:hAnsi="Arial" w:cs="Arial"/>
                <w:lang w:eastAsia="en-GB"/>
              </w:rPr>
              <w:t xml:space="preserve"> horizontal and vertical alignment (e.g. even carriageway, </w:t>
            </w:r>
            <w:r>
              <w:rPr>
                <w:rFonts w:ascii="Arial" w:hAnsi="Arial" w:cs="Arial"/>
                <w:lang w:eastAsia="en-GB"/>
              </w:rPr>
              <w:t>level and straight stretch route).</w:t>
            </w:r>
          </w:p>
          <w:p w14:paraId="7133175C" w14:textId="77777777" w:rsidR="00067B5D" w:rsidRPr="000B37BF" w:rsidRDefault="00067B5D" w:rsidP="00620482">
            <w:pPr>
              <w:pStyle w:val="ListParagraph"/>
              <w:numPr>
                <w:ilvl w:val="0"/>
                <w:numId w:val="5"/>
              </w:numPr>
              <w:ind w:left="446"/>
              <w:rPr>
                <w:rFonts w:ascii="Arial" w:hAnsi="Arial" w:cs="Arial"/>
                <w:lang w:eastAsia="en-GB"/>
              </w:rPr>
            </w:pPr>
            <w:r>
              <w:rPr>
                <w:rFonts w:ascii="Arial" w:hAnsi="Arial" w:cs="Arial"/>
                <w:lang w:eastAsia="en-GB"/>
              </w:rPr>
              <w:t>Low</w:t>
            </w:r>
            <w:r w:rsidRPr="000B37BF">
              <w:rPr>
                <w:rFonts w:ascii="Arial" w:hAnsi="Arial" w:cs="Arial"/>
                <w:lang w:eastAsia="en-GB"/>
              </w:rPr>
              <w:t xml:space="preserve"> Annual Average Daily Traffic (e.g. AADT </w:t>
            </w:r>
            <w:r>
              <w:rPr>
                <w:rFonts w:ascii="Arial" w:hAnsi="Arial" w:cs="Arial"/>
                <w:lang w:eastAsia="en-GB"/>
              </w:rPr>
              <w:t>≤ 10</w:t>
            </w:r>
            <w:r w:rsidRPr="000B37BF">
              <w:rPr>
                <w:rFonts w:ascii="Arial" w:hAnsi="Arial" w:cs="Arial"/>
                <w:lang w:eastAsia="en-GB"/>
              </w:rPr>
              <w:t>,000 vehicles)</w:t>
            </w:r>
          </w:p>
          <w:p w14:paraId="50141F87" w14:textId="77777777" w:rsidR="00067B5D" w:rsidRPr="000B37BF" w:rsidRDefault="00067B5D" w:rsidP="00620482">
            <w:pPr>
              <w:pStyle w:val="ListParagraph"/>
              <w:numPr>
                <w:ilvl w:val="0"/>
                <w:numId w:val="5"/>
              </w:numPr>
              <w:ind w:left="446"/>
              <w:rPr>
                <w:rFonts w:ascii="Arial" w:hAnsi="Arial" w:cs="Arial"/>
                <w:lang w:eastAsia="en-GB"/>
              </w:rPr>
            </w:pPr>
            <w:r>
              <w:rPr>
                <w:rFonts w:ascii="Arial" w:hAnsi="Arial" w:cs="Arial"/>
                <w:lang w:eastAsia="en-GB"/>
              </w:rPr>
              <w:t>Low</w:t>
            </w:r>
            <w:r w:rsidRPr="000B37BF">
              <w:rPr>
                <w:rFonts w:ascii="Arial" w:hAnsi="Arial" w:cs="Arial"/>
                <w:lang w:eastAsia="en-GB"/>
              </w:rPr>
              <w:t xml:space="preserve"> volume of Commercial Vehicles (e.g. CV </w:t>
            </w:r>
            <w:r>
              <w:rPr>
                <w:rFonts w:ascii="Arial" w:hAnsi="Arial" w:cs="Arial"/>
                <w:lang w:eastAsia="en-GB"/>
              </w:rPr>
              <w:t>≤ 1</w:t>
            </w:r>
            <w:r w:rsidRPr="000B37BF">
              <w:rPr>
                <w:rFonts w:ascii="Arial" w:hAnsi="Arial" w:cs="Arial"/>
                <w:lang w:eastAsia="en-GB"/>
              </w:rPr>
              <w:t>,</w:t>
            </w:r>
            <w:r>
              <w:rPr>
                <w:rFonts w:ascii="Arial" w:hAnsi="Arial" w:cs="Arial"/>
                <w:lang w:eastAsia="en-GB"/>
              </w:rPr>
              <w:t>0</w:t>
            </w:r>
            <w:r w:rsidRPr="000B37BF">
              <w:rPr>
                <w:rFonts w:ascii="Arial" w:hAnsi="Arial" w:cs="Arial"/>
                <w:lang w:eastAsia="en-GB"/>
              </w:rPr>
              <w:t>00 vehicles)</w:t>
            </w:r>
          </w:p>
          <w:p w14:paraId="3D5E2DCE" w14:textId="62C53192" w:rsidR="00067B5D" w:rsidRPr="000B37BF" w:rsidRDefault="00067B5D" w:rsidP="00C87FA3">
            <w:pPr>
              <w:pStyle w:val="ListParagraph"/>
              <w:numPr>
                <w:ilvl w:val="0"/>
                <w:numId w:val="5"/>
              </w:numPr>
              <w:ind w:left="446"/>
              <w:rPr>
                <w:rFonts w:ascii="Arial" w:hAnsi="Arial" w:cs="Arial"/>
                <w:lang w:eastAsia="en-GB"/>
              </w:rPr>
            </w:pPr>
            <w:r w:rsidRPr="00C11494">
              <w:rPr>
                <w:rFonts w:ascii="Arial" w:hAnsi="Arial" w:cs="Arial"/>
                <w:lang w:eastAsia="en-GB"/>
              </w:rPr>
              <w:t>Low volume of Heavy Goods Vehicles</w:t>
            </w:r>
          </w:p>
        </w:tc>
      </w:tr>
      <w:tr w:rsidR="006460A6" w14:paraId="7383DA39" w14:textId="77777777" w:rsidTr="003669EF">
        <w:tc>
          <w:tcPr>
            <w:tcW w:w="9016" w:type="dxa"/>
            <w:gridSpan w:val="2"/>
          </w:tcPr>
          <w:p w14:paraId="30CE4041" w14:textId="28A8D763" w:rsidR="006460A6" w:rsidRPr="001B4FB3" w:rsidRDefault="006460A6" w:rsidP="006460A6">
            <w:pPr>
              <w:rPr>
                <w:rFonts w:ascii="Arial" w:hAnsi="Arial" w:cs="Arial"/>
                <w:lang w:eastAsia="en-GB"/>
              </w:rPr>
            </w:pPr>
            <w:r w:rsidRPr="008E5D4B">
              <w:rPr>
                <w:rFonts w:ascii="Arial" w:hAnsi="Arial" w:cs="Arial"/>
                <w:b/>
                <w:bCs/>
                <w:lang w:eastAsia="en-GB"/>
              </w:rPr>
              <w:t>Note:</w:t>
            </w:r>
            <w:r w:rsidRPr="00C057EA">
              <w:rPr>
                <w:rFonts w:ascii="Arial" w:hAnsi="Arial" w:cs="Arial"/>
                <w:lang w:eastAsia="en-GB"/>
              </w:rPr>
              <w:t xml:space="preserve"> it is considered that the traffic category would be influenced by the frequency , speed and concentration of traffic flows (especially HGV’s) and would be dependent on the location, e.g. rural, urban, etc. </w:t>
            </w:r>
          </w:p>
        </w:tc>
      </w:tr>
    </w:tbl>
    <w:p w14:paraId="219A0DF9" w14:textId="163E249F" w:rsidR="006460A6" w:rsidRDefault="006460A6" w:rsidP="007E69C5">
      <w:pPr>
        <w:pStyle w:val="Caption"/>
        <w:jc w:val="center"/>
        <w:rPr>
          <w:lang w:eastAsia="en-GB"/>
        </w:rPr>
      </w:pPr>
      <w:bookmarkStart w:id="104" w:name="_Toc66868991"/>
      <w:r w:rsidRPr="006460A6">
        <w:rPr>
          <w:rFonts w:ascii="Arial" w:hAnsi="Arial" w:cs="Arial"/>
          <w:sz w:val="22"/>
          <w:szCs w:val="22"/>
        </w:rPr>
        <w:t xml:space="preserve">Table </w:t>
      </w:r>
      <w:r w:rsidRPr="006460A6">
        <w:rPr>
          <w:rFonts w:ascii="Arial" w:hAnsi="Arial" w:cs="Arial"/>
          <w:sz w:val="22"/>
          <w:szCs w:val="22"/>
        </w:rPr>
        <w:fldChar w:fldCharType="begin"/>
      </w:r>
      <w:r w:rsidRPr="006460A6">
        <w:rPr>
          <w:rFonts w:ascii="Arial" w:hAnsi="Arial" w:cs="Arial"/>
          <w:sz w:val="22"/>
          <w:szCs w:val="22"/>
        </w:rPr>
        <w:instrText xml:space="preserve"> SEQ Table \* ARABIC </w:instrText>
      </w:r>
      <w:r w:rsidRPr="006460A6">
        <w:rPr>
          <w:rFonts w:ascii="Arial" w:hAnsi="Arial" w:cs="Arial"/>
          <w:sz w:val="22"/>
          <w:szCs w:val="22"/>
        </w:rPr>
        <w:fldChar w:fldCharType="separate"/>
      </w:r>
      <w:r w:rsidR="00B97B5D">
        <w:rPr>
          <w:rFonts w:ascii="Arial" w:hAnsi="Arial" w:cs="Arial"/>
          <w:noProof/>
          <w:sz w:val="22"/>
          <w:szCs w:val="22"/>
        </w:rPr>
        <w:t>7</w:t>
      </w:r>
      <w:r w:rsidRPr="006460A6">
        <w:rPr>
          <w:rFonts w:ascii="Arial" w:hAnsi="Arial" w:cs="Arial"/>
          <w:sz w:val="22"/>
          <w:szCs w:val="22"/>
        </w:rPr>
        <w:fldChar w:fldCharType="end"/>
      </w:r>
      <w:r w:rsidRPr="006460A6">
        <w:rPr>
          <w:rFonts w:ascii="Arial" w:hAnsi="Arial" w:cs="Arial"/>
          <w:sz w:val="22"/>
          <w:szCs w:val="22"/>
        </w:rPr>
        <w:t xml:space="preserve"> - Traffic Category</w:t>
      </w:r>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253"/>
        <w:gridCol w:w="1268"/>
        <w:gridCol w:w="1621"/>
        <w:gridCol w:w="602"/>
        <w:gridCol w:w="619"/>
        <w:gridCol w:w="1498"/>
      </w:tblGrid>
      <w:tr w:rsidR="00524C0F" w:rsidRPr="00871984" w14:paraId="33C9876C" w14:textId="77777777" w:rsidTr="00772E45">
        <w:trPr>
          <w:cantSplit/>
          <w:trHeight w:val="274"/>
        </w:trPr>
        <w:tc>
          <w:tcPr>
            <w:tcW w:w="5000" w:type="pct"/>
            <w:gridSpan w:val="7"/>
            <w:shd w:val="clear" w:color="auto" w:fill="000099"/>
            <w:noWrap/>
            <w:vAlign w:val="bottom"/>
          </w:tcPr>
          <w:p w14:paraId="163CC11F" w14:textId="5AD762AD" w:rsidR="00524C0F" w:rsidRPr="00871984" w:rsidRDefault="00524C0F" w:rsidP="00F8521F">
            <w:pPr>
              <w:spacing w:after="0" w:line="240" w:lineRule="auto"/>
              <w:jc w:val="center"/>
              <w:rPr>
                <w:rFonts w:ascii="Arial" w:eastAsia="Times New Roman" w:hAnsi="Arial" w:cs="Arial"/>
                <w:b/>
                <w:bCs/>
                <w:color w:val="000000"/>
                <w:lang w:eastAsia="en-GB"/>
              </w:rPr>
            </w:pPr>
            <w:r w:rsidRPr="00F8521F">
              <w:rPr>
                <w:rFonts w:ascii="Arial" w:eastAsia="Times New Roman" w:hAnsi="Arial" w:cs="Arial"/>
                <w:b/>
                <w:bCs/>
                <w:color w:val="FFFFFF" w:themeColor="background1"/>
                <w:lang w:eastAsia="en-GB"/>
              </w:rPr>
              <w:t>AADT</w:t>
            </w:r>
          </w:p>
        </w:tc>
      </w:tr>
      <w:tr w:rsidR="00772E45" w:rsidRPr="00871984" w14:paraId="382F9A54" w14:textId="77777777" w:rsidTr="004B1243">
        <w:trPr>
          <w:cantSplit/>
          <w:trHeight w:val="419"/>
        </w:trPr>
        <w:tc>
          <w:tcPr>
            <w:tcW w:w="641" w:type="pct"/>
            <w:shd w:val="clear" w:color="auto" w:fill="99CCFF"/>
            <w:noWrap/>
            <w:vAlign w:val="bottom"/>
            <w:hideMark/>
          </w:tcPr>
          <w:p w14:paraId="4BA0D29D" w14:textId="77777777" w:rsidR="008802C9" w:rsidRPr="00F8521F" w:rsidRDefault="008802C9" w:rsidP="00772E45">
            <w:pPr>
              <w:spacing w:after="0" w:line="240" w:lineRule="auto"/>
              <w:ind w:right="41"/>
              <w:jc w:val="center"/>
              <w:rPr>
                <w:rFonts w:ascii="Arial" w:eastAsia="Times New Roman" w:hAnsi="Arial" w:cs="Arial"/>
                <w:b/>
                <w:bCs/>
                <w:color w:val="000099"/>
                <w:lang w:eastAsia="en-GB"/>
              </w:rPr>
            </w:pPr>
            <w:r w:rsidRPr="00F8521F">
              <w:rPr>
                <w:rFonts w:ascii="Arial" w:eastAsia="Times New Roman" w:hAnsi="Arial" w:cs="Arial"/>
                <w:b/>
                <w:bCs/>
                <w:color w:val="000099"/>
                <w:lang w:eastAsia="en-GB"/>
              </w:rPr>
              <w:t>Pedal Cycles</w:t>
            </w:r>
          </w:p>
        </w:tc>
        <w:tc>
          <w:tcPr>
            <w:tcW w:w="1249" w:type="pct"/>
            <w:shd w:val="clear" w:color="auto" w:fill="99CCFF"/>
            <w:noWrap/>
            <w:vAlign w:val="bottom"/>
            <w:hideMark/>
          </w:tcPr>
          <w:p w14:paraId="73BCA0AE" w14:textId="77777777" w:rsidR="008802C9" w:rsidRPr="00F8521F" w:rsidRDefault="008802C9" w:rsidP="00772E45">
            <w:pPr>
              <w:spacing w:after="0" w:line="240" w:lineRule="auto"/>
              <w:jc w:val="center"/>
              <w:rPr>
                <w:rFonts w:ascii="Arial" w:eastAsia="Times New Roman" w:hAnsi="Arial" w:cs="Arial"/>
                <w:b/>
                <w:bCs/>
                <w:color w:val="000099"/>
                <w:lang w:eastAsia="en-GB"/>
              </w:rPr>
            </w:pPr>
            <w:r w:rsidRPr="00F8521F">
              <w:rPr>
                <w:rFonts w:ascii="Arial" w:eastAsia="Times New Roman" w:hAnsi="Arial" w:cs="Arial"/>
                <w:b/>
                <w:bCs/>
                <w:color w:val="000099"/>
                <w:lang w:eastAsia="en-GB"/>
              </w:rPr>
              <w:t>Two Wheeled Motor Vehicles</w:t>
            </w:r>
          </w:p>
        </w:tc>
        <w:tc>
          <w:tcPr>
            <w:tcW w:w="703" w:type="pct"/>
            <w:shd w:val="clear" w:color="auto" w:fill="99CCFF"/>
            <w:noWrap/>
            <w:vAlign w:val="bottom"/>
            <w:hideMark/>
          </w:tcPr>
          <w:p w14:paraId="266D36A3" w14:textId="77777777" w:rsidR="008802C9" w:rsidRPr="00F8521F" w:rsidRDefault="008802C9" w:rsidP="00772E45">
            <w:pPr>
              <w:spacing w:after="0" w:line="240" w:lineRule="auto"/>
              <w:jc w:val="center"/>
              <w:rPr>
                <w:rFonts w:ascii="Arial" w:eastAsia="Times New Roman" w:hAnsi="Arial" w:cs="Arial"/>
                <w:b/>
                <w:bCs/>
                <w:color w:val="000099"/>
                <w:lang w:eastAsia="en-GB"/>
              </w:rPr>
            </w:pPr>
            <w:r w:rsidRPr="00F8521F">
              <w:rPr>
                <w:rFonts w:ascii="Arial" w:eastAsia="Times New Roman" w:hAnsi="Arial" w:cs="Arial"/>
                <w:b/>
                <w:bCs/>
                <w:color w:val="000099"/>
                <w:lang w:eastAsia="en-GB"/>
              </w:rPr>
              <w:t>Cars and Taxis</w:t>
            </w:r>
          </w:p>
        </w:tc>
        <w:tc>
          <w:tcPr>
            <w:tcW w:w="899" w:type="pct"/>
            <w:shd w:val="clear" w:color="auto" w:fill="99CCFF"/>
            <w:noWrap/>
            <w:vAlign w:val="bottom"/>
            <w:hideMark/>
          </w:tcPr>
          <w:p w14:paraId="46D5D5C5" w14:textId="77777777" w:rsidR="008802C9" w:rsidRPr="00F8521F" w:rsidRDefault="008802C9" w:rsidP="00772E45">
            <w:pPr>
              <w:spacing w:after="0" w:line="240" w:lineRule="auto"/>
              <w:jc w:val="center"/>
              <w:rPr>
                <w:rFonts w:ascii="Arial" w:eastAsia="Times New Roman" w:hAnsi="Arial" w:cs="Arial"/>
                <w:b/>
                <w:bCs/>
                <w:color w:val="000099"/>
                <w:lang w:eastAsia="en-GB"/>
              </w:rPr>
            </w:pPr>
            <w:r w:rsidRPr="00F8521F">
              <w:rPr>
                <w:rFonts w:ascii="Arial" w:eastAsia="Times New Roman" w:hAnsi="Arial" w:cs="Arial"/>
                <w:b/>
                <w:bCs/>
                <w:color w:val="000099"/>
                <w:lang w:eastAsia="en-GB"/>
              </w:rPr>
              <w:t>Buses and Coaches</w:t>
            </w:r>
          </w:p>
        </w:tc>
        <w:tc>
          <w:tcPr>
            <w:tcW w:w="334" w:type="pct"/>
            <w:shd w:val="clear" w:color="auto" w:fill="99CCFF"/>
            <w:noWrap/>
            <w:vAlign w:val="bottom"/>
            <w:hideMark/>
          </w:tcPr>
          <w:p w14:paraId="1476B625" w14:textId="77777777" w:rsidR="008802C9" w:rsidRPr="00F8521F" w:rsidRDefault="008802C9" w:rsidP="00772E45">
            <w:pPr>
              <w:spacing w:after="0" w:line="240" w:lineRule="auto"/>
              <w:jc w:val="center"/>
              <w:rPr>
                <w:rFonts w:ascii="Arial" w:eastAsia="Times New Roman" w:hAnsi="Arial" w:cs="Arial"/>
                <w:b/>
                <w:bCs/>
                <w:color w:val="000099"/>
                <w:lang w:eastAsia="en-GB"/>
              </w:rPr>
            </w:pPr>
            <w:r w:rsidRPr="00F8521F">
              <w:rPr>
                <w:rFonts w:ascii="Arial" w:eastAsia="Times New Roman" w:hAnsi="Arial" w:cs="Arial"/>
                <w:b/>
                <w:bCs/>
                <w:color w:val="000099"/>
                <w:lang w:eastAsia="en-GB"/>
              </w:rPr>
              <w:t>LGVs</w:t>
            </w:r>
          </w:p>
        </w:tc>
        <w:tc>
          <w:tcPr>
            <w:tcW w:w="343" w:type="pct"/>
            <w:shd w:val="clear" w:color="auto" w:fill="99CCFF"/>
            <w:noWrap/>
            <w:vAlign w:val="bottom"/>
            <w:hideMark/>
          </w:tcPr>
          <w:p w14:paraId="5DAA8378" w14:textId="71A48B3C" w:rsidR="008802C9" w:rsidRPr="00F8521F" w:rsidRDefault="008802C9" w:rsidP="00772E45">
            <w:pPr>
              <w:spacing w:after="0" w:line="240" w:lineRule="auto"/>
              <w:jc w:val="center"/>
              <w:rPr>
                <w:rFonts w:ascii="Arial" w:eastAsia="Times New Roman" w:hAnsi="Arial" w:cs="Arial"/>
                <w:b/>
                <w:bCs/>
                <w:color w:val="000099"/>
                <w:lang w:eastAsia="en-GB"/>
              </w:rPr>
            </w:pPr>
            <w:r w:rsidRPr="00F8521F">
              <w:rPr>
                <w:rFonts w:ascii="Arial" w:eastAsia="Times New Roman" w:hAnsi="Arial" w:cs="Arial"/>
                <w:b/>
                <w:bCs/>
                <w:color w:val="000099"/>
                <w:lang w:eastAsia="en-GB"/>
              </w:rPr>
              <w:t>HGVs</w:t>
            </w:r>
          </w:p>
        </w:tc>
        <w:tc>
          <w:tcPr>
            <w:tcW w:w="831" w:type="pct"/>
            <w:shd w:val="clear" w:color="auto" w:fill="99CCFF"/>
            <w:noWrap/>
            <w:vAlign w:val="bottom"/>
            <w:hideMark/>
          </w:tcPr>
          <w:p w14:paraId="71828B86" w14:textId="77777777" w:rsidR="008802C9" w:rsidRPr="00F8521F" w:rsidRDefault="008802C9" w:rsidP="00772E45">
            <w:pPr>
              <w:spacing w:after="0" w:line="240" w:lineRule="auto"/>
              <w:jc w:val="center"/>
              <w:rPr>
                <w:rFonts w:ascii="Arial" w:eastAsia="Times New Roman" w:hAnsi="Arial" w:cs="Arial"/>
                <w:b/>
                <w:bCs/>
                <w:color w:val="000099"/>
                <w:lang w:eastAsia="en-GB"/>
              </w:rPr>
            </w:pPr>
            <w:r w:rsidRPr="00F8521F">
              <w:rPr>
                <w:rFonts w:ascii="Arial" w:eastAsia="Times New Roman" w:hAnsi="Arial" w:cs="Arial"/>
                <w:b/>
                <w:bCs/>
                <w:color w:val="000099"/>
                <w:lang w:eastAsia="en-GB"/>
              </w:rPr>
              <w:t>All Motor Vehicles</w:t>
            </w:r>
          </w:p>
        </w:tc>
      </w:tr>
      <w:tr w:rsidR="00772E45" w:rsidRPr="00871984" w14:paraId="440F67F9" w14:textId="77777777" w:rsidTr="004B1243">
        <w:trPr>
          <w:trHeight w:val="300"/>
        </w:trPr>
        <w:tc>
          <w:tcPr>
            <w:tcW w:w="641" w:type="pct"/>
            <w:shd w:val="clear" w:color="auto" w:fill="auto"/>
            <w:noWrap/>
            <w:vAlign w:val="bottom"/>
            <w:hideMark/>
          </w:tcPr>
          <w:p w14:paraId="15404BBB" w14:textId="2359B8A3" w:rsidR="00524C0F" w:rsidRPr="00871984" w:rsidRDefault="00524C0F" w:rsidP="00772E45">
            <w:pPr>
              <w:spacing w:after="0" w:line="240" w:lineRule="auto"/>
              <w:ind w:right="41"/>
              <w:jc w:val="center"/>
              <w:rPr>
                <w:rFonts w:ascii="Arial" w:eastAsia="Times New Roman" w:hAnsi="Arial" w:cs="Arial"/>
                <w:color w:val="000000"/>
                <w:lang w:eastAsia="en-GB"/>
              </w:rPr>
            </w:pPr>
            <w:r>
              <w:rPr>
                <w:rFonts w:ascii="Arial" w:eastAsia="Times New Roman" w:hAnsi="Arial" w:cs="Arial"/>
                <w:color w:val="000000"/>
                <w:lang w:eastAsia="en-GB"/>
              </w:rPr>
              <w:t>132</w:t>
            </w:r>
          </w:p>
        </w:tc>
        <w:tc>
          <w:tcPr>
            <w:tcW w:w="1249" w:type="pct"/>
            <w:shd w:val="clear" w:color="auto" w:fill="auto"/>
            <w:noWrap/>
            <w:vAlign w:val="bottom"/>
            <w:hideMark/>
          </w:tcPr>
          <w:p w14:paraId="5EA5F5C9" w14:textId="1B32BA6D" w:rsidR="00524C0F" w:rsidRPr="00871984" w:rsidRDefault="0024199A" w:rsidP="00772E45">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w:t>
            </w:r>
            <w:r w:rsidR="00524C0F">
              <w:rPr>
                <w:rFonts w:ascii="Arial" w:eastAsia="Times New Roman" w:hAnsi="Arial" w:cs="Arial"/>
                <w:color w:val="000000"/>
                <w:lang w:eastAsia="en-GB"/>
              </w:rPr>
              <w:t>55</w:t>
            </w:r>
          </w:p>
        </w:tc>
        <w:tc>
          <w:tcPr>
            <w:tcW w:w="703" w:type="pct"/>
            <w:shd w:val="clear" w:color="auto" w:fill="auto"/>
            <w:noWrap/>
            <w:vAlign w:val="bottom"/>
            <w:hideMark/>
          </w:tcPr>
          <w:p w14:paraId="1FD30A58" w14:textId="46BC61AB" w:rsidR="00524C0F" w:rsidRPr="00871984" w:rsidRDefault="00524C0F" w:rsidP="00772E45">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w:t>
            </w:r>
            <w:r w:rsidR="00772E45">
              <w:rPr>
                <w:rFonts w:ascii="Arial" w:eastAsia="Times New Roman" w:hAnsi="Arial" w:cs="Arial"/>
                <w:color w:val="000000"/>
                <w:lang w:eastAsia="en-GB"/>
              </w:rPr>
              <w:t>1</w:t>
            </w:r>
            <w:r w:rsidR="00BF23CA">
              <w:rPr>
                <w:rFonts w:ascii="Arial" w:eastAsia="Times New Roman" w:hAnsi="Arial" w:cs="Arial"/>
                <w:color w:val="000000"/>
                <w:lang w:eastAsia="en-GB"/>
              </w:rPr>
              <w:t>548</w:t>
            </w:r>
          </w:p>
        </w:tc>
        <w:tc>
          <w:tcPr>
            <w:tcW w:w="899" w:type="pct"/>
            <w:shd w:val="clear" w:color="auto" w:fill="auto"/>
            <w:noWrap/>
            <w:vAlign w:val="bottom"/>
            <w:hideMark/>
          </w:tcPr>
          <w:p w14:paraId="7E40A223" w14:textId="21428692" w:rsidR="00524C0F" w:rsidRPr="00871984" w:rsidRDefault="00524C0F" w:rsidP="00772E45">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52</w:t>
            </w:r>
          </w:p>
        </w:tc>
        <w:tc>
          <w:tcPr>
            <w:tcW w:w="334" w:type="pct"/>
            <w:shd w:val="clear" w:color="auto" w:fill="auto"/>
            <w:noWrap/>
            <w:vAlign w:val="bottom"/>
            <w:hideMark/>
          </w:tcPr>
          <w:p w14:paraId="1099268F" w14:textId="67941DE6" w:rsidR="00524C0F" w:rsidRPr="00871984" w:rsidRDefault="000D00F5" w:rsidP="00772E45">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w:t>
            </w:r>
            <w:r w:rsidR="00524C0F">
              <w:rPr>
                <w:rFonts w:ascii="Arial" w:eastAsia="Times New Roman" w:hAnsi="Arial" w:cs="Arial"/>
                <w:color w:val="000000"/>
                <w:lang w:eastAsia="en-GB"/>
              </w:rPr>
              <w:t>512</w:t>
            </w:r>
          </w:p>
        </w:tc>
        <w:tc>
          <w:tcPr>
            <w:tcW w:w="343" w:type="pct"/>
            <w:shd w:val="clear" w:color="auto" w:fill="auto"/>
            <w:noWrap/>
            <w:vAlign w:val="bottom"/>
            <w:hideMark/>
          </w:tcPr>
          <w:p w14:paraId="6935BE0B" w14:textId="1316CD28" w:rsidR="00524C0F" w:rsidRPr="00871984" w:rsidRDefault="00306062" w:rsidP="00772E45">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4</w:t>
            </w:r>
            <w:r w:rsidR="00524C0F">
              <w:rPr>
                <w:rFonts w:ascii="Arial" w:eastAsia="Times New Roman" w:hAnsi="Arial" w:cs="Arial"/>
                <w:color w:val="000000"/>
                <w:lang w:eastAsia="en-GB"/>
              </w:rPr>
              <w:t>11</w:t>
            </w:r>
          </w:p>
        </w:tc>
        <w:tc>
          <w:tcPr>
            <w:tcW w:w="831" w:type="pct"/>
            <w:shd w:val="clear" w:color="auto" w:fill="auto"/>
            <w:noWrap/>
            <w:vAlign w:val="bottom"/>
            <w:hideMark/>
          </w:tcPr>
          <w:p w14:paraId="240A8EA7" w14:textId="606B1DB2" w:rsidR="00524C0F" w:rsidRPr="00871984" w:rsidRDefault="00524C0F" w:rsidP="00772E45">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w:t>
            </w:r>
            <w:r w:rsidR="00772E45">
              <w:rPr>
                <w:rFonts w:ascii="Arial" w:eastAsia="Times New Roman" w:hAnsi="Arial" w:cs="Arial"/>
                <w:color w:val="000000"/>
                <w:lang w:eastAsia="en-GB"/>
              </w:rPr>
              <w:t>3</w:t>
            </w:r>
            <w:r>
              <w:rPr>
                <w:rFonts w:ascii="Arial" w:eastAsia="Times New Roman" w:hAnsi="Arial" w:cs="Arial"/>
                <w:color w:val="000000"/>
                <w:lang w:eastAsia="en-GB"/>
              </w:rPr>
              <w:t>810</w:t>
            </w:r>
          </w:p>
        </w:tc>
      </w:tr>
    </w:tbl>
    <w:p w14:paraId="14185429" w14:textId="501C703C" w:rsidR="00C639F8" w:rsidRDefault="00C639F8" w:rsidP="00C639F8">
      <w:pPr>
        <w:pStyle w:val="Caption"/>
        <w:jc w:val="center"/>
        <w:rPr>
          <w:rFonts w:ascii="Arial" w:hAnsi="Arial" w:cs="Arial"/>
          <w:sz w:val="22"/>
          <w:szCs w:val="22"/>
        </w:rPr>
      </w:pPr>
      <w:bookmarkStart w:id="105" w:name="_Toc66868992"/>
      <w:r w:rsidRPr="00126492">
        <w:rPr>
          <w:rFonts w:ascii="Arial" w:hAnsi="Arial" w:cs="Arial"/>
          <w:sz w:val="22"/>
          <w:szCs w:val="22"/>
        </w:rPr>
        <w:t xml:space="preserve">Table </w:t>
      </w:r>
      <w:r w:rsidRPr="00126492">
        <w:rPr>
          <w:rFonts w:ascii="Arial" w:hAnsi="Arial" w:cs="Arial"/>
          <w:sz w:val="22"/>
          <w:szCs w:val="22"/>
        </w:rPr>
        <w:fldChar w:fldCharType="begin"/>
      </w:r>
      <w:r w:rsidRPr="00126492">
        <w:rPr>
          <w:rFonts w:ascii="Arial" w:hAnsi="Arial" w:cs="Arial"/>
          <w:sz w:val="22"/>
          <w:szCs w:val="22"/>
        </w:rPr>
        <w:instrText xml:space="preserve"> SEQ Table \* ARABIC </w:instrText>
      </w:r>
      <w:r w:rsidRPr="00126492">
        <w:rPr>
          <w:rFonts w:ascii="Arial" w:hAnsi="Arial" w:cs="Arial"/>
          <w:sz w:val="22"/>
          <w:szCs w:val="22"/>
        </w:rPr>
        <w:fldChar w:fldCharType="separate"/>
      </w:r>
      <w:r w:rsidR="00B97B5D">
        <w:rPr>
          <w:rFonts w:ascii="Arial" w:hAnsi="Arial" w:cs="Arial"/>
          <w:noProof/>
          <w:sz w:val="22"/>
          <w:szCs w:val="22"/>
        </w:rPr>
        <w:t>8</w:t>
      </w:r>
      <w:r w:rsidRPr="00126492">
        <w:rPr>
          <w:rFonts w:ascii="Arial" w:hAnsi="Arial" w:cs="Arial"/>
          <w:sz w:val="22"/>
          <w:szCs w:val="22"/>
        </w:rPr>
        <w:fldChar w:fldCharType="end"/>
      </w:r>
      <w:r w:rsidRPr="00126492">
        <w:rPr>
          <w:rFonts w:ascii="Arial" w:hAnsi="Arial" w:cs="Arial"/>
          <w:sz w:val="22"/>
          <w:szCs w:val="22"/>
        </w:rPr>
        <w:t xml:space="preserve"> </w:t>
      </w:r>
      <w:r>
        <w:rPr>
          <w:rFonts w:ascii="Arial" w:hAnsi="Arial" w:cs="Arial"/>
          <w:sz w:val="22"/>
          <w:szCs w:val="22"/>
        </w:rPr>
        <w:t>–</w:t>
      </w:r>
      <w:r w:rsidRPr="00126492">
        <w:rPr>
          <w:rFonts w:ascii="Arial" w:hAnsi="Arial" w:cs="Arial"/>
          <w:sz w:val="22"/>
          <w:szCs w:val="22"/>
        </w:rPr>
        <w:t xml:space="preserve"> </w:t>
      </w:r>
      <w:r>
        <w:rPr>
          <w:rFonts w:ascii="Arial" w:hAnsi="Arial" w:cs="Arial"/>
          <w:sz w:val="22"/>
          <w:szCs w:val="22"/>
        </w:rPr>
        <w:t>Traffic Data (Year 20</w:t>
      </w:r>
      <w:r w:rsidR="002F5530">
        <w:rPr>
          <w:rFonts w:ascii="Arial" w:hAnsi="Arial" w:cs="Arial"/>
          <w:sz w:val="22"/>
          <w:szCs w:val="22"/>
        </w:rPr>
        <w:t>20</w:t>
      </w:r>
      <w:r w:rsidR="00D44D59">
        <w:rPr>
          <w:rFonts w:ascii="Arial" w:hAnsi="Arial" w:cs="Arial"/>
          <w:sz w:val="22"/>
          <w:szCs w:val="22"/>
        </w:rPr>
        <w:t>)</w:t>
      </w:r>
      <w:bookmarkEnd w:id="105"/>
    </w:p>
    <w:p w14:paraId="58D88DD7" w14:textId="4E11BF6E" w:rsidR="008A5B9A" w:rsidRPr="008A5B9A" w:rsidRDefault="000A5865" w:rsidP="004A2DD4">
      <w:pPr>
        <w:spacing w:line="360" w:lineRule="auto"/>
        <w:jc w:val="both"/>
        <w:rPr>
          <w:rFonts w:ascii="Arial" w:hAnsi="Arial" w:cs="Arial"/>
        </w:rPr>
      </w:pPr>
      <w:r>
        <w:rPr>
          <w:rFonts w:ascii="Arial" w:hAnsi="Arial" w:cs="Arial"/>
        </w:rPr>
        <w:t>After the</w:t>
      </w:r>
      <w:r w:rsidR="008A5B9A" w:rsidRPr="008A5B9A">
        <w:rPr>
          <w:rFonts w:ascii="Arial" w:hAnsi="Arial" w:cs="Arial"/>
        </w:rPr>
        <w:t xml:space="preserve"> environmental exposure conditions </w:t>
      </w:r>
      <w:r>
        <w:rPr>
          <w:rFonts w:ascii="Arial" w:hAnsi="Arial" w:cs="Arial"/>
        </w:rPr>
        <w:t>were defined</w:t>
      </w:r>
      <w:r w:rsidR="008A5B9A" w:rsidRPr="008A5B9A">
        <w:rPr>
          <w:rFonts w:ascii="Arial" w:hAnsi="Arial" w:cs="Arial"/>
          <w:lang w:eastAsia="en-GB"/>
        </w:rPr>
        <w:t xml:space="preserve"> the intervention threshold</w:t>
      </w:r>
      <w:r>
        <w:rPr>
          <w:rFonts w:ascii="Arial" w:hAnsi="Arial" w:cs="Arial"/>
          <w:lang w:eastAsia="en-GB"/>
        </w:rPr>
        <w:t>s</w:t>
      </w:r>
      <w:r w:rsidR="008A5B9A" w:rsidRPr="008A5B9A">
        <w:rPr>
          <w:rFonts w:ascii="Arial" w:hAnsi="Arial" w:cs="Arial"/>
          <w:lang w:eastAsia="en-GB"/>
        </w:rPr>
        <w:t xml:space="preserve"> (e.g. the condition state at which maintenance is carried out)</w:t>
      </w:r>
      <w:r>
        <w:rPr>
          <w:rFonts w:ascii="Arial" w:hAnsi="Arial" w:cs="Arial"/>
          <w:lang w:eastAsia="en-GB"/>
        </w:rPr>
        <w:t xml:space="preserve"> </w:t>
      </w:r>
      <w:r w:rsidR="00904DC3">
        <w:rPr>
          <w:rFonts w:ascii="Arial" w:hAnsi="Arial" w:cs="Arial"/>
          <w:lang w:eastAsia="en-GB"/>
        </w:rPr>
        <w:t>was selected</w:t>
      </w:r>
      <w:r w:rsidR="008A5B9A" w:rsidRPr="008A5B9A">
        <w:rPr>
          <w:rFonts w:ascii="Arial" w:hAnsi="Arial" w:cs="Arial"/>
          <w:lang w:eastAsia="en-GB"/>
        </w:rPr>
        <w:t>. For the planned preventive strategy, early intervention was selected</w:t>
      </w:r>
      <w:r w:rsidR="00904DC3">
        <w:rPr>
          <w:rFonts w:ascii="Arial" w:hAnsi="Arial" w:cs="Arial"/>
          <w:lang w:eastAsia="en-GB"/>
        </w:rPr>
        <w:t>,</w:t>
      </w:r>
      <w:r w:rsidR="008A5B9A" w:rsidRPr="008A5B9A">
        <w:rPr>
          <w:rFonts w:ascii="Arial" w:hAnsi="Arial" w:cs="Arial"/>
          <w:lang w:eastAsia="en-GB"/>
        </w:rPr>
        <w:t xml:space="preserve"> where maintenance was carried out once the elements had reached a condition score between (2C-3C). For the unplanned reactive strategy</w:t>
      </w:r>
      <w:r w:rsidR="00606893">
        <w:rPr>
          <w:rFonts w:ascii="Arial" w:hAnsi="Arial" w:cs="Arial"/>
          <w:lang w:eastAsia="en-GB"/>
        </w:rPr>
        <w:t>,</w:t>
      </w:r>
      <w:r w:rsidR="008A5B9A" w:rsidRPr="008A5B9A">
        <w:rPr>
          <w:rFonts w:ascii="Arial" w:hAnsi="Arial" w:cs="Arial"/>
          <w:lang w:eastAsia="en-GB"/>
        </w:rPr>
        <w:t xml:space="preserve"> late intervention was selected where maintenance is only undertaken when an element ha</w:t>
      </w:r>
      <w:r w:rsidR="00606893">
        <w:rPr>
          <w:rFonts w:ascii="Arial" w:hAnsi="Arial" w:cs="Arial"/>
          <w:lang w:eastAsia="en-GB"/>
        </w:rPr>
        <w:t>d</w:t>
      </w:r>
      <w:r w:rsidR="008A5B9A" w:rsidRPr="008A5B9A">
        <w:rPr>
          <w:rFonts w:ascii="Arial" w:hAnsi="Arial" w:cs="Arial"/>
          <w:lang w:eastAsia="en-GB"/>
        </w:rPr>
        <w:t xml:space="preserve"> reached a condition score of 5B.</w:t>
      </w:r>
    </w:p>
    <w:p w14:paraId="0EEABAF9" w14:textId="348BF75B" w:rsidR="004B1243" w:rsidRDefault="00631F52" w:rsidP="004A2DD4">
      <w:pPr>
        <w:spacing w:line="360" w:lineRule="auto"/>
        <w:jc w:val="both"/>
        <w:rPr>
          <w:rFonts w:ascii="Arial" w:hAnsi="Arial" w:cs="Arial"/>
        </w:rPr>
      </w:pPr>
      <w:r w:rsidRPr="007E69C5">
        <w:rPr>
          <w:rFonts w:ascii="Arial" w:hAnsi="Arial" w:cs="Arial"/>
        </w:rPr>
        <w:t>Once the</w:t>
      </w:r>
      <w:r w:rsidR="008C2EE9">
        <w:rPr>
          <w:rFonts w:ascii="Arial" w:hAnsi="Arial" w:cs="Arial"/>
        </w:rPr>
        <w:t xml:space="preserve"> environmental exposure conditions and intervention thresholds for each element</w:t>
      </w:r>
      <w:r w:rsidRPr="007E69C5">
        <w:rPr>
          <w:rFonts w:ascii="Arial" w:hAnsi="Arial" w:cs="Arial"/>
        </w:rPr>
        <w:t xml:space="preserve"> w</w:t>
      </w:r>
      <w:r w:rsidR="00606893">
        <w:rPr>
          <w:rFonts w:ascii="Arial" w:hAnsi="Arial" w:cs="Arial"/>
        </w:rPr>
        <w:t>as</w:t>
      </w:r>
      <w:r w:rsidRPr="007E69C5">
        <w:rPr>
          <w:rFonts w:ascii="Arial" w:hAnsi="Arial" w:cs="Arial"/>
        </w:rPr>
        <w:t xml:space="preserve"> defined</w:t>
      </w:r>
      <w:r w:rsidR="005764DC">
        <w:rPr>
          <w:rFonts w:ascii="Arial" w:hAnsi="Arial" w:cs="Arial"/>
        </w:rPr>
        <w:t>,</w:t>
      </w:r>
      <w:r w:rsidRPr="007E69C5">
        <w:rPr>
          <w:rFonts w:ascii="Arial" w:hAnsi="Arial" w:cs="Arial"/>
        </w:rPr>
        <w:t xml:space="preserve"> SAVI was able to determine the </w:t>
      </w:r>
      <w:r w:rsidR="00F9761A" w:rsidRPr="007E69C5">
        <w:rPr>
          <w:rFonts w:ascii="Arial" w:hAnsi="Arial" w:cs="Arial"/>
        </w:rPr>
        <w:t xml:space="preserve">deterioration profile for each element, identify when maintenance was required and calculate the </w:t>
      </w:r>
      <w:r w:rsidR="008C2EE9">
        <w:rPr>
          <w:rFonts w:ascii="Arial" w:hAnsi="Arial" w:cs="Arial"/>
        </w:rPr>
        <w:t xml:space="preserve">individual scheme </w:t>
      </w:r>
      <w:r w:rsidR="00F9761A" w:rsidRPr="007E69C5">
        <w:rPr>
          <w:rFonts w:ascii="Arial" w:hAnsi="Arial" w:cs="Arial"/>
        </w:rPr>
        <w:t>costs</w:t>
      </w:r>
      <w:r w:rsidR="005764DC" w:rsidRPr="007E69C5">
        <w:rPr>
          <w:rFonts w:ascii="Arial" w:hAnsi="Arial" w:cs="Arial"/>
        </w:rPr>
        <w:t xml:space="preserve"> </w:t>
      </w:r>
      <w:r w:rsidR="00AA6032">
        <w:rPr>
          <w:rFonts w:ascii="Arial" w:hAnsi="Arial" w:cs="Arial"/>
        </w:rPr>
        <w:t xml:space="preserve">and driver delay costs </w:t>
      </w:r>
      <w:r w:rsidR="005764DC" w:rsidRPr="007E69C5">
        <w:rPr>
          <w:rFonts w:ascii="Arial" w:hAnsi="Arial" w:cs="Arial"/>
        </w:rPr>
        <w:t xml:space="preserve">as indicated in Section </w:t>
      </w:r>
      <w:r w:rsidR="00F6043F">
        <w:rPr>
          <w:rFonts w:ascii="Arial" w:hAnsi="Arial" w:cs="Arial"/>
        </w:rPr>
        <w:t>4.7</w:t>
      </w:r>
      <w:r w:rsidR="00AA6032">
        <w:rPr>
          <w:rFonts w:ascii="Arial" w:hAnsi="Arial" w:cs="Arial"/>
        </w:rPr>
        <w:t xml:space="preserve"> &amp; 4.8</w:t>
      </w:r>
      <w:r w:rsidR="005764DC" w:rsidRPr="007E69C5">
        <w:rPr>
          <w:rFonts w:ascii="Arial" w:hAnsi="Arial" w:cs="Arial"/>
        </w:rPr>
        <w:t>.</w:t>
      </w:r>
    </w:p>
    <w:p w14:paraId="655A1DEF" w14:textId="180B3CB8" w:rsidR="00B33A93" w:rsidRDefault="00B33A93" w:rsidP="004A2DD4">
      <w:pPr>
        <w:spacing w:line="360" w:lineRule="auto"/>
        <w:jc w:val="both"/>
        <w:rPr>
          <w:rFonts w:ascii="Arial" w:hAnsi="Arial" w:cs="Arial"/>
        </w:rPr>
      </w:pPr>
    </w:p>
    <w:p w14:paraId="02251BCD" w14:textId="64A84519" w:rsidR="009B1AC4" w:rsidRDefault="009B1AC4" w:rsidP="004A2DD4">
      <w:pPr>
        <w:spacing w:line="360" w:lineRule="auto"/>
        <w:jc w:val="both"/>
        <w:rPr>
          <w:rFonts w:ascii="Arial" w:hAnsi="Arial" w:cs="Arial"/>
        </w:rPr>
      </w:pPr>
    </w:p>
    <w:p w14:paraId="266FCC6E" w14:textId="77777777" w:rsidR="009B1AC4" w:rsidRPr="007E69C5" w:rsidRDefault="009B1AC4" w:rsidP="004A2DD4">
      <w:pPr>
        <w:spacing w:line="360" w:lineRule="auto"/>
        <w:jc w:val="both"/>
        <w:rPr>
          <w:rFonts w:ascii="Arial" w:hAnsi="Arial" w:cs="Arial"/>
        </w:rPr>
      </w:pPr>
    </w:p>
    <w:p w14:paraId="23532E3A" w14:textId="77777777" w:rsidR="00460FB9" w:rsidRDefault="00460FB9" w:rsidP="00460FB9">
      <w:pPr>
        <w:pStyle w:val="Heading2"/>
        <w:spacing w:after="240"/>
        <w:rPr>
          <w:rFonts w:ascii="Arial" w:eastAsia="Times New Roman" w:hAnsi="Arial" w:cs="Arial"/>
          <w:b/>
          <w:bCs/>
          <w:color w:val="auto"/>
          <w:sz w:val="24"/>
          <w:szCs w:val="24"/>
          <w:lang w:eastAsia="en-GB"/>
        </w:rPr>
      </w:pPr>
      <w:bookmarkStart w:id="106" w:name="_Toc66868907"/>
      <w:r>
        <w:rPr>
          <w:rFonts w:ascii="Arial" w:eastAsia="Times New Roman" w:hAnsi="Arial" w:cs="Arial"/>
          <w:b/>
          <w:bCs/>
          <w:color w:val="auto"/>
          <w:sz w:val="24"/>
          <w:szCs w:val="24"/>
          <w:lang w:eastAsia="en-GB"/>
        </w:rPr>
        <w:t>Scheme Costs</w:t>
      </w:r>
      <w:bookmarkEnd w:id="106"/>
    </w:p>
    <w:p w14:paraId="4921251C" w14:textId="2985318A" w:rsidR="00460FB9" w:rsidRDefault="00460FB9" w:rsidP="00460FB9">
      <w:pPr>
        <w:spacing w:line="360" w:lineRule="auto"/>
        <w:rPr>
          <w:rFonts w:ascii="Arial" w:hAnsi="Arial" w:cs="Arial"/>
          <w:lang w:eastAsia="en-GB"/>
        </w:rPr>
      </w:pPr>
      <w:r>
        <w:rPr>
          <w:rFonts w:ascii="Arial" w:hAnsi="Arial" w:cs="Arial"/>
          <w:lang w:eastAsia="en-GB"/>
        </w:rPr>
        <w:t xml:space="preserve">Scheme costs were calculated </w:t>
      </w:r>
      <w:r w:rsidR="00EF71F8">
        <w:rPr>
          <w:rFonts w:ascii="Arial" w:hAnsi="Arial" w:cs="Arial"/>
          <w:lang w:eastAsia="en-GB"/>
        </w:rPr>
        <w:t xml:space="preserve">in SAVI </w:t>
      </w:r>
      <w:r>
        <w:rPr>
          <w:rFonts w:ascii="Arial" w:hAnsi="Arial" w:cs="Arial"/>
          <w:lang w:eastAsia="en-GB"/>
        </w:rPr>
        <w:t>using the following formula:</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655"/>
        <w:gridCol w:w="799"/>
      </w:tblGrid>
      <w:tr w:rsidR="00B855F4" w14:paraId="2C313CEF" w14:textId="77777777" w:rsidTr="00B855F4">
        <w:tc>
          <w:tcPr>
            <w:tcW w:w="562" w:type="dxa"/>
            <w:vAlign w:val="center"/>
          </w:tcPr>
          <w:p w14:paraId="001FB9FC" w14:textId="77777777" w:rsidR="00B855F4" w:rsidRDefault="00B855F4" w:rsidP="00B855F4">
            <w:pPr>
              <w:spacing w:line="360" w:lineRule="auto"/>
              <w:jc w:val="center"/>
              <w:rPr>
                <w:rFonts w:ascii="Arial" w:hAnsi="Arial" w:cs="Arial"/>
              </w:rPr>
            </w:pPr>
          </w:p>
        </w:tc>
        <w:tc>
          <w:tcPr>
            <w:tcW w:w="7655" w:type="dxa"/>
            <w:vAlign w:val="center"/>
          </w:tcPr>
          <w:p w14:paraId="4D631541" w14:textId="3A7F96C5" w:rsidR="00B855F4" w:rsidRPr="001900FA" w:rsidRDefault="00B855F4" w:rsidP="00B855F4">
            <w:pPr>
              <w:spacing w:line="360" w:lineRule="auto"/>
              <w:rPr>
                <w:rFonts w:ascii="Arial" w:eastAsiaTheme="minorEastAsia" w:hAnsi="Arial" w:cs="Arial"/>
                <w:lang w:eastAsia="en-GB"/>
              </w:rPr>
            </w:pPr>
            <m:oMathPara>
              <m:oMath>
                <m:r>
                  <w:rPr>
                    <w:rFonts w:ascii="Cambria Math" w:hAnsi="Cambria Math" w:cs="Arial"/>
                    <w:lang w:eastAsia="en-GB"/>
                  </w:rPr>
                  <m:t>SC=</m:t>
                </m:r>
                <m:r>
                  <m:rPr>
                    <m:sty m:val="p"/>
                  </m:rPr>
                  <w:rPr>
                    <w:rFonts w:ascii="Cambria Math" w:hAnsi="Cambria Math" w:cs="Arial"/>
                    <w:lang w:eastAsia="en-GB"/>
                  </w:rPr>
                  <m:t>Σ</m:t>
                </m:r>
                <m:r>
                  <w:rPr>
                    <w:rFonts w:ascii="Cambria Math" w:hAnsi="Cambria Math" w:cs="Arial"/>
                    <w:lang w:eastAsia="en-GB"/>
                  </w:rPr>
                  <m:t>WC+TMC+PC+DC+OC</m:t>
                </m:r>
              </m:oMath>
            </m:oMathPara>
          </w:p>
          <w:p w14:paraId="5C2E9C49" w14:textId="0E71B028" w:rsidR="00B855F4" w:rsidRDefault="00B855F4" w:rsidP="00B855F4">
            <w:pPr>
              <w:spacing w:line="360" w:lineRule="auto"/>
              <w:jc w:val="center"/>
              <w:rPr>
                <w:rFonts w:ascii="Arial" w:hAnsi="Arial" w:cs="Arial"/>
              </w:rPr>
            </w:pPr>
          </w:p>
        </w:tc>
        <w:tc>
          <w:tcPr>
            <w:tcW w:w="799" w:type="dxa"/>
            <w:vAlign w:val="center"/>
          </w:tcPr>
          <w:p w14:paraId="032E8F04" w14:textId="0A90F059" w:rsidR="00B855F4" w:rsidRDefault="00B855F4" w:rsidP="00B855F4">
            <w:pPr>
              <w:spacing w:line="360" w:lineRule="auto"/>
              <w:jc w:val="center"/>
              <w:rPr>
                <w:rFonts w:ascii="Arial" w:hAnsi="Arial" w:cs="Arial"/>
              </w:rPr>
            </w:pPr>
            <w:r>
              <w:rPr>
                <w:rFonts w:ascii="Arial" w:hAnsi="Arial" w:cs="Arial"/>
              </w:rPr>
              <w:t>(</w:t>
            </w:r>
            <w:r>
              <w:rPr>
                <w:rFonts w:ascii="Arial" w:hAnsi="Arial" w:cs="Arial"/>
              </w:rPr>
              <w:fldChar w:fldCharType="begin"/>
            </w:r>
            <w:r>
              <w:rPr>
                <w:rFonts w:ascii="Arial" w:hAnsi="Arial" w:cs="Arial"/>
              </w:rPr>
              <w:instrText xml:space="preserve"> Eq </w:instrText>
            </w:r>
            <w:r>
              <w:rPr>
                <w:rFonts w:ascii="Arial" w:hAnsi="Arial" w:cs="Arial"/>
              </w:rPr>
              <w:fldChar w:fldCharType="end"/>
            </w:r>
            <w:r>
              <w:rPr>
                <w:rFonts w:ascii="Arial" w:hAnsi="Arial" w:cs="Arial"/>
              </w:rPr>
              <w:fldChar w:fldCharType="begin"/>
            </w:r>
            <w:r>
              <w:rPr>
                <w:rFonts w:ascii="Arial" w:hAnsi="Arial" w:cs="Arial"/>
              </w:rPr>
              <w:instrText xml:space="preserve"> SEQ  Eq \* MERGEFORMAT </w:instrText>
            </w:r>
            <w:r>
              <w:rPr>
                <w:rFonts w:ascii="Arial" w:hAnsi="Arial" w:cs="Arial"/>
              </w:rPr>
              <w:fldChar w:fldCharType="separate"/>
            </w:r>
            <w:r>
              <w:rPr>
                <w:rFonts w:ascii="Arial" w:hAnsi="Arial" w:cs="Arial"/>
                <w:noProof/>
              </w:rPr>
              <w:t>8</w:t>
            </w:r>
            <w:r>
              <w:rPr>
                <w:rFonts w:ascii="Arial" w:hAnsi="Arial" w:cs="Arial"/>
              </w:rPr>
              <w:fldChar w:fldCharType="end"/>
            </w:r>
            <w:r>
              <w:rPr>
                <w:rFonts w:ascii="Arial" w:hAnsi="Arial" w:cs="Arial"/>
              </w:rPr>
              <w:t>)</w:t>
            </w:r>
          </w:p>
        </w:tc>
      </w:tr>
    </w:tbl>
    <w:p w14:paraId="78A81360" w14:textId="77777777" w:rsidR="00460FB9" w:rsidRDefault="00460FB9" w:rsidP="00460FB9">
      <w:pPr>
        <w:spacing w:after="0" w:line="360" w:lineRule="auto"/>
        <w:rPr>
          <w:rFonts w:ascii="Arial" w:eastAsiaTheme="minorEastAsia" w:hAnsi="Arial" w:cs="Arial"/>
          <w:lang w:eastAsia="en-GB"/>
        </w:rPr>
      </w:pPr>
      <m:oMath>
        <m:r>
          <w:rPr>
            <w:rFonts w:ascii="Cambria Math" w:hAnsi="Cambria Math" w:cs="Arial"/>
            <w:lang w:eastAsia="en-GB"/>
          </w:rPr>
          <m:t>SC</m:t>
        </m:r>
      </m:oMath>
      <w:r>
        <w:rPr>
          <w:rFonts w:ascii="Arial" w:eastAsiaTheme="minorEastAsia" w:hAnsi="Arial" w:cs="Arial"/>
          <w:lang w:eastAsia="en-GB"/>
        </w:rPr>
        <w:t xml:space="preserve"> = Scheme Cost</w:t>
      </w:r>
    </w:p>
    <w:p w14:paraId="62FC4CEC" w14:textId="0B05DC15" w:rsidR="00460FB9" w:rsidRDefault="00460FB9" w:rsidP="00460FB9">
      <w:pPr>
        <w:spacing w:after="0" w:line="360" w:lineRule="auto"/>
        <w:rPr>
          <w:rFonts w:ascii="Arial" w:eastAsiaTheme="minorEastAsia" w:hAnsi="Arial" w:cs="Arial"/>
          <w:lang w:eastAsia="en-GB"/>
        </w:rPr>
      </w:pPr>
      <m:oMath>
        <m:r>
          <m:rPr>
            <m:sty m:val="p"/>
          </m:rPr>
          <w:rPr>
            <w:rFonts w:ascii="Cambria Math" w:hAnsi="Cambria Math" w:cs="Arial"/>
            <w:lang w:eastAsia="en-GB"/>
          </w:rPr>
          <m:t>Σ</m:t>
        </m:r>
        <m:r>
          <w:rPr>
            <w:rFonts w:ascii="Cambria Math" w:hAnsi="Cambria Math" w:cs="Arial"/>
            <w:lang w:eastAsia="en-GB"/>
          </w:rPr>
          <m:t>WC</m:t>
        </m:r>
      </m:oMath>
      <w:r>
        <w:rPr>
          <w:rFonts w:ascii="Arial" w:eastAsiaTheme="minorEastAsia" w:hAnsi="Arial" w:cs="Arial"/>
          <w:lang w:eastAsia="en-GB"/>
        </w:rPr>
        <w:t xml:space="preserve"> = Total works cost (The sum of all individual maintenance activities works costs calculated </w:t>
      </w:r>
      <w:r w:rsidR="00C006FA">
        <w:rPr>
          <w:rFonts w:ascii="Arial" w:eastAsiaTheme="minorEastAsia" w:hAnsi="Arial" w:cs="Arial"/>
          <w:lang w:eastAsia="en-GB"/>
        </w:rPr>
        <w:t xml:space="preserve">in SAVI </w:t>
      </w:r>
      <w:r>
        <w:rPr>
          <w:rFonts w:ascii="Arial" w:eastAsiaTheme="minorEastAsia" w:hAnsi="Arial" w:cs="Arial"/>
          <w:lang w:eastAsia="en-GB"/>
        </w:rPr>
        <w:t xml:space="preserve">using base rates in Appendix </w:t>
      </w:r>
      <w:r w:rsidR="00187EA1">
        <w:rPr>
          <w:rFonts w:ascii="Arial" w:eastAsiaTheme="minorEastAsia" w:hAnsi="Arial" w:cs="Arial"/>
          <w:lang w:eastAsia="en-GB"/>
        </w:rPr>
        <w:t>E</w:t>
      </w:r>
      <w:r>
        <w:rPr>
          <w:rFonts w:ascii="Arial" w:eastAsiaTheme="minorEastAsia" w:hAnsi="Arial" w:cs="Arial"/>
          <w:lang w:eastAsia="en-GB"/>
        </w:rPr>
        <w:t>)</w:t>
      </w:r>
    </w:p>
    <w:p w14:paraId="041FEE1A" w14:textId="44384692" w:rsidR="00460FB9" w:rsidRDefault="00460FB9" w:rsidP="00460FB9">
      <w:pPr>
        <w:spacing w:after="0" w:line="360" w:lineRule="auto"/>
        <w:rPr>
          <w:rFonts w:ascii="Arial" w:eastAsiaTheme="minorEastAsia" w:hAnsi="Arial" w:cs="Arial"/>
          <w:lang w:eastAsia="en-GB"/>
        </w:rPr>
      </w:pPr>
      <m:oMath>
        <m:r>
          <w:rPr>
            <w:rFonts w:ascii="Cambria Math" w:hAnsi="Cambria Math" w:cs="Arial"/>
            <w:lang w:eastAsia="en-GB"/>
          </w:rPr>
          <m:t>TMC</m:t>
        </m:r>
      </m:oMath>
      <w:r>
        <w:rPr>
          <w:rFonts w:ascii="Arial" w:eastAsiaTheme="minorEastAsia" w:hAnsi="Arial" w:cs="Arial"/>
          <w:lang w:eastAsia="en-GB"/>
        </w:rPr>
        <w:t xml:space="preserve"> = Traffic Management Cost (Refer to </w:t>
      </w:r>
      <w:r w:rsidR="006F1A50">
        <w:rPr>
          <w:rFonts w:ascii="Arial" w:eastAsiaTheme="minorEastAsia" w:hAnsi="Arial" w:cs="Arial"/>
          <w:lang w:eastAsia="en-GB"/>
        </w:rPr>
        <w:t>Appendix E</w:t>
      </w:r>
      <w:r>
        <w:rPr>
          <w:rFonts w:ascii="Arial" w:eastAsiaTheme="minorEastAsia" w:hAnsi="Arial" w:cs="Arial"/>
          <w:lang w:eastAsia="en-GB"/>
        </w:rPr>
        <w:t>)</w:t>
      </w:r>
    </w:p>
    <w:p w14:paraId="57FE124B" w14:textId="0FBFF73C" w:rsidR="00460FB9" w:rsidRDefault="00460FB9" w:rsidP="00460FB9">
      <w:pPr>
        <w:spacing w:after="0" w:line="360" w:lineRule="auto"/>
        <w:rPr>
          <w:rFonts w:ascii="Arial" w:eastAsiaTheme="minorEastAsia" w:hAnsi="Arial" w:cs="Arial"/>
          <w:lang w:eastAsia="en-GB"/>
        </w:rPr>
      </w:pPr>
      <m:oMath>
        <m:r>
          <w:rPr>
            <w:rFonts w:ascii="Cambria Math" w:hAnsi="Cambria Math" w:cs="Arial"/>
            <w:lang w:eastAsia="en-GB"/>
          </w:rPr>
          <m:t>PC</m:t>
        </m:r>
      </m:oMath>
      <w:r>
        <w:rPr>
          <w:rFonts w:ascii="Arial" w:eastAsiaTheme="minorEastAsia" w:hAnsi="Arial" w:cs="Arial"/>
          <w:lang w:eastAsia="en-GB"/>
        </w:rPr>
        <w:t xml:space="preserve"> = Preliminaries Cost (Refer to Appendix </w:t>
      </w:r>
      <w:r w:rsidR="00C006FA">
        <w:rPr>
          <w:rFonts w:ascii="Arial" w:eastAsiaTheme="minorEastAsia" w:hAnsi="Arial" w:cs="Arial"/>
          <w:lang w:eastAsia="en-GB"/>
        </w:rPr>
        <w:t>E</w:t>
      </w:r>
      <w:r>
        <w:rPr>
          <w:rFonts w:ascii="Arial" w:eastAsiaTheme="minorEastAsia" w:hAnsi="Arial" w:cs="Arial"/>
          <w:lang w:eastAsia="en-GB"/>
        </w:rPr>
        <w:t>)</w:t>
      </w:r>
    </w:p>
    <w:p w14:paraId="49109F96" w14:textId="6654D3A0" w:rsidR="00460FB9" w:rsidRDefault="00460FB9" w:rsidP="00460FB9">
      <w:pPr>
        <w:spacing w:after="0" w:line="360" w:lineRule="auto"/>
        <w:rPr>
          <w:rFonts w:ascii="Arial" w:eastAsiaTheme="minorEastAsia" w:hAnsi="Arial" w:cs="Arial"/>
          <w:lang w:eastAsia="en-GB"/>
        </w:rPr>
      </w:pPr>
      <m:oMath>
        <m:r>
          <w:rPr>
            <w:rFonts w:ascii="Cambria Math" w:hAnsi="Cambria Math" w:cs="Arial"/>
            <w:lang w:eastAsia="en-GB"/>
          </w:rPr>
          <m:t>DC</m:t>
        </m:r>
      </m:oMath>
      <w:r>
        <w:rPr>
          <w:rFonts w:ascii="Arial" w:eastAsiaTheme="minorEastAsia" w:hAnsi="Arial" w:cs="Arial"/>
          <w:lang w:eastAsia="en-GB"/>
        </w:rPr>
        <w:t xml:space="preserve"> = Design Cost (Refer to Appendix </w:t>
      </w:r>
      <w:r w:rsidR="00C006FA">
        <w:rPr>
          <w:rFonts w:ascii="Arial" w:eastAsiaTheme="minorEastAsia" w:hAnsi="Arial" w:cs="Arial"/>
          <w:lang w:eastAsia="en-GB"/>
        </w:rPr>
        <w:t>E</w:t>
      </w:r>
      <w:r>
        <w:rPr>
          <w:rFonts w:ascii="Arial" w:eastAsiaTheme="minorEastAsia" w:hAnsi="Arial" w:cs="Arial"/>
          <w:lang w:eastAsia="en-GB"/>
        </w:rPr>
        <w:t>)</w:t>
      </w:r>
    </w:p>
    <w:p w14:paraId="1DC71D41" w14:textId="43530B8D" w:rsidR="00460FB9" w:rsidRDefault="00460FB9" w:rsidP="00460FB9">
      <w:pPr>
        <w:spacing w:after="0" w:line="360" w:lineRule="auto"/>
        <w:rPr>
          <w:rFonts w:ascii="Arial" w:eastAsiaTheme="minorEastAsia" w:hAnsi="Arial" w:cs="Arial"/>
          <w:lang w:eastAsia="en-GB"/>
        </w:rPr>
      </w:pPr>
      <m:oMath>
        <m:r>
          <w:rPr>
            <w:rFonts w:ascii="Cambria Math" w:hAnsi="Cambria Math" w:cs="Arial"/>
            <w:lang w:eastAsia="en-GB"/>
          </w:rPr>
          <m:t>OC</m:t>
        </m:r>
      </m:oMath>
      <w:r>
        <w:rPr>
          <w:rFonts w:ascii="Arial" w:eastAsiaTheme="minorEastAsia" w:hAnsi="Arial" w:cs="Arial"/>
          <w:lang w:eastAsia="en-GB"/>
        </w:rPr>
        <w:t xml:space="preserve">= Other Cost (Refer to Appendix </w:t>
      </w:r>
      <w:r w:rsidR="00C006FA">
        <w:rPr>
          <w:rFonts w:ascii="Arial" w:eastAsiaTheme="minorEastAsia" w:hAnsi="Arial" w:cs="Arial"/>
          <w:lang w:eastAsia="en-GB"/>
        </w:rPr>
        <w:t>E</w:t>
      </w:r>
      <w:r>
        <w:rPr>
          <w:rFonts w:ascii="Arial" w:eastAsiaTheme="minorEastAsia" w:hAnsi="Arial" w:cs="Arial"/>
          <w:lang w:eastAsia="en-GB"/>
        </w:rPr>
        <w:t>)</w:t>
      </w:r>
    </w:p>
    <w:p w14:paraId="63EEF710" w14:textId="77777777" w:rsidR="00F45763" w:rsidRDefault="00F45763" w:rsidP="00460FB9">
      <w:pPr>
        <w:spacing w:after="0" w:line="360" w:lineRule="auto"/>
        <w:rPr>
          <w:rFonts w:ascii="Arial" w:eastAsiaTheme="minorEastAsia" w:hAnsi="Arial" w:cs="Arial"/>
          <w:lang w:eastAsia="en-GB"/>
        </w:rPr>
      </w:pPr>
    </w:p>
    <w:p w14:paraId="7AB9FF55" w14:textId="789D28C2" w:rsidR="00460FB9" w:rsidRPr="00537CD9" w:rsidRDefault="007B52F4" w:rsidP="004A2DD4">
      <w:pPr>
        <w:spacing w:after="0" w:line="360" w:lineRule="auto"/>
        <w:jc w:val="both"/>
        <w:rPr>
          <w:rFonts w:ascii="Arial" w:eastAsiaTheme="minorEastAsia" w:hAnsi="Arial" w:cs="Arial"/>
          <w:lang w:eastAsia="en-GB"/>
        </w:rPr>
      </w:pPr>
      <w:r>
        <w:rPr>
          <w:rFonts w:ascii="Arial" w:eastAsiaTheme="minorEastAsia" w:hAnsi="Arial" w:cs="Arial"/>
          <w:lang w:eastAsia="en-GB"/>
        </w:rPr>
        <w:t>U</w:t>
      </w:r>
      <w:r w:rsidR="00537CD9">
        <w:rPr>
          <w:rFonts w:ascii="Arial" w:eastAsiaTheme="minorEastAsia" w:hAnsi="Arial" w:cs="Arial"/>
          <w:lang w:eastAsia="en-GB"/>
        </w:rPr>
        <w:t>nit rate</w:t>
      </w:r>
      <w:r>
        <w:rPr>
          <w:rFonts w:ascii="Arial" w:eastAsiaTheme="minorEastAsia" w:hAnsi="Arial" w:cs="Arial"/>
          <w:lang w:eastAsia="en-GB"/>
        </w:rPr>
        <w:t>s</w:t>
      </w:r>
      <w:r w:rsidR="00537CD9">
        <w:rPr>
          <w:rFonts w:ascii="Arial" w:eastAsiaTheme="minorEastAsia" w:hAnsi="Arial" w:cs="Arial"/>
          <w:lang w:eastAsia="en-GB"/>
        </w:rPr>
        <w:t xml:space="preserve"> per m</w:t>
      </w:r>
      <w:r w:rsidR="00537CD9" w:rsidRPr="00537CD9">
        <w:rPr>
          <w:rFonts w:ascii="Arial" w:eastAsiaTheme="minorEastAsia" w:hAnsi="Arial" w:cs="Arial"/>
          <w:vertAlign w:val="superscript"/>
          <w:lang w:eastAsia="en-GB"/>
        </w:rPr>
        <w:t>2</w:t>
      </w:r>
      <w:r w:rsidR="00537CD9">
        <w:rPr>
          <w:rFonts w:ascii="Arial" w:eastAsiaTheme="minorEastAsia" w:hAnsi="Arial" w:cs="Arial"/>
          <w:lang w:eastAsia="en-GB"/>
        </w:rPr>
        <w:t xml:space="preserve"> </w:t>
      </w:r>
      <w:r>
        <w:rPr>
          <w:rFonts w:ascii="Arial" w:eastAsiaTheme="minorEastAsia" w:hAnsi="Arial" w:cs="Arial"/>
          <w:lang w:eastAsia="en-GB"/>
        </w:rPr>
        <w:t>were</w:t>
      </w:r>
      <w:r w:rsidR="00537CD9">
        <w:rPr>
          <w:rFonts w:ascii="Arial" w:eastAsiaTheme="minorEastAsia" w:hAnsi="Arial" w:cs="Arial"/>
          <w:lang w:eastAsia="en-GB"/>
        </w:rPr>
        <w:t xml:space="preserve"> multiplied by the size of the component </w:t>
      </w:r>
      <w:r w:rsidR="00CF7DDE">
        <w:rPr>
          <w:rFonts w:ascii="Arial" w:eastAsiaTheme="minorEastAsia" w:hAnsi="Arial" w:cs="Arial"/>
          <w:lang w:eastAsia="en-GB"/>
        </w:rPr>
        <w:t xml:space="preserve">if replacement was </w:t>
      </w:r>
      <w:r w:rsidR="00B33A93">
        <w:rPr>
          <w:rFonts w:ascii="Arial" w:eastAsiaTheme="minorEastAsia" w:hAnsi="Arial" w:cs="Arial"/>
          <w:lang w:eastAsia="en-GB"/>
        </w:rPr>
        <w:t>necessary</w:t>
      </w:r>
      <w:r w:rsidR="00F45763">
        <w:rPr>
          <w:rFonts w:ascii="Arial" w:eastAsiaTheme="minorEastAsia" w:hAnsi="Arial" w:cs="Arial"/>
          <w:lang w:eastAsia="en-GB"/>
        </w:rPr>
        <w:t>,</w:t>
      </w:r>
      <w:r w:rsidR="00CF7DDE">
        <w:rPr>
          <w:rFonts w:ascii="Arial" w:eastAsiaTheme="minorEastAsia" w:hAnsi="Arial" w:cs="Arial"/>
          <w:lang w:eastAsia="en-GB"/>
        </w:rPr>
        <w:t xml:space="preserve"> or by a percentage of the component size </w:t>
      </w:r>
      <w:r w:rsidR="0058152D">
        <w:rPr>
          <w:rFonts w:ascii="Arial" w:eastAsiaTheme="minorEastAsia" w:hAnsi="Arial" w:cs="Arial"/>
          <w:lang w:eastAsia="en-GB"/>
        </w:rPr>
        <w:t xml:space="preserve">if repairs </w:t>
      </w:r>
      <w:r w:rsidR="00C67FE0">
        <w:rPr>
          <w:rFonts w:ascii="Arial" w:eastAsiaTheme="minorEastAsia" w:hAnsi="Arial" w:cs="Arial"/>
          <w:lang w:eastAsia="en-GB"/>
        </w:rPr>
        <w:t xml:space="preserve">were required. Percentage of component size was </w:t>
      </w:r>
      <w:r w:rsidR="00CF7DDE">
        <w:rPr>
          <w:rFonts w:ascii="Arial" w:eastAsiaTheme="minorEastAsia" w:hAnsi="Arial" w:cs="Arial"/>
          <w:lang w:eastAsia="en-GB"/>
        </w:rPr>
        <w:t>based on the total extent of defects</w:t>
      </w:r>
      <w:r w:rsidR="00F45763">
        <w:rPr>
          <w:rFonts w:ascii="Arial" w:eastAsiaTheme="minorEastAsia" w:hAnsi="Arial" w:cs="Arial"/>
          <w:lang w:eastAsia="en-GB"/>
        </w:rPr>
        <w:t xml:space="preserve"> in </w:t>
      </w:r>
      <w:r w:rsidR="009D36B4">
        <w:rPr>
          <w:rFonts w:ascii="Arial" w:eastAsiaTheme="minorEastAsia" w:hAnsi="Arial" w:cs="Arial"/>
          <w:lang w:eastAsia="en-GB"/>
        </w:rPr>
        <w:t xml:space="preserve">Table </w:t>
      </w:r>
      <w:r w:rsidR="00FE5A11">
        <w:rPr>
          <w:rFonts w:ascii="Arial" w:eastAsiaTheme="minorEastAsia" w:hAnsi="Arial" w:cs="Arial"/>
          <w:lang w:eastAsia="en-GB"/>
        </w:rPr>
        <w:t>9</w:t>
      </w:r>
      <w:r w:rsidR="00F45763">
        <w:rPr>
          <w:rFonts w:ascii="Arial" w:eastAsiaTheme="minorEastAsia" w:hAnsi="Arial" w:cs="Arial"/>
          <w:lang w:eastAsia="en-GB"/>
        </w:rPr>
        <w:t>.</w:t>
      </w:r>
      <w:r w:rsidR="007B239D">
        <w:rPr>
          <w:rFonts w:ascii="Arial" w:eastAsiaTheme="minorEastAsia" w:hAnsi="Arial" w:cs="Arial"/>
          <w:lang w:eastAsia="en-GB"/>
        </w:rPr>
        <w:t xml:space="preserve"> Element size formulas </w:t>
      </w:r>
      <w:r w:rsidR="002C166A">
        <w:rPr>
          <w:rFonts w:ascii="Arial" w:eastAsiaTheme="minorEastAsia" w:hAnsi="Arial" w:cs="Arial"/>
          <w:lang w:eastAsia="en-GB"/>
        </w:rPr>
        <w:t xml:space="preserve">used </w:t>
      </w:r>
      <w:r w:rsidR="007B239D">
        <w:rPr>
          <w:rFonts w:ascii="Arial" w:eastAsiaTheme="minorEastAsia" w:hAnsi="Arial" w:cs="Arial"/>
          <w:lang w:eastAsia="en-GB"/>
        </w:rPr>
        <w:t xml:space="preserve">are available in Appendix </w:t>
      </w:r>
      <w:r w:rsidR="00B87599">
        <w:rPr>
          <w:rFonts w:ascii="Arial" w:eastAsiaTheme="minorEastAsia" w:hAnsi="Arial" w:cs="Arial"/>
          <w:lang w:eastAsia="en-GB"/>
        </w:rPr>
        <w:t>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964"/>
        <w:gridCol w:w="517"/>
        <w:gridCol w:w="991"/>
        <w:gridCol w:w="565"/>
        <w:gridCol w:w="991"/>
        <w:gridCol w:w="486"/>
        <w:gridCol w:w="1077"/>
        <w:gridCol w:w="1842"/>
      </w:tblGrid>
      <w:tr w:rsidR="00460FB9" w:rsidRPr="00717199" w14:paraId="6C23A04D" w14:textId="77777777" w:rsidTr="001B4CAC">
        <w:trPr>
          <w:jc w:val="center"/>
        </w:trPr>
        <w:tc>
          <w:tcPr>
            <w:tcW w:w="7933" w:type="dxa"/>
            <w:gridSpan w:val="9"/>
            <w:shd w:val="clear" w:color="auto" w:fill="000099"/>
          </w:tcPr>
          <w:p w14:paraId="2304043F" w14:textId="660C004E" w:rsidR="00460FB9" w:rsidRPr="00256DB9" w:rsidRDefault="00460FB9" w:rsidP="00AA34FF">
            <w:pPr>
              <w:jc w:val="center"/>
              <w:rPr>
                <w:rFonts w:ascii="Arial" w:hAnsi="Arial" w:cs="Arial"/>
                <w:b/>
                <w:bCs/>
                <w:lang w:eastAsia="en-GB"/>
              </w:rPr>
            </w:pPr>
            <w:r w:rsidRPr="00256DB9">
              <w:rPr>
                <w:rFonts w:ascii="Arial" w:hAnsi="Arial" w:cs="Arial"/>
                <w:b/>
                <w:bCs/>
                <w:lang w:eastAsia="en-GB"/>
              </w:rPr>
              <w:t xml:space="preserve">Total Extent of Defects </w:t>
            </w:r>
            <w:r w:rsidRPr="00BA60B6">
              <w:rPr>
                <w:rFonts w:ascii="Arial" w:hAnsi="Arial" w:cs="Arial"/>
                <w:b/>
                <w:bCs/>
                <w:lang w:eastAsia="en-GB"/>
              </w:rPr>
              <w:t>(%)</w:t>
            </w:r>
            <w:r w:rsidR="00BA60B6">
              <w:rPr>
                <w:rFonts w:ascii="Arial" w:hAnsi="Arial" w:cs="Arial"/>
                <w:b/>
                <w:bCs/>
                <w:lang w:eastAsia="en-GB"/>
              </w:rPr>
              <w:t xml:space="preserve"> </w:t>
            </w:r>
            <w:r w:rsidR="00BA60B6" w:rsidRPr="00BA60B6">
              <w:rPr>
                <w:rFonts w:ascii="Arial" w:hAnsi="Arial" w:cs="Arial"/>
                <w:b/>
                <w:bCs/>
                <w:lang w:eastAsia="en-GB"/>
              </w:rPr>
              <w:t>(CIHT, 2020)</w:t>
            </w:r>
          </w:p>
        </w:tc>
      </w:tr>
      <w:tr w:rsidR="00460FB9" w:rsidRPr="00717199" w14:paraId="6C6A4ABC" w14:textId="77777777" w:rsidTr="001B4CAC">
        <w:trPr>
          <w:jc w:val="center"/>
        </w:trPr>
        <w:tc>
          <w:tcPr>
            <w:tcW w:w="1464" w:type="dxa"/>
            <w:gridSpan w:val="2"/>
            <w:shd w:val="clear" w:color="auto" w:fill="99CCFF"/>
          </w:tcPr>
          <w:p w14:paraId="2DC9ABC0" w14:textId="77777777" w:rsidR="00460FB9" w:rsidRPr="00256DB9" w:rsidRDefault="00460FB9" w:rsidP="00AA34FF">
            <w:pPr>
              <w:jc w:val="center"/>
              <w:rPr>
                <w:rFonts w:ascii="Arial" w:hAnsi="Arial" w:cs="Arial"/>
                <w:b/>
                <w:bCs/>
                <w:color w:val="000099"/>
                <w:lang w:eastAsia="en-GB"/>
              </w:rPr>
            </w:pPr>
            <w:r w:rsidRPr="00256DB9">
              <w:rPr>
                <w:rFonts w:ascii="Arial" w:hAnsi="Arial" w:cs="Arial"/>
                <w:b/>
                <w:bCs/>
                <w:color w:val="000099"/>
                <w:lang w:eastAsia="en-GB"/>
              </w:rPr>
              <w:t>Primary Condition</w:t>
            </w:r>
          </w:p>
        </w:tc>
        <w:tc>
          <w:tcPr>
            <w:tcW w:w="4627" w:type="dxa"/>
            <w:gridSpan w:val="6"/>
            <w:shd w:val="clear" w:color="auto" w:fill="99CCFF"/>
          </w:tcPr>
          <w:p w14:paraId="2CCEAF4E" w14:textId="77777777" w:rsidR="00460FB9" w:rsidRPr="00256DB9" w:rsidRDefault="00460FB9" w:rsidP="00AA34FF">
            <w:pPr>
              <w:jc w:val="center"/>
              <w:rPr>
                <w:rFonts w:ascii="Arial" w:hAnsi="Arial" w:cs="Arial"/>
                <w:b/>
                <w:bCs/>
                <w:color w:val="000099"/>
                <w:lang w:eastAsia="en-GB"/>
              </w:rPr>
            </w:pPr>
            <w:r w:rsidRPr="00256DB9">
              <w:rPr>
                <w:rFonts w:ascii="Arial" w:hAnsi="Arial" w:cs="Arial"/>
                <w:b/>
                <w:bCs/>
                <w:color w:val="000099"/>
                <w:lang w:eastAsia="en-GB"/>
              </w:rPr>
              <w:t>Lesser Condition Also Present</w:t>
            </w:r>
          </w:p>
        </w:tc>
        <w:tc>
          <w:tcPr>
            <w:tcW w:w="1842" w:type="dxa"/>
            <w:shd w:val="clear" w:color="auto" w:fill="99CCFF"/>
          </w:tcPr>
          <w:p w14:paraId="102812EA" w14:textId="77777777" w:rsidR="00460FB9" w:rsidRPr="00256DB9" w:rsidRDefault="00460FB9" w:rsidP="00AA34FF">
            <w:pPr>
              <w:jc w:val="center"/>
              <w:rPr>
                <w:rFonts w:ascii="Arial" w:hAnsi="Arial" w:cs="Arial"/>
                <w:b/>
                <w:bCs/>
                <w:color w:val="000099"/>
                <w:lang w:eastAsia="en-GB"/>
              </w:rPr>
            </w:pPr>
            <w:r w:rsidRPr="00256DB9">
              <w:rPr>
                <w:rFonts w:ascii="Arial" w:hAnsi="Arial" w:cs="Arial"/>
                <w:b/>
                <w:bCs/>
                <w:color w:val="000099"/>
                <w:lang w:eastAsia="en-GB"/>
              </w:rPr>
              <w:t>Total Extent of Defects (TEoD)</w:t>
            </w:r>
          </w:p>
        </w:tc>
      </w:tr>
      <w:tr w:rsidR="00460FB9" w:rsidRPr="00717199" w14:paraId="55A7DD55" w14:textId="77777777" w:rsidTr="001B4CAC">
        <w:trPr>
          <w:jc w:val="center"/>
        </w:trPr>
        <w:tc>
          <w:tcPr>
            <w:tcW w:w="500" w:type="dxa"/>
          </w:tcPr>
          <w:p w14:paraId="44C2032F" w14:textId="77777777" w:rsidR="00460FB9" w:rsidRPr="00717199" w:rsidRDefault="00460FB9" w:rsidP="00AA34FF">
            <w:pPr>
              <w:jc w:val="center"/>
              <w:rPr>
                <w:rFonts w:ascii="Arial" w:hAnsi="Arial" w:cs="Arial"/>
                <w:b/>
                <w:bCs/>
                <w:lang w:eastAsia="en-GB"/>
              </w:rPr>
            </w:pPr>
            <w:r w:rsidRPr="00717199">
              <w:rPr>
                <w:rFonts w:ascii="Arial" w:hAnsi="Arial" w:cs="Arial"/>
                <w:b/>
                <w:bCs/>
                <w:lang w:eastAsia="en-GB"/>
              </w:rPr>
              <w:t>1A</w:t>
            </w:r>
          </w:p>
        </w:tc>
        <w:tc>
          <w:tcPr>
            <w:tcW w:w="964" w:type="dxa"/>
          </w:tcPr>
          <w:p w14:paraId="620109B3" w14:textId="77777777" w:rsidR="00460FB9" w:rsidRPr="00717199" w:rsidRDefault="00460FB9" w:rsidP="00AA34FF">
            <w:pPr>
              <w:jc w:val="center"/>
              <w:rPr>
                <w:rFonts w:ascii="Arial" w:hAnsi="Arial" w:cs="Arial"/>
                <w:lang w:eastAsia="en-GB"/>
              </w:rPr>
            </w:pPr>
            <w:r w:rsidRPr="00717199">
              <w:rPr>
                <w:rFonts w:ascii="Arial" w:hAnsi="Arial" w:cs="Arial"/>
                <w:lang w:eastAsia="en-GB"/>
              </w:rPr>
              <w:t>0.00%</w:t>
            </w:r>
          </w:p>
        </w:tc>
        <w:tc>
          <w:tcPr>
            <w:tcW w:w="517" w:type="dxa"/>
          </w:tcPr>
          <w:p w14:paraId="5CDDF9E2"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991" w:type="dxa"/>
          </w:tcPr>
          <w:p w14:paraId="4AC8357B" w14:textId="77777777" w:rsidR="00460FB9" w:rsidRPr="00717199" w:rsidRDefault="00460FB9" w:rsidP="00AA34FF">
            <w:pPr>
              <w:jc w:val="center"/>
              <w:rPr>
                <w:rFonts w:ascii="Arial" w:hAnsi="Arial" w:cs="Arial"/>
                <w:lang w:eastAsia="en-GB"/>
              </w:rPr>
            </w:pPr>
          </w:p>
        </w:tc>
        <w:tc>
          <w:tcPr>
            <w:tcW w:w="565" w:type="dxa"/>
          </w:tcPr>
          <w:p w14:paraId="7DB89C7A"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991" w:type="dxa"/>
          </w:tcPr>
          <w:p w14:paraId="2E57EAA2" w14:textId="77777777" w:rsidR="00460FB9" w:rsidRPr="00717199" w:rsidRDefault="00460FB9" w:rsidP="00AA34FF">
            <w:pPr>
              <w:jc w:val="center"/>
              <w:rPr>
                <w:rFonts w:ascii="Arial" w:hAnsi="Arial" w:cs="Arial"/>
                <w:lang w:eastAsia="en-GB"/>
              </w:rPr>
            </w:pPr>
          </w:p>
        </w:tc>
        <w:tc>
          <w:tcPr>
            <w:tcW w:w="486" w:type="dxa"/>
          </w:tcPr>
          <w:p w14:paraId="7DD11B7E" w14:textId="77777777" w:rsidR="00460FB9" w:rsidRPr="00717199" w:rsidRDefault="00460FB9" w:rsidP="00AA34FF">
            <w:pPr>
              <w:jc w:val="center"/>
              <w:rPr>
                <w:rFonts w:ascii="Arial" w:hAnsi="Arial" w:cs="Arial"/>
                <w:lang w:eastAsia="en-GB"/>
              </w:rPr>
            </w:pPr>
          </w:p>
        </w:tc>
        <w:tc>
          <w:tcPr>
            <w:tcW w:w="1077" w:type="dxa"/>
          </w:tcPr>
          <w:p w14:paraId="5A18BE63"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1842" w:type="dxa"/>
          </w:tcPr>
          <w:p w14:paraId="024CC17F" w14:textId="77777777" w:rsidR="00460FB9" w:rsidRPr="00717199" w:rsidRDefault="00460FB9" w:rsidP="00AA34FF">
            <w:pPr>
              <w:jc w:val="center"/>
              <w:rPr>
                <w:rFonts w:ascii="Arial" w:hAnsi="Arial" w:cs="Arial"/>
                <w:lang w:eastAsia="en-GB"/>
              </w:rPr>
            </w:pPr>
            <w:r w:rsidRPr="00717199">
              <w:rPr>
                <w:rFonts w:ascii="Arial" w:hAnsi="Arial" w:cs="Arial"/>
                <w:lang w:eastAsia="en-GB"/>
              </w:rPr>
              <w:t>0.00%</w:t>
            </w:r>
          </w:p>
        </w:tc>
      </w:tr>
      <w:tr w:rsidR="00460FB9" w:rsidRPr="00717199" w14:paraId="065D856D" w14:textId="77777777" w:rsidTr="001B4CAC">
        <w:trPr>
          <w:jc w:val="center"/>
        </w:trPr>
        <w:tc>
          <w:tcPr>
            <w:tcW w:w="500" w:type="dxa"/>
          </w:tcPr>
          <w:p w14:paraId="23E2E890" w14:textId="77777777" w:rsidR="00460FB9" w:rsidRPr="00717199" w:rsidRDefault="00460FB9" w:rsidP="00AA34FF">
            <w:pPr>
              <w:jc w:val="center"/>
              <w:rPr>
                <w:rFonts w:ascii="Arial" w:hAnsi="Arial" w:cs="Arial"/>
                <w:b/>
                <w:bCs/>
                <w:lang w:eastAsia="en-GB"/>
              </w:rPr>
            </w:pPr>
            <w:r w:rsidRPr="00717199">
              <w:rPr>
                <w:rFonts w:ascii="Arial" w:hAnsi="Arial" w:cs="Arial"/>
                <w:b/>
                <w:bCs/>
                <w:lang w:eastAsia="en-GB"/>
              </w:rPr>
              <w:t>2B</w:t>
            </w:r>
          </w:p>
        </w:tc>
        <w:tc>
          <w:tcPr>
            <w:tcW w:w="964" w:type="dxa"/>
          </w:tcPr>
          <w:p w14:paraId="5300AF42" w14:textId="77777777" w:rsidR="00460FB9" w:rsidRPr="00717199" w:rsidRDefault="00460FB9" w:rsidP="00AA34FF">
            <w:pPr>
              <w:jc w:val="center"/>
              <w:rPr>
                <w:rFonts w:ascii="Arial" w:hAnsi="Arial" w:cs="Arial"/>
                <w:lang w:eastAsia="en-GB"/>
              </w:rPr>
            </w:pPr>
            <w:r w:rsidRPr="00717199">
              <w:rPr>
                <w:rFonts w:ascii="Arial" w:hAnsi="Arial" w:cs="Arial"/>
                <w:lang w:eastAsia="en-GB"/>
              </w:rPr>
              <w:t>2.50%</w:t>
            </w:r>
          </w:p>
        </w:tc>
        <w:tc>
          <w:tcPr>
            <w:tcW w:w="517" w:type="dxa"/>
          </w:tcPr>
          <w:p w14:paraId="5C5053BD"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991" w:type="dxa"/>
          </w:tcPr>
          <w:p w14:paraId="10A94E8F" w14:textId="77777777" w:rsidR="00460FB9" w:rsidRPr="00717199" w:rsidRDefault="00460FB9" w:rsidP="00AA34FF">
            <w:pPr>
              <w:jc w:val="center"/>
              <w:rPr>
                <w:rFonts w:ascii="Arial" w:hAnsi="Arial" w:cs="Arial"/>
                <w:lang w:eastAsia="en-GB"/>
              </w:rPr>
            </w:pPr>
          </w:p>
        </w:tc>
        <w:tc>
          <w:tcPr>
            <w:tcW w:w="565" w:type="dxa"/>
          </w:tcPr>
          <w:p w14:paraId="4A376FB5"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991" w:type="dxa"/>
          </w:tcPr>
          <w:p w14:paraId="4BC54F97" w14:textId="77777777" w:rsidR="00460FB9" w:rsidRPr="00717199" w:rsidRDefault="00460FB9" w:rsidP="00AA34FF">
            <w:pPr>
              <w:jc w:val="center"/>
              <w:rPr>
                <w:rFonts w:ascii="Arial" w:hAnsi="Arial" w:cs="Arial"/>
                <w:lang w:eastAsia="en-GB"/>
              </w:rPr>
            </w:pPr>
          </w:p>
        </w:tc>
        <w:tc>
          <w:tcPr>
            <w:tcW w:w="486" w:type="dxa"/>
          </w:tcPr>
          <w:p w14:paraId="6B8B2FB7" w14:textId="77777777" w:rsidR="00460FB9" w:rsidRPr="00717199" w:rsidRDefault="00460FB9" w:rsidP="00AA34FF">
            <w:pPr>
              <w:jc w:val="center"/>
              <w:rPr>
                <w:rFonts w:ascii="Arial" w:hAnsi="Arial" w:cs="Arial"/>
                <w:lang w:eastAsia="en-GB"/>
              </w:rPr>
            </w:pPr>
          </w:p>
        </w:tc>
        <w:tc>
          <w:tcPr>
            <w:tcW w:w="1077" w:type="dxa"/>
          </w:tcPr>
          <w:p w14:paraId="55B273D8"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1842" w:type="dxa"/>
          </w:tcPr>
          <w:p w14:paraId="3A1302C1" w14:textId="77777777" w:rsidR="00460FB9" w:rsidRPr="00717199" w:rsidRDefault="00460FB9" w:rsidP="00AA34FF">
            <w:pPr>
              <w:jc w:val="center"/>
              <w:rPr>
                <w:rFonts w:ascii="Arial" w:hAnsi="Arial" w:cs="Arial"/>
                <w:lang w:eastAsia="en-GB"/>
              </w:rPr>
            </w:pPr>
            <w:r w:rsidRPr="00717199">
              <w:rPr>
                <w:rFonts w:ascii="Arial" w:hAnsi="Arial" w:cs="Arial"/>
                <w:lang w:eastAsia="en-GB"/>
              </w:rPr>
              <w:t>2.50%</w:t>
            </w:r>
          </w:p>
        </w:tc>
      </w:tr>
      <w:tr w:rsidR="00460FB9" w:rsidRPr="00717199" w14:paraId="528E63C5" w14:textId="77777777" w:rsidTr="001B4CAC">
        <w:trPr>
          <w:jc w:val="center"/>
        </w:trPr>
        <w:tc>
          <w:tcPr>
            <w:tcW w:w="500" w:type="dxa"/>
          </w:tcPr>
          <w:p w14:paraId="4CD45BDF" w14:textId="77777777" w:rsidR="00460FB9" w:rsidRPr="00717199" w:rsidRDefault="00460FB9" w:rsidP="00AA34FF">
            <w:pPr>
              <w:jc w:val="center"/>
              <w:rPr>
                <w:rFonts w:ascii="Arial" w:hAnsi="Arial" w:cs="Arial"/>
                <w:b/>
                <w:bCs/>
                <w:lang w:eastAsia="en-GB"/>
              </w:rPr>
            </w:pPr>
            <w:r w:rsidRPr="00717199">
              <w:rPr>
                <w:rFonts w:ascii="Arial" w:hAnsi="Arial" w:cs="Arial"/>
                <w:b/>
                <w:bCs/>
                <w:lang w:eastAsia="en-GB"/>
              </w:rPr>
              <w:t>2C</w:t>
            </w:r>
          </w:p>
        </w:tc>
        <w:tc>
          <w:tcPr>
            <w:tcW w:w="964" w:type="dxa"/>
          </w:tcPr>
          <w:p w14:paraId="09D55979" w14:textId="77777777" w:rsidR="00460FB9" w:rsidRPr="00717199" w:rsidRDefault="00460FB9" w:rsidP="00AA34FF">
            <w:pPr>
              <w:jc w:val="center"/>
              <w:rPr>
                <w:rFonts w:ascii="Arial" w:hAnsi="Arial" w:cs="Arial"/>
                <w:lang w:eastAsia="en-GB"/>
              </w:rPr>
            </w:pPr>
            <w:r w:rsidRPr="00717199">
              <w:rPr>
                <w:rFonts w:ascii="Arial" w:hAnsi="Arial" w:cs="Arial"/>
                <w:lang w:eastAsia="en-GB"/>
              </w:rPr>
              <w:t>7.50%</w:t>
            </w:r>
          </w:p>
        </w:tc>
        <w:tc>
          <w:tcPr>
            <w:tcW w:w="517" w:type="dxa"/>
          </w:tcPr>
          <w:p w14:paraId="58D63A2B"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991" w:type="dxa"/>
          </w:tcPr>
          <w:p w14:paraId="2D825AD7" w14:textId="77777777" w:rsidR="00460FB9" w:rsidRPr="00717199" w:rsidRDefault="00460FB9" w:rsidP="00AA34FF">
            <w:pPr>
              <w:jc w:val="center"/>
              <w:rPr>
                <w:rFonts w:ascii="Arial" w:hAnsi="Arial" w:cs="Arial"/>
                <w:lang w:eastAsia="en-GB"/>
              </w:rPr>
            </w:pPr>
          </w:p>
        </w:tc>
        <w:tc>
          <w:tcPr>
            <w:tcW w:w="565" w:type="dxa"/>
          </w:tcPr>
          <w:p w14:paraId="7CE3AE10"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991" w:type="dxa"/>
          </w:tcPr>
          <w:p w14:paraId="45999259" w14:textId="77777777" w:rsidR="00460FB9" w:rsidRPr="00717199" w:rsidRDefault="00460FB9" w:rsidP="00AA34FF">
            <w:pPr>
              <w:jc w:val="center"/>
              <w:rPr>
                <w:rFonts w:ascii="Arial" w:hAnsi="Arial" w:cs="Arial"/>
                <w:lang w:eastAsia="en-GB"/>
              </w:rPr>
            </w:pPr>
          </w:p>
        </w:tc>
        <w:tc>
          <w:tcPr>
            <w:tcW w:w="486" w:type="dxa"/>
          </w:tcPr>
          <w:p w14:paraId="2F9047F6" w14:textId="77777777" w:rsidR="00460FB9" w:rsidRPr="00717199" w:rsidRDefault="00460FB9" w:rsidP="00AA34FF">
            <w:pPr>
              <w:jc w:val="center"/>
              <w:rPr>
                <w:rFonts w:ascii="Arial" w:hAnsi="Arial" w:cs="Arial"/>
                <w:lang w:eastAsia="en-GB"/>
              </w:rPr>
            </w:pPr>
          </w:p>
        </w:tc>
        <w:tc>
          <w:tcPr>
            <w:tcW w:w="1077" w:type="dxa"/>
          </w:tcPr>
          <w:p w14:paraId="4D2563DC"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1842" w:type="dxa"/>
          </w:tcPr>
          <w:p w14:paraId="2E74D14E" w14:textId="77777777" w:rsidR="00460FB9" w:rsidRPr="00717199" w:rsidRDefault="00460FB9" w:rsidP="00AA34FF">
            <w:pPr>
              <w:jc w:val="center"/>
              <w:rPr>
                <w:rFonts w:ascii="Arial" w:hAnsi="Arial" w:cs="Arial"/>
                <w:lang w:eastAsia="en-GB"/>
              </w:rPr>
            </w:pPr>
            <w:r w:rsidRPr="00717199">
              <w:rPr>
                <w:rFonts w:ascii="Arial" w:hAnsi="Arial" w:cs="Arial"/>
                <w:lang w:eastAsia="en-GB"/>
              </w:rPr>
              <w:t>7.50%</w:t>
            </w:r>
          </w:p>
        </w:tc>
      </w:tr>
      <w:tr w:rsidR="00460FB9" w:rsidRPr="00717199" w14:paraId="38F6D6B4" w14:textId="77777777" w:rsidTr="001B4CAC">
        <w:trPr>
          <w:jc w:val="center"/>
        </w:trPr>
        <w:tc>
          <w:tcPr>
            <w:tcW w:w="500" w:type="dxa"/>
          </w:tcPr>
          <w:p w14:paraId="3B964C84" w14:textId="77777777" w:rsidR="00460FB9" w:rsidRPr="00717199" w:rsidRDefault="00460FB9" w:rsidP="00AA34FF">
            <w:pPr>
              <w:jc w:val="center"/>
              <w:rPr>
                <w:rFonts w:ascii="Arial" w:hAnsi="Arial" w:cs="Arial"/>
                <w:b/>
                <w:bCs/>
                <w:lang w:eastAsia="en-GB"/>
              </w:rPr>
            </w:pPr>
            <w:r w:rsidRPr="00717199">
              <w:rPr>
                <w:rFonts w:ascii="Arial" w:hAnsi="Arial" w:cs="Arial"/>
                <w:b/>
                <w:bCs/>
                <w:lang w:eastAsia="en-GB"/>
              </w:rPr>
              <w:t>2D</w:t>
            </w:r>
          </w:p>
        </w:tc>
        <w:tc>
          <w:tcPr>
            <w:tcW w:w="964" w:type="dxa"/>
          </w:tcPr>
          <w:p w14:paraId="10023687" w14:textId="77777777" w:rsidR="00460FB9" w:rsidRPr="00717199" w:rsidRDefault="00460FB9" w:rsidP="00AA34FF">
            <w:pPr>
              <w:jc w:val="center"/>
              <w:rPr>
                <w:rFonts w:ascii="Arial" w:hAnsi="Arial" w:cs="Arial"/>
                <w:lang w:eastAsia="en-GB"/>
              </w:rPr>
            </w:pPr>
            <w:r w:rsidRPr="00717199">
              <w:rPr>
                <w:rFonts w:ascii="Arial" w:hAnsi="Arial" w:cs="Arial"/>
                <w:lang w:eastAsia="en-GB"/>
              </w:rPr>
              <w:t>12.50%</w:t>
            </w:r>
          </w:p>
        </w:tc>
        <w:tc>
          <w:tcPr>
            <w:tcW w:w="517" w:type="dxa"/>
          </w:tcPr>
          <w:p w14:paraId="3FF292F6"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991" w:type="dxa"/>
          </w:tcPr>
          <w:p w14:paraId="57FCD0DD" w14:textId="77777777" w:rsidR="00460FB9" w:rsidRPr="00717199" w:rsidRDefault="00460FB9" w:rsidP="00AA34FF">
            <w:pPr>
              <w:jc w:val="center"/>
              <w:rPr>
                <w:rFonts w:ascii="Arial" w:hAnsi="Arial" w:cs="Arial"/>
                <w:lang w:eastAsia="en-GB"/>
              </w:rPr>
            </w:pPr>
          </w:p>
        </w:tc>
        <w:tc>
          <w:tcPr>
            <w:tcW w:w="565" w:type="dxa"/>
          </w:tcPr>
          <w:p w14:paraId="18E5A4E6"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991" w:type="dxa"/>
          </w:tcPr>
          <w:p w14:paraId="3CF3D3A3" w14:textId="77777777" w:rsidR="00460FB9" w:rsidRPr="00717199" w:rsidRDefault="00460FB9" w:rsidP="00AA34FF">
            <w:pPr>
              <w:jc w:val="center"/>
              <w:rPr>
                <w:rFonts w:ascii="Arial" w:hAnsi="Arial" w:cs="Arial"/>
                <w:lang w:eastAsia="en-GB"/>
              </w:rPr>
            </w:pPr>
          </w:p>
        </w:tc>
        <w:tc>
          <w:tcPr>
            <w:tcW w:w="486" w:type="dxa"/>
          </w:tcPr>
          <w:p w14:paraId="710AE403" w14:textId="77777777" w:rsidR="00460FB9" w:rsidRPr="00717199" w:rsidRDefault="00460FB9" w:rsidP="00AA34FF">
            <w:pPr>
              <w:jc w:val="center"/>
              <w:rPr>
                <w:rFonts w:ascii="Arial" w:hAnsi="Arial" w:cs="Arial"/>
                <w:lang w:eastAsia="en-GB"/>
              </w:rPr>
            </w:pPr>
          </w:p>
        </w:tc>
        <w:tc>
          <w:tcPr>
            <w:tcW w:w="1077" w:type="dxa"/>
          </w:tcPr>
          <w:p w14:paraId="49DA3216"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1842" w:type="dxa"/>
          </w:tcPr>
          <w:p w14:paraId="52C05E84" w14:textId="77777777" w:rsidR="00460FB9" w:rsidRPr="00717199" w:rsidRDefault="00460FB9" w:rsidP="00AA34FF">
            <w:pPr>
              <w:jc w:val="center"/>
              <w:rPr>
                <w:rFonts w:ascii="Arial" w:hAnsi="Arial" w:cs="Arial"/>
                <w:lang w:eastAsia="en-GB"/>
              </w:rPr>
            </w:pPr>
            <w:r w:rsidRPr="00717199">
              <w:rPr>
                <w:rFonts w:ascii="Arial" w:hAnsi="Arial" w:cs="Arial"/>
                <w:lang w:eastAsia="en-GB"/>
              </w:rPr>
              <w:t>12.50%</w:t>
            </w:r>
          </w:p>
        </w:tc>
      </w:tr>
      <w:tr w:rsidR="00460FB9" w:rsidRPr="00717199" w14:paraId="35AAEF60" w14:textId="77777777" w:rsidTr="001B4CAC">
        <w:trPr>
          <w:jc w:val="center"/>
        </w:trPr>
        <w:tc>
          <w:tcPr>
            <w:tcW w:w="500" w:type="dxa"/>
          </w:tcPr>
          <w:p w14:paraId="70978EAE" w14:textId="77777777" w:rsidR="00460FB9" w:rsidRPr="00717199" w:rsidRDefault="00460FB9" w:rsidP="00AA34FF">
            <w:pPr>
              <w:jc w:val="center"/>
              <w:rPr>
                <w:rFonts w:ascii="Arial" w:hAnsi="Arial" w:cs="Arial"/>
                <w:b/>
                <w:bCs/>
                <w:lang w:eastAsia="en-GB"/>
              </w:rPr>
            </w:pPr>
            <w:r w:rsidRPr="00717199">
              <w:rPr>
                <w:rFonts w:ascii="Arial" w:hAnsi="Arial" w:cs="Arial"/>
                <w:b/>
                <w:bCs/>
                <w:lang w:eastAsia="en-GB"/>
              </w:rPr>
              <w:t>2E</w:t>
            </w:r>
          </w:p>
        </w:tc>
        <w:tc>
          <w:tcPr>
            <w:tcW w:w="964" w:type="dxa"/>
          </w:tcPr>
          <w:p w14:paraId="01499A82" w14:textId="77777777" w:rsidR="00460FB9" w:rsidRPr="00717199" w:rsidRDefault="00460FB9" w:rsidP="00AA34FF">
            <w:pPr>
              <w:jc w:val="center"/>
              <w:rPr>
                <w:rFonts w:ascii="Arial" w:hAnsi="Arial" w:cs="Arial"/>
                <w:lang w:eastAsia="en-GB"/>
              </w:rPr>
            </w:pPr>
            <w:r w:rsidRPr="00717199">
              <w:rPr>
                <w:rFonts w:ascii="Arial" w:hAnsi="Arial" w:cs="Arial"/>
                <w:lang w:eastAsia="en-GB"/>
              </w:rPr>
              <w:t>15.00%</w:t>
            </w:r>
          </w:p>
        </w:tc>
        <w:tc>
          <w:tcPr>
            <w:tcW w:w="517" w:type="dxa"/>
          </w:tcPr>
          <w:p w14:paraId="7FB912E9"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991" w:type="dxa"/>
          </w:tcPr>
          <w:p w14:paraId="7A1782DB" w14:textId="77777777" w:rsidR="00460FB9" w:rsidRPr="00717199" w:rsidRDefault="00460FB9" w:rsidP="00AA34FF">
            <w:pPr>
              <w:jc w:val="center"/>
              <w:rPr>
                <w:rFonts w:ascii="Arial" w:hAnsi="Arial" w:cs="Arial"/>
                <w:lang w:eastAsia="en-GB"/>
              </w:rPr>
            </w:pPr>
          </w:p>
        </w:tc>
        <w:tc>
          <w:tcPr>
            <w:tcW w:w="565" w:type="dxa"/>
          </w:tcPr>
          <w:p w14:paraId="73040DDB"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991" w:type="dxa"/>
          </w:tcPr>
          <w:p w14:paraId="7D9485F6" w14:textId="77777777" w:rsidR="00460FB9" w:rsidRPr="00717199" w:rsidRDefault="00460FB9" w:rsidP="00AA34FF">
            <w:pPr>
              <w:jc w:val="center"/>
              <w:rPr>
                <w:rFonts w:ascii="Arial" w:hAnsi="Arial" w:cs="Arial"/>
                <w:lang w:eastAsia="en-GB"/>
              </w:rPr>
            </w:pPr>
          </w:p>
        </w:tc>
        <w:tc>
          <w:tcPr>
            <w:tcW w:w="486" w:type="dxa"/>
          </w:tcPr>
          <w:p w14:paraId="45E434DD" w14:textId="77777777" w:rsidR="00460FB9" w:rsidRPr="00717199" w:rsidRDefault="00460FB9" w:rsidP="00AA34FF">
            <w:pPr>
              <w:jc w:val="center"/>
              <w:rPr>
                <w:rFonts w:ascii="Arial" w:hAnsi="Arial" w:cs="Arial"/>
                <w:lang w:eastAsia="en-GB"/>
              </w:rPr>
            </w:pPr>
          </w:p>
        </w:tc>
        <w:tc>
          <w:tcPr>
            <w:tcW w:w="1077" w:type="dxa"/>
          </w:tcPr>
          <w:p w14:paraId="5ECCDDEC"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1842" w:type="dxa"/>
          </w:tcPr>
          <w:p w14:paraId="746A8631" w14:textId="77777777" w:rsidR="00460FB9" w:rsidRPr="00717199" w:rsidRDefault="00460FB9" w:rsidP="00AA34FF">
            <w:pPr>
              <w:jc w:val="center"/>
              <w:rPr>
                <w:rFonts w:ascii="Arial" w:hAnsi="Arial" w:cs="Arial"/>
                <w:lang w:eastAsia="en-GB"/>
              </w:rPr>
            </w:pPr>
            <w:r w:rsidRPr="00717199">
              <w:rPr>
                <w:rFonts w:ascii="Arial" w:hAnsi="Arial" w:cs="Arial"/>
                <w:lang w:eastAsia="en-GB"/>
              </w:rPr>
              <w:t>15.00%</w:t>
            </w:r>
          </w:p>
        </w:tc>
      </w:tr>
      <w:tr w:rsidR="00460FB9" w:rsidRPr="00717199" w14:paraId="635C80DE" w14:textId="77777777" w:rsidTr="001B4CAC">
        <w:trPr>
          <w:jc w:val="center"/>
        </w:trPr>
        <w:tc>
          <w:tcPr>
            <w:tcW w:w="500" w:type="dxa"/>
          </w:tcPr>
          <w:p w14:paraId="79AE0D2A" w14:textId="77777777" w:rsidR="00460FB9" w:rsidRPr="00717199" w:rsidRDefault="00460FB9" w:rsidP="00AA34FF">
            <w:pPr>
              <w:jc w:val="center"/>
              <w:rPr>
                <w:rFonts w:ascii="Arial" w:hAnsi="Arial" w:cs="Arial"/>
                <w:b/>
                <w:bCs/>
                <w:lang w:eastAsia="en-GB"/>
              </w:rPr>
            </w:pPr>
            <w:r w:rsidRPr="00717199">
              <w:rPr>
                <w:rFonts w:ascii="Arial" w:hAnsi="Arial" w:cs="Arial"/>
                <w:b/>
                <w:bCs/>
                <w:lang w:eastAsia="en-GB"/>
              </w:rPr>
              <w:t>3B</w:t>
            </w:r>
          </w:p>
        </w:tc>
        <w:tc>
          <w:tcPr>
            <w:tcW w:w="964" w:type="dxa"/>
          </w:tcPr>
          <w:p w14:paraId="253BF58D" w14:textId="77777777" w:rsidR="00460FB9" w:rsidRPr="00717199" w:rsidRDefault="00460FB9" w:rsidP="00AA34FF">
            <w:pPr>
              <w:jc w:val="center"/>
              <w:rPr>
                <w:rFonts w:ascii="Arial" w:hAnsi="Arial" w:cs="Arial"/>
                <w:lang w:eastAsia="en-GB"/>
              </w:rPr>
            </w:pPr>
            <w:r w:rsidRPr="00717199">
              <w:rPr>
                <w:rFonts w:ascii="Arial" w:hAnsi="Arial" w:cs="Arial"/>
                <w:lang w:eastAsia="en-GB"/>
              </w:rPr>
              <w:t>0.00%</w:t>
            </w:r>
          </w:p>
        </w:tc>
        <w:tc>
          <w:tcPr>
            <w:tcW w:w="517" w:type="dxa"/>
          </w:tcPr>
          <w:p w14:paraId="0847EE47" w14:textId="77777777" w:rsidR="00460FB9" w:rsidRPr="00717199" w:rsidRDefault="00460FB9" w:rsidP="00AA34FF">
            <w:pPr>
              <w:jc w:val="center"/>
              <w:rPr>
                <w:rFonts w:ascii="Arial" w:hAnsi="Arial" w:cs="Arial"/>
                <w:lang w:eastAsia="en-GB"/>
              </w:rPr>
            </w:pPr>
            <w:r w:rsidRPr="00717199">
              <w:rPr>
                <w:rFonts w:ascii="Arial" w:hAnsi="Arial" w:cs="Arial"/>
                <w:lang w:eastAsia="en-GB"/>
              </w:rPr>
              <w:t>2D</w:t>
            </w:r>
          </w:p>
        </w:tc>
        <w:tc>
          <w:tcPr>
            <w:tcW w:w="991" w:type="dxa"/>
          </w:tcPr>
          <w:p w14:paraId="4A8CDB48" w14:textId="77777777" w:rsidR="00460FB9" w:rsidRPr="00717199" w:rsidRDefault="00460FB9" w:rsidP="00AA34FF">
            <w:pPr>
              <w:jc w:val="center"/>
              <w:rPr>
                <w:rFonts w:ascii="Arial" w:hAnsi="Arial" w:cs="Arial"/>
                <w:lang w:eastAsia="en-GB"/>
              </w:rPr>
            </w:pPr>
            <w:r w:rsidRPr="00717199">
              <w:rPr>
                <w:rFonts w:ascii="Arial" w:hAnsi="Arial" w:cs="Arial"/>
                <w:lang w:eastAsia="en-GB"/>
              </w:rPr>
              <w:t>12.50%</w:t>
            </w:r>
          </w:p>
        </w:tc>
        <w:tc>
          <w:tcPr>
            <w:tcW w:w="565" w:type="dxa"/>
          </w:tcPr>
          <w:p w14:paraId="18C5298F"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991" w:type="dxa"/>
          </w:tcPr>
          <w:p w14:paraId="5ED8029A" w14:textId="77777777" w:rsidR="00460FB9" w:rsidRPr="00717199" w:rsidRDefault="00460FB9" w:rsidP="00AA34FF">
            <w:pPr>
              <w:jc w:val="center"/>
              <w:rPr>
                <w:rFonts w:ascii="Arial" w:hAnsi="Arial" w:cs="Arial"/>
                <w:lang w:eastAsia="en-GB"/>
              </w:rPr>
            </w:pPr>
          </w:p>
        </w:tc>
        <w:tc>
          <w:tcPr>
            <w:tcW w:w="486" w:type="dxa"/>
          </w:tcPr>
          <w:p w14:paraId="1FE8BBDE" w14:textId="77777777" w:rsidR="00460FB9" w:rsidRPr="00717199" w:rsidRDefault="00460FB9" w:rsidP="00AA34FF">
            <w:pPr>
              <w:jc w:val="center"/>
              <w:rPr>
                <w:rFonts w:ascii="Arial" w:hAnsi="Arial" w:cs="Arial"/>
                <w:lang w:eastAsia="en-GB"/>
              </w:rPr>
            </w:pPr>
          </w:p>
        </w:tc>
        <w:tc>
          <w:tcPr>
            <w:tcW w:w="1077" w:type="dxa"/>
          </w:tcPr>
          <w:p w14:paraId="3E7BF908"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1842" w:type="dxa"/>
          </w:tcPr>
          <w:p w14:paraId="350D8964" w14:textId="77777777" w:rsidR="00460FB9" w:rsidRPr="00717199" w:rsidRDefault="00460FB9" w:rsidP="00AA34FF">
            <w:pPr>
              <w:jc w:val="center"/>
              <w:rPr>
                <w:rFonts w:ascii="Arial" w:hAnsi="Arial" w:cs="Arial"/>
                <w:lang w:eastAsia="en-GB"/>
              </w:rPr>
            </w:pPr>
            <w:r w:rsidRPr="00717199">
              <w:rPr>
                <w:rFonts w:ascii="Arial" w:hAnsi="Arial" w:cs="Arial"/>
                <w:lang w:eastAsia="en-GB"/>
              </w:rPr>
              <w:t>15.00%</w:t>
            </w:r>
          </w:p>
        </w:tc>
      </w:tr>
      <w:tr w:rsidR="00460FB9" w:rsidRPr="00717199" w14:paraId="2D0B5772" w14:textId="77777777" w:rsidTr="001B4CAC">
        <w:trPr>
          <w:jc w:val="center"/>
        </w:trPr>
        <w:tc>
          <w:tcPr>
            <w:tcW w:w="500" w:type="dxa"/>
          </w:tcPr>
          <w:p w14:paraId="6EC89FAF" w14:textId="77777777" w:rsidR="00460FB9" w:rsidRPr="00717199" w:rsidRDefault="00460FB9" w:rsidP="00AA34FF">
            <w:pPr>
              <w:jc w:val="center"/>
              <w:rPr>
                <w:rFonts w:ascii="Arial" w:hAnsi="Arial" w:cs="Arial"/>
                <w:b/>
                <w:bCs/>
                <w:lang w:eastAsia="en-GB"/>
              </w:rPr>
            </w:pPr>
            <w:r w:rsidRPr="00717199">
              <w:rPr>
                <w:rFonts w:ascii="Arial" w:hAnsi="Arial" w:cs="Arial"/>
                <w:b/>
                <w:bCs/>
                <w:lang w:eastAsia="en-GB"/>
              </w:rPr>
              <w:t>3C</w:t>
            </w:r>
          </w:p>
        </w:tc>
        <w:tc>
          <w:tcPr>
            <w:tcW w:w="964" w:type="dxa"/>
          </w:tcPr>
          <w:p w14:paraId="21A2F104" w14:textId="77777777" w:rsidR="00460FB9" w:rsidRPr="00717199" w:rsidRDefault="00460FB9" w:rsidP="00AA34FF">
            <w:pPr>
              <w:jc w:val="center"/>
              <w:rPr>
                <w:rFonts w:ascii="Arial" w:hAnsi="Arial" w:cs="Arial"/>
                <w:lang w:eastAsia="en-GB"/>
              </w:rPr>
            </w:pPr>
            <w:r w:rsidRPr="00717199">
              <w:rPr>
                <w:rFonts w:ascii="Arial" w:hAnsi="Arial" w:cs="Arial"/>
                <w:lang w:eastAsia="en-GB"/>
              </w:rPr>
              <w:t>2.50%</w:t>
            </w:r>
          </w:p>
        </w:tc>
        <w:tc>
          <w:tcPr>
            <w:tcW w:w="517" w:type="dxa"/>
          </w:tcPr>
          <w:p w14:paraId="0304E46C" w14:textId="77777777" w:rsidR="00460FB9" w:rsidRPr="00717199" w:rsidRDefault="00460FB9" w:rsidP="00AA34FF">
            <w:pPr>
              <w:jc w:val="center"/>
              <w:rPr>
                <w:rFonts w:ascii="Arial" w:hAnsi="Arial" w:cs="Arial"/>
                <w:lang w:eastAsia="en-GB"/>
              </w:rPr>
            </w:pPr>
            <w:r w:rsidRPr="00717199">
              <w:rPr>
                <w:rFonts w:ascii="Arial" w:hAnsi="Arial" w:cs="Arial"/>
                <w:lang w:eastAsia="en-GB"/>
              </w:rPr>
              <w:t>2D</w:t>
            </w:r>
          </w:p>
        </w:tc>
        <w:tc>
          <w:tcPr>
            <w:tcW w:w="991" w:type="dxa"/>
          </w:tcPr>
          <w:p w14:paraId="6DBBBF06" w14:textId="77777777" w:rsidR="00460FB9" w:rsidRPr="00717199" w:rsidRDefault="00460FB9" w:rsidP="00AA34FF">
            <w:pPr>
              <w:jc w:val="center"/>
              <w:rPr>
                <w:rFonts w:ascii="Arial" w:hAnsi="Arial" w:cs="Arial"/>
                <w:lang w:eastAsia="en-GB"/>
              </w:rPr>
            </w:pPr>
            <w:r w:rsidRPr="00717199">
              <w:rPr>
                <w:rFonts w:ascii="Arial" w:hAnsi="Arial" w:cs="Arial"/>
                <w:lang w:eastAsia="en-GB"/>
              </w:rPr>
              <w:t>12.50%</w:t>
            </w:r>
          </w:p>
        </w:tc>
        <w:tc>
          <w:tcPr>
            <w:tcW w:w="565" w:type="dxa"/>
          </w:tcPr>
          <w:p w14:paraId="569C476F"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991" w:type="dxa"/>
          </w:tcPr>
          <w:p w14:paraId="446D60A4" w14:textId="77777777" w:rsidR="00460FB9" w:rsidRPr="00717199" w:rsidRDefault="00460FB9" w:rsidP="00AA34FF">
            <w:pPr>
              <w:jc w:val="center"/>
              <w:rPr>
                <w:rFonts w:ascii="Arial" w:hAnsi="Arial" w:cs="Arial"/>
                <w:lang w:eastAsia="en-GB"/>
              </w:rPr>
            </w:pPr>
          </w:p>
        </w:tc>
        <w:tc>
          <w:tcPr>
            <w:tcW w:w="486" w:type="dxa"/>
          </w:tcPr>
          <w:p w14:paraId="33213BF6" w14:textId="77777777" w:rsidR="00460FB9" w:rsidRPr="00717199" w:rsidRDefault="00460FB9" w:rsidP="00AA34FF">
            <w:pPr>
              <w:jc w:val="center"/>
              <w:rPr>
                <w:rFonts w:ascii="Arial" w:hAnsi="Arial" w:cs="Arial"/>
                <w:lang w:eastAsia="en-GB"/>
              </w:rPr>
            </w:pPr>
          </w:p>
        </w:tc>
        <w:tc>
          <w:tcPr>
            <w:tcW w:w="1077" w:type="dxa"/>
          </w:tcPr>
          <w:p w14:paraId="1D0611AE"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1842" w:type="dxa"/>
          </w:tcPr>
          <w:p w14:paraId="0CE0F45D" w14:textId="77777777" w:rsidR="00460FB9" w:rsidRPr="00717199" w:rsidRDefault="00460FB9" w:rsidP="00AA34FF">
            <w:pPr>
              <w:jc w:val="center"/>
              <w:rPr>
                <w:rFonts w:ascii="Arial" w:hAnsi="Arial" w:cs="Arial"/>
                <w:lang w:eastAsia="en-GB"/>
              </w:rPr>
            </w:pPr>
            <w:r w:rsidRPr="00717199">
              <w:rPr>
                <w:rFonts w:ascii="Arial" w:hAnsi="Arial" w:cs="Arial"/>
                <w:lang w:eastAsia="en-GB"/>
              </w:rPr>
              <w:t>20.00%</w:t>
            </w:r>
          </w:p>
        </w:tc>
      </w:tr>
      <w:tr w:rsidR="00460FB9" w:rsidRPr="00717199" w14:paraId="530337A5" w14:textId="77777777" w:rsidTr="001B4CAC">
        <w:trPr>
          <w:trHeight w:val="59"/>
          <w:jc w:val="center"/>
        </w:trPr>
        <w:tc>
          <w:tcPr>
            <w:tcW w:w="500" w:type="dxa"/>
          </w:tcPr>
          <w:p w14:paraId="27268B14" w14:textId="77777777" w:rsidR="00460FB9" w:rsidRPr="00717199" w:rsidRDefault="00460FB9" w:rsidP="00AA34FF">
            <w:pPr>
              <w:jc w:val="center"/>
              <w:rPr>
                <w:rFonts w:ascii="Arial" w:hAnsi="Arial" w:cs="Arial"/>
                <w:b/>
                <w:bCs/>
                <w:lang w:eastAsia="en-GB"/>
              </w:rPr>
            </w:pPr>
            <w:r w:rsidRPr="00717199">
              <w:rPr>
                <w:rFonts w:ascii="Arial" w:hAnsi="Arial" w:cs="Arial"/>
                <w:b/>
                <w:bCs/>
                <w:lang w:eastAsia="en-GB"/>
              </w:rPr>
              <w:t>3D</w:t>
            </w:r>
          </w:p>
        </w:tc>
        <w:tc>
          <w:tcPr>
            <w:tcW w:w="964" w:type="dxa"/>
          </w:tcPr>
          <w:p w14:paraId="0CB24FDE" w14:textId="77777777" w:rsidR="00460FB9" w:rsidRPr="00717199" w:rsidRDefault="00460FB9" w:rsidP="00AA34FF">
            <w:pPr>
              <w:jc w:val="center"/>
              <w:rPr>
                <w:rFonts w:ascii="Arial" w:hAnsi="Arial" w:cs="Arial"/>
                <w:lang w:eastAsia="en-GB"/>
              </w:rPr>
            </w:pPr>
            <w:r w:rsidRPr="00717199">
              <w:rPr>
                <w:rFonts w:ascii="Arial" w:hAnsi="Arial" w:cs="Arial"/>
                <w:lang w:eastAsia="en-GB"/>
              </w:rPr>
              <w:t>7.50%</w:t>
            </w:r>
          </w:p>
        </w:tc>
        <w:tc>
          <w:tcPr>
            <w:tcW w:w="517" w:type="dxa"/>
          </w:tcPr>
          <w:p w14:paraId="2FAEA3B5" w14:textId="77777777" w:rsidR="00460FB9" w:rsidRPr="00717199" w:rsidRDefault="00460FB9" w:rsidP="00AA34FF">
            <w:pPr>
              <w:jc w:val="center"/>
              <w:rPr>
                <w:rFonts w:ascii="Arial" w:hAnsi="Arial" w:cs="Arial"/>
                <w:lang w:eastAsia="en-GB"/>
              </w:rPr>
            </w:pPr>
            <w:r w:rsidRPr="00717199">
              <w:rPr>
                <w:rFonts w:ascii="Arial" w:hAnsi="Arial" w:cs="Arial"/>
                <w:lang w:eastAsia="en-GB"/>
              </w:rPr>
              <w:t>2E</w:t>
            </w:r>
          </w:p>
        </w:tc>
        <w:tc>
          <w:tcPr>
            <w:tcW w:w="991" w:type="dxa"/>
          </w:tcPr>
          <w:p w14:paraId="59CB2919" w14:textId="77777777" w:rsidR="00460FB9" w:rsidRPr="00717199" w:rsidRDefault="00460FB9" w:rsidP="00AA34FF">
            <w:pPr>
              <w:jc w:val="center"/>
              <w:rPr>
                <w:rFonts w:ascii="Arial" w:hAnsi="Arial" w:cs="Arial"/>
                <w:lang w:eastAsia="en-GB"/>
              </w:rPr>
            </w:pPr>
            <w:r w:rsidRPr="00717199">
              <w:rPr>
                <w:rFonts w:ascii="Arial" w:hAnsi="Arial" w:cs="Arial"/>
                <w:lang w:eastAsia="en-GB"/>
              </w:rPr>
              <w:t>10.00%</w:t>
            </w:r>
          </w:p>
        </w:tc>
        <w:tc>
          <w:tcPr>
            <w:tcW w:w="565" w:type="dxa"/>
          </w:tcPr>
          <w:p w14:paraId="61F495D2"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991" w:type="dxa"/>
          </w:tcPr>
          <w:p w14:paraId="7F248F26" w14:textId="77777777" w:rsidR="00460FB9" w:rsidRPr="00717199" w:rsidRDefault="00460FB9" w:rsidP="00AA34FF">
            <w:pPr>
              <w:jc w:val="center"/>
              <w:rPr>
                <w:rFonts w:ascii="Arial" w:hAnsi="Arial" w:cs="Arial"/>
                <w:lang w:eastAsia="en-GB"/>
              </w:rPr>
            </w:pPr>
          </w:p>
        </w:tc>
        <w:tc>
          <w:tcPr>
            <w:tcW w:w="486" w:type="dxa"/>
          </w:tcPr>
          <w:p w14:paraId="38949A4B" w14:textId="77777777" w:rsidR="00460FB9" w:rsidRPr="00717199" w:rsidRDefault="00460FB9" w:rsidP="00AA34FF">
            <w:pPr>
              <w:jc w:val="center"/>
              <w:rPr>
                <w:rFonts w:ascii="Arial" w:hAnsi="Arial" w:cs="Arial"/>
                <w:lang w:eastAsia="en-GB"/>
              </w:rPr>
            </w:pPr>
          </w:p>
        </w:tc>
        <w:tc>
          <w:tcPr>
            <w:tcW w:w="1077" w:type="dxa"/>
          </w:tcPr>
          <w:p w14:paraId="37F001E5"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1842" w:type="dxa"/>
          </w:tcPr>
          <w:p w14:paraId="0D856F15" w14:textId="77777777" w:rsidR="00460FB9" w:rsidRPr="00717199" w:rsidRDefault="00460FB9" w:rsidP="00AA34FF">
            <w:pPr>
              <w:jc w:val="center"/>
              <w:rPr>
                <w:rFonts w:ascii="Arial" w:hAnsi="Arial" w:cs="Arial"/>
                <w:lang w:eastAsia="en-GB"/>
              </w:rPr>
            </w:pPr>
            <w:r w:rsidRPr="00717199">
              <w:rPr>
                <w:rFonts w:ascii="Arial" w:hAnsi="Arial" w:cs="Arial"/>
                <w:lang w:eastAsia="en-GB"/>
              </w:rPr>
              <w:t>22.50%</w:t>
            </w:r>
          </w:p>
        </w:tc>
      </w:tr>
      <w:tr w:rsidR="00460FB9" w:rsidRPr="00717199" w14:paraId="0105DE10" w14:textId="77777777" w:rsidTr="001B4CAC">
        <w:trPr>
          <w:jc w:val="center"/>
        </w:trPr>
        <w:tc>
          <w:tcPr>
            <w:tcW w:w="500" w:type="dxa"/>
          </w:tcPr>
          <w:p w14:paraId="3D7A8591" w14:textId="77777777" w:rsidR="00460FB9" w:rsidRPr="00717199" w:rsidRDefault="00460FB9" w:rsidP="00AA34FF">
            <w:pPr>
              <w:jc w:val="center"/>
              <w:rPr>
                <w:rFonts w:ascii="Arial" w:hAnsi="Arial" w:cs="Arial"/>
                <w:b/>
                <w:bCs/>
                <w:lang w:eastAsia="en-GB"/>
              </w:rPr>
            </w:pPr>
            <w:r w:rsidRPr="00717199">
              <w:rPr>
                <w:rFonts w:ascii="Arial" w:hAnsi="Arial" w:cs="Arial"/>
                <w:b/>
                <w:bCs/>
                <w:lang w:eastAsia="en-GB"/>
              </w:rPr>
              <w:t>3E</w:t>
            </w:r>
          </w:p>
        </w:tc>
        <w:tc>
          <w:tcPr>
            <w:tcW w:w="964" w:type="dxa"/>
          </w:tcPr>
          <w:p w14:paraId="2062D03D" w14:textId="77777777" w:rsidR="00460FB9" w:rsidRPr="00717199" w:rsidRDefault="00460FB9" w:rsidP="00AA34FF">
            <w:pPr>
              <w:jc w:val="center"/>
              <w:rPr>
                <w:rFonts w:ascii="Arial" w:hAnsi="Arial" w:cs="Arial"/>
                <w:lang w:eastAsia="en-GB"/>
              </w:rPr>
            </w:pPr>
            <w:r w:rsidRPr="00717199">
              <w:rPr>
                <w:rFonts w:ascii="Arial" w:hAnsi="Arial" w:cs="Arial"/>
                <w:lang w:eastAsia="en-GB"/>
              </w:rPr>
              <w:t>12.50%</w:t>
            </w:r>
          </w:p>
        </w:tc>
        <w:tc>
          <w:tcPr>
            <w:tcW w:w="517" w:type="dxa"/>
          </w:tcPr>
          <w:p w14:paraId="09DB6F5B" w14:textId="77777777" w:rsidR="00460FB9" w:rsidRPr="00717199" w:rsidRDefault="00460FB9" w:rsidP="00AA34FF">
            <w:pPr>
              <w:jc w:val="center"/>
              <w:rPr>
                <w:rFonts w:ascii="Arial" w:hAnsi="Arial" w:cs="Arial"/>
                <w:lang w:eastAsia="en-GB"/>
              </w:rPr>
            </w:pPr>
            <w:r w:rsidRPr="00717199">
              <w:rPr>
                <w:rFonts w:ascii="Arial" w:hAnsi="Arial" w:cs="Arial"/>
                <w:lang w:eastAsia="en-GB"/>
              </w:rPr>
              <w:t>2E</w:t>
            </w:r>
          </w:p>
        </w:tc>
        <w:tc>
          <w:tcPr>
            <w:tcW w:w="991" w:type="dxa"/>
          </w:tcPr>
          <w:p w14:paraId="424BBC91" w14:textId="77777777" w:rsidR="00460FB9" w:rsidRPr="00717199" w:rsidRDefault="00460FB9" w:rsidP="00AA34FF">
            <w:pPr>
              <w:jc w:val="center"/>
              <w:rPr>
                <w:rFonts w:ascii="Arial" w:hAnsi="Arial" w:cs="Arial"/>
                <w:lang w:eastAsia="en-GB"/>
              </w:rPr>
            </w:pPr>
            <w:r w:rsidRPr="00717199">
              <w:rPr>
                <w:rFonts w:ascii="Arial" w:hAnsi="Arial" w:cs="Arial"/>
                <w:lang w:eastAsia="en-GB"/>
              </w:rPr>
              <w:t>10.00%</w:t>
            </w:r>
          </w:p>
        </w:tc>
        <w:tc>
          <w:tcPr>
            <w:tcW w:w="565" w:type="dxa"/>
          </w:tcPr>
          <w:p w14:paraId="6E8DDD97"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991" w:type="dxa"/>
          </w:tcPr>
          <w:p w14:paraId="537ADEAB" w14:textId="77777777" w:rsidR="00460FB9" w:rsidRPr="00717199" w:rsidRDefault="00460FB9" w:rsidP="00AA34FF">
            <w:pPr>
              <w:jc w:val="center"/>
              <w:rPr>
                <w:rFonts w:ascii="Arial" w:hAnsi="Arial" w:cs="Arial"/>
                <w:lang w:eastAsia="en-GB"/>
              </w:rPr>
            </w:pPr>
          </w:p>
        </w:tc>
        <w:tc>
          <w:tcPr>
            <w:tcW w:w="486" w:type="dxa"/>
          </w:tcPr>
          <w:p w14:paraId="2BBD26DB" w14:textId="77777777" w:rsidR="00460FB9" w:rsidRPr="00717199" w:rsidRDefault="00460FB9" w:rsidP="00AA34FF">
            <w:pPr>
              <w:jc w:val="center"/>
              <w:rPr>
                <w:rFonts w:ascii="Arial" w:hAnsi="Arial" w:cs="Arial"/>
                <w:lang w:eastAsia="en-GB"/>
              </w:rPr>
            </w:pPr>
          </w:p>
        </w:tc>
        <w:tc>
          <w:tcPr>
            <w:tcW w:w="1077" w:type="dxa"/>
          </w:tcPr>
          <w:p w14:paraId="12886625"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1842" w:type="dxa"/>
          </w:tcPr>
          <w:p w14:paraId="15C350F7" w14:textId="77777777" w:rsidR="00460FB9" w:rsidRPr="00717199" w:rsidRDefault="00460FB9" w:rsidP="00AA34FF">
            <w:pPr>
              <w:jc w:val="center"/>
              <w:rPr>
                <w:rFonts w:ascii="Arial" w:hAnsi="Arial" w:cs="Arial"/>
                <w:lang w:eastAsia="en-GB"/>
              </w:rPr>
            </w:pPr>
            <w:r w:rsidRPr="00717199">
              <w:rPr>
                <w:rFonts w:ascii="Arial" w:hAnsi="Arial" w:cs="Arial"/>
                <w:lang w:eastAsia="en-GB"/>
              </w:rPr>
              <w:t>25.00%</w:t>
            </w:r>
          </w:p>
        </w:tc>
      </w:tr>
      <w:tr w:rsidR="00460FB9" w:rsidRPr="00717199" w14:paraId="3DAC75F9" w14:textId="77777777" w:rsidTr="001B4CAC">
        <w:trPr>
          <w:jc w:val="center"/>
        </w:trPr>
        <w:tc>
          <w:tcPr>
            <w:tcW w:w="500" w:type="dxa"/>
          </w:tcPr>
          <w:p w14:paraId="5924C67B" w14:textId="77777777" w:rsidR="00460FB9" w:rsidRPr="00717199" w:rsidRDefault="00460FB9" w:rsidP="00AA34FF">
            <w:pPr>
              <w:jc w:val="center"/>
              <w:rPr>
                <w:rFonts w:ascii="Arial" w:hAnsi="Arial" w:cs="Arial"/>
                <w:b/>
                <w:bCs/>
                <w:lang w:eastAsia="en-GB"/>
              </w:rPr>
            </w:pPr>
            <w:r w:rsidRPr="00717199">
              <w:rPr>
                <w:rFonts w:ascii="Arial" w:hAnsi="Arial" w:cs="Arial"/>
                <w:b/>
                <w:bCs/>
                <w:lang w:eastAsia="en-GB"/>
              </w:rPr>
              <w:t>4B</w:t>
            </w:r>
          </w:p>
        </w:tc>
        <w:tc>
          <w:tcPr>
            <w:tcW w:w="964" w:type="dxa"/>
          </w:tcPr>
          <w:p w14:paraId="72DF3F23" w14:textId="77777777" w:rsidR="00460FB9" w:rsidRPr="00717199" w:rsidRDefault="00460FB9" w:rsidP="00AA34FF">
            <w:pPr>
              <w:jc w:val="center"/>
              <w:rPr>
                <w:rFonts w:ascii="Arial" w:hAnsi="Arial" w:cs="Arial"/>
                <w:lang w:eastAsia="en-GB"/>
              </w:rPr>
            </w:pPr>
            <w:r w:rsidRPr="00717199">
              <w:rPr>
                <w:rFonts w:ascii="Arial" w:hAnsi="Arial" w:cs="Arial"/>
                <w:lang w:eastAsia="en-GB"/>
              </w:rPr>
              <w:t>0.00%</w:t>
            </w:r>
          </w:p>
        </w:tc>
        <w:tc>
          <w:tcPr>
            <w:tcW w:w="517" w:type="dxa"/>
          </w:tcPr>
          <w:p w14:paraId="798620F1" w14:textId="77777777" w:rsidR="00460FB9" w:rsidRPr="00717199" w:rsidRDefault="00460FB9" w:rsidP="00AA34FF">
            <w:pPr>
              <w:jc w:val="center"/>
              <w:rPr>
                <w:rFonts w:ascii="Arial" w:hAnsi="Arial" w:cs="Arial"/>
                <w:lang w:eastAsia="en-GB"/>
              </w:rPr>
            </w:pPr>
            <w:r w:rsidRPr="00717199">
              <w:rPr>
                <w:rFonts w:ascii="Arial" w:hAnsi="Arial" w:cs="Arial"/>
                <w:lang w:eastAsia="en-GB"/>
              </w:rPr>
              <w:t>3D</w:t>
            </w:r>
          </w:p>
        </w:tc>
        <w:tc>
          <w:tcPr>
            <w:tcW w:w="991" w:type="dxa"/>
          </w:tcPr>
          <w:p w14:paraId="29AAA7E0" w14:textId="77777777" w:rsidR="00460FB9" w:rsidRPr="00717199" w:rsidRDefault="00460FB9" w:rsidP="00AA34FF">
            <w:pPr>
              <w:jc w:val="center"/>
              <w:rPr>
                <w:rFonts w:ascii="Arial" w:hAnsi="Arial" w:cs="Arial"/>
                <w:lang w:eastAsia="en-GB"/>
              </w:rPr>
            </w:pPr>
            <w:r w:rsidRPr="00717199">
              <w:rPr>
                <w:rFonts w:ascii="Arial" w:hAnsi="Arial" w:cs="Arial"/>
                <w:lang w:eastAsia="en-GB"/>
              </w:rPr>
              <w:t>12.50%</w:t>
            </w:r>
          </w:p>
        </w:tc>
        <w:tc>
          <w:tcPr>
            <w:tcW w:w="565" w:type="dxa"/>
          </w:tcPr>
          <w:p w14:paraId="12F70CA0" w14:textId="77777777" w:rsidR="00460FB9" w:rsidRPr="00717199" w:rsidRDefault="00460FB9" w:rsidP="00AA34FF">
            <w:pPr>
              <w:jc w:val="center"/>
              <w:rPr>
                <w:rFonts w:ascii="Arial" w:hAnsi="Arial" w:cs="Arial"/>
                <w:lang w:eastAsia="en-GB"/>
              </w:rPr>
            </w:pPr>
            <w:r w:rsidRPr="00717199">
              <w:rPr>
                <w:rFonts w:ascii="Arial" w:hAnsi="Arial" w:cs="Arial"/>
                <w:lang w:eastAsia="en-GB"/>
              </w:rPr>
              <w:t>2E</w:t>
            </w:r>
          </w:p>
        </w:tc>
        <w:tc>
          <w:tcPr>
            <w:tcW w:w="991" w:type="dxa"/>
          </w:tcPr>
          <w:p w14:paraId="2AAC1E35" w14:textId="77777777" w:rsidR="00460FB9" w:rsidRPr="00717199" w:rsidRDefault="00460FB9" w:rsidP="00AA34FF">
            <w:pPr>
              <w:jc w:val="center"/>
              <w:rPr>
                <w:rFonts w:ascii="Arial" w:hAnsi="Arial" w:cs="Arial"/>
                <w:lang w:eastAsia="en-GB"/>
              </w:rPr>
            </w:pPr>
            <w:r w:rsidRPr="00717199">
              <w:rPr>
                <w:rFonts w:ascii="Arial" w:hAnsi="Arial" w:cs="Arial"/>
                <w:lang w:eastAsia="en-GB"/>
              </w:rPr>
              <w:t>10.00%</w:t>
            </w:r>
          </w:p>
        </w:tc>
        <w:tc>
          <w:tcPr>
            <w:tcW w:w="486" w:type="dxa"/>
          </w:tcPr>
          <w:p w14:paraId="280FA70E" w14:textId="77777777" w:rsidR="00460FB9" w:rsidRPr="00717199" w:rsidRDefault="00460FB9" w:rsidP="00AA34FF">
            <w:pPr>
              <w:jc w:val="center"/>
              <w:rPr>
                <w:rFonts w:ascii="Arial" w:hAnsi="Arial" w:cs="Arial"/>
                <w:lang w:eastAsia="en-GB"/>
              </w:rPr>
            </w:pPr>
          </w:p>
        </w:tc>
        <w:tc>
          <w:tcPr>
            <w:tcW w:w="1077" w:type="dxa"/>
          </w:tcPr>
          <w:p w14:paraId="7B8888B8"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1842" w:type="dxa"/>
          </w:tcPr>
          <w:p w14:paraId="3FF1E35E" w14:textId="77777777" w:rsidR="00460FB9" w:rsidRPr="00717199" w:rsidRDefault="00460FB9" w:rsidP="00AA34FF">
            <w:pPr>
              <w:jc w:val="center"/>
              <w:rPr>
                <w:rFonts w:ascii="Arial" w:hAnsi="Arial" w:cs="Arial"/>
                <w:lang w:eastAsia="en-GB"/>
              </w:rPr>
            </w:pPr>
            <w:r w:rsidRPr="00717199">
              <w:rPr>
                <w:rFonts w:ascii="Arial" w:hAnsi="Arial" w:cs="Arial"/>
                <w:lang w:eastAsia="en-GB"/>
              </w:rPr>
              <w:t>25.00%</w:t>
            </w:r>
          </w:p>
        </w:tc>
      </w:tr>
      <w:tr w:rsidR="00460FB9" w:rsidRPr="00717199" w14:paraId="6F7138D5" w14:textId="77777777" w:rsidTr="001B4CAC">
        <w:trPr>
          <w:jc w:val="center"/>
        </w:trPr>
        <w:tc>
          <w:tcPr>
            <w:tcW w:w="500" w:type="dxa"/>
          </w:tcPr>
          <w:p w14:paraId="1C36AFB8" w14:textId="77777777" w:rsidR="00460FB9" w:rsidRPr="00717199" w:rsidRDefault="00460FB9" w:rsidP="00AA34FF">
            <w:pPr>
              <w:jc w:val="center"/>
              <w:rPr>
                <w:rFonts w:ascii="Arial" w:hAnsi="Arial" w:cs="Arial"/>
                <w:b/>
                <w:bCs/>
                <w:lang w:eastAsia="en-GB"/>
              </w:rPr>
            </w:pPr>
            <w:r w:rsidRPr="00717199">
              <w:rPr>
                <w:rFonts w:ascii="Arial" w:hAnsi="Arial" w:cs="Arial"/>
                <w:b/>
                <w:bCs/>
                <w:lang w:eastAsia="en-GB"/>
              </w:rPr>
              <w:t>4C</w:t>
            </w:r>
          </w:p>
        </w:tc>
        <w:tc>
          <w:tcPr>
            <w:tcW w:w="964" w:type="dxa"/>
          </w:tcPr>
          <w:p w14:paraId="78FFECA6" w14:textId="77777777" w:rsidR="00460FB9" w:rsidRPr="00717199" w:rsidRDefault="00460FB9" w:rsidP="00AA34FF">
            <w:pPr>
              <w:jc w:val="center"/>
              <w:rPr>
                <w:rFonts w:ascii="Arial" w:hAnsi="Arial" w:cs="Arial"/>
                <w:lang w:eastAsia="en-GB"/>
              </w:rPr>
            </w:pPr>
            <w:r w:rsidRPr="00717199">
              <w:rPr>
                <w:rFonts w:ascii="Arial" w:hAnsi="Arial" w:cs="Arial"/>
                <w:lang w:eastAsia="en-GB"/>
              </w:rPr>
              <w:t>2.50%</w:t>
            </w:r>
          </w:p>
        </w:tc>
        <w:tc>
          <w:tcPr>
            <w:tcW w:w="517" w:type="dxa"/>
          </w:tcPr>
          <w:p w14:paraId="0D268F19" w14:textId="77777777" w:rsidR="00460FB9" w:rsidRPr="00717199" w:rsidRDefault="00460FB9" w:rsidP="00AA34FF">
            <w:pPr>
              <w:jc w:val="center"/>
              <w:rPr>
                <w:rFonts w:ascii="Arial" w:hAnsi="Arial" w:cs="Arial"/>
                <w:lang w:eastAsia="en-GB"/>
              </w:rPr>
            </w:pPr>
            <w:r w:rsidRPr="00717199">
              <w:rPr>
                <w:rFonts w:ascii="Arial" w:hAnsi="Arial" w:cs="Arial"/>
                <w:lang w:eastAsia="en-GB"/>
              </w:rPr>
              <w:t>3D</w:t>
            </w:r>
          </w:p>
        </w:tc>
        <w:tc>
          <w:tcPr>
            <w:tcW w:w="991" w:type="dxa"/>
          </w:tcPr>
          <w:p w14:paraId="1B4C700D" w14:textId="77777777" w:rsidR="00460FB9" w:rsidRPr="00717199" w:rsidRDefault="00460FB9" w:rsidP="00AA34FF">
            <w:pPr>
              <w:jc w:val="center"/>
              <w:rPr>
                <w:rFonts w:ascii="Arial" w:hAnsi="Arial" w:cs="Arial"/>
                <w:lang w:eastAsia="en-GB"/>
              </w:rPr>
            </w:pPr>
            <w:r w:rsidRPr="00717199">
              <w:rPr>
                <w:rFonts w:ascii="Arial" w:hAnsi="Arial" w:cs="Arial"/>
                <w:lang w:eastAsia="en-GB"/>
              </w:rPr>
              <w:t>12.50%</w:t>
            </w:r>
          </w:p>
        </w:tc>
        <w:tc>
          <w:tcPr>
            <w:tcW w:w="565" w:type="dxa"/>
          </w:tcPr>
          <w:p w14:paraId="5E735E84" w14:textId="77777777" w:rsidR="00460FB9" w:rsidRPr="00717199" w:rsidRDefault="00460FB9" w:rsidP="00AA34FF">
            <w:pPr>
              <w:jc w:val="center"/>
              <w:rPr>
                <w:rFonts w:ascii="Arial" w:hAnsi="Arial" w:cs="Arial"/>
                <w:lang w:eastAsia="en-GB"/>
              </w:rPr>
            </w:pPr>
            <w:r w:rsidRPr="00717199">
              <w:rPr>
                <w:rFonts w:ascii="Arial" w:hAnsi="Arial" w:cs="Arial"/>
                <w:lang w:eastAsia="en-GB"/>
              </w:rPr>
              <w:t>2E</w:t>
            </w:r>
          </w:p>
        </w:tc>
        <w:tc>
          <w:tcPr>
            <w:tcW w:w="991" w:type="dxa"/>
          </w:tcPr>
          <w:p w14:paraId="0AFDC5D9" w14:textId="77777777" w:rsidR="00460FB9" w:rsidRPr="00717199" w:rsidRDefault="00460FB9" w:rsidP="00AA34FF">
            <w:pPr>
              <w:jc w:val="center"/>
              <w:rPr>
                <w:rFonts w:ascii="Arial" w:hAnsi="Arial" w:cs="Arial"/>
                <w:lang w:eastAsia="en-GB"/>
              </w:rPr>
            </w:pPr>
            <w:r w:rsidRPr="00717199">
              <w:rPr>
                <w:rFonts w:ascii="Arial" w:hAnsi="Arial" w:cs="Arial"/>
                <w:lang w:eastAsia="en-GB"/>
              </w:rPr>
              <w:t>10.00%</w:t>
            </w:r>
          </w:p>
        </w:tc>
        <w:tc>
          <w:tcPr>
            <w:tcW w:w="486" w:type="dxa"/>
          </w:tcPr>
          <w:p w14:paraId="449BCBC8" w14:textId="77777777" w:rsidR="00460FB9" w:rsidRPr="00717199" w:rsidRDefault="00460FB9" w:rsidP="00AA34FF">
            <w:pPr>
              <w:jc w:val="center"/>
              <w:rPr>
                <w:rFonts w:ascii="Arial" w:hAnsi="Arial" w:cs="Arial"/>
                <w:lang w:eastAsia="en-GB"/>
              </w:rPr>
            </w:pPr>
          </w:p>
        </w:tc>
        <w:tc>
          <w:tcPr>
            <w:tcW w:w="1077" w:type="dxa"/>
          </w:tcPr>
          <w:p w14:paraId="27E5891B"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1842" w:type="dxa"/>
          </w:tcPr>
          <w:p w14:paraId="2BC9954B" w14:textId="77777777" w:rsidR="00460FB9" w:rsidRPr="00717199" w:rsidRDefault="00460FB9" w:rsidP="00AA34FF">
            <w:pPr>
              <w:jc w:val="center"/>
              <w:rPr>
                <w:rFonts w:ascii="Arial" w:hAnsi="Arial" w:cs="Arial"/>
                <w:lang w:eastAsia="en-GB"/>
              </w:rPr>
            </w:pPr>
            <w:r w:rsidRPr="00717199">
              <w:rPr>
                <w:rFonts w:ascii="Arial" w:hAnsi="Arial" w:cs="Arial"/>
                <w:lang w:eastAsia="en-GB"/>
              </w:rPr>
              <w:t>30.00%</w:t>
            </w:r>
          </w:p>
        </w:tc>
      </w:tr>
      <w:tr w:rsidR="00460FB9" w:rsidRPr="00717199" w14:paraId="5E7FA49B" w14:textId="77777777" w:rsidTr="001B4CAC">
        <w:trPr>
          <w:jc w:val="center"/>
        </w:trPr>
        <w:tc>
          <w:tcPr>
            <w:tcW w:w="500" w:type="dxa"/>
          </w:tcPr>
          <w:p w14:paraId="659E345E" w14:textId="77777777" w:rsidR="00460FB9" w:rsidRPr="00717199" w:rsidRDefault="00460FB9" w:rsidP="00AA34FF">
            <w:pPr>
              <w:jc w:val="center"/>
              <w:rPr>
                <w:rFonts w:ascii="Arial" w:hAnsi="Arial" w:cs="Arial"/>
                <w:b/>
                <w:bCs/>
                <w:lang w:eastAsia="en-GB"/>
              </w:rPr>
            </w:pPr>
            <w:r w:rsidRPr="00717199">
              <w:rPr>
                <w:rFonts w:ascii="Arial" w:hAnsi="Arial" w:cs="Arial"/>
                <w:b/>
                <w:bCs/>
                <w:lang w:eastAsia="en-GB"/>
              </w:rPr>
              <w:t>4D</w:t>
            </w:r>
          </w:p>
        </w:tc>
        <w:tc>
          <w:tcPr>
            <w:tcW w:w="964" w:type="dxa"/>
          </w:tcPr>
          <w:p w14:paraId="014BF70F" w14:textId="77777777" w:rsidR="00460FB9" w:rsidRPr="00717199" w:rsidRDefault="00460FB9" w:rsidP="00AA34FF">
            <w:pPr>
              <w:jc w:val="center"/>
              <w:rPr>
                <w:rFonts w:ascii="Arial" w:hAnsi="Arial" w:cs="Arial"/>
                <w:lang w:eastAsia="en-GB"/>
              </w:rPr>
            </w:pPr>
            <w:r w:rsidRPr="00717199">
              <w:rPr>
                <w:rFonts w:ascii="Arial" w:hAnsi="Arial" w:cs="Arial"/>
                <w:lang w:eastAsia="en-GB"/>
              </w:rPr>
              <w:t>7.50%</w:t>
            </w:r>
          </w:p>
        </w:tc>
        <w:tc>
          <w:tcPr>
            <w:tcW w:w="517" w:type="dxa"/>
          </w:tcPr>
          <w:p w14:paraId="5A51A60E" w14:textId="77777777" w:rsidR="00460FB9" w:rsidRPr="00717199" w:rsidRDefault="00460FB9" w:rsidP="00AA34FF">
            <w:pPr>
              <w:jc w:val="center"/>
              <w:rPr>
                <w:rFonts w:ascii="Arial" w:hAnsi="Arial" w:cs="Arial"/>
                <w:lang w:eastAsia="en-GB"/>
              </w:rPr>
            </w:pPr>
            <w:r w:rsidRPr="00717199">
              <w:rPr>
                <w:rFonts w:ascii="Arial" w:hAnsi="Arial" w:cs="Arial"/>
                <w:lang w:eastAsia="en-GB"/>
              </w:rPr>
              <w:t>3D</w:t>
            </w:r>
          </w:p>
        </w:tc>
        <w:tc>
          <w:tcPr>
            <w:tcW w:w="991" w:type="dxa"/>
          </w:tcPr>
          <w:p w14:paraId="095C5C5B" w14:textId="77777777" w:rsidR="00460FB9" w:rsidRPr="00717199" w:rsidRDefault="00460FB9" w:rsidP="00AA34FF">
            <w:pPr>
              <w:jc w:val="center"/>
              <w:rPr>
                <w:rFonts w:ascii="Arial" w:hAnsi="Arial" w:cs="Arial"/>
                <w:lang w:eastAsia="en-GB"/>
              </w:rPr>
            </w:pPr>
            <w:r w:rsidRPr="00717199">
              <w:rPr>
                <w:rFonts w:ascii="Arial" w:hAnsi="Arial" w:cs="Arial"/>
                <w:lang w:eastAsia="en-GB"/>
              </w:rPr>
              <w:t>12.50%</w:t>
            </w:r>
          </w:p>
        </w:tc>
        <w:tc>
          <w:tcPr>
            <w:tcW w:w="565" w:type="dxa"/>
          </w:tcPr>
          <w:p w14:paraId="374FB1E7" w14:textId="77777777" w:rsidR="00460FB9" w:rsidRPr="00717199" w:rsidRDefault="00460FB9" w:rsidP="00AA34FF">
            <w:pPr>
              <w:jc w:val="center"/>
              <w:rPr>
                <w:rFonts w:ascii="Arial" w:hAnsi="Arial" w:cs="Arial"/>
                <w:lang w:eastAsia="en-GB"/>
              </w:rPr>
            </w:pPr>
            <w:r w:rsidRPr="00717199">
              <w:rPr>
                <w:rFonts w:ascii="Arial" w:hAnsi="Arial" w:cs="Arial"/>
                <w:lang w:eastAsia="en-GB"/>
              </w:rPr>
              <w:t>2E</w:t>
            </w:r>
          </w:p>
        </w:tc>
        <w:tc>
          <w:tcPr>
            <w:tcW w:w="991" w:type="dxa"/>
          </w:tcPr>
          <w:p w14:paraId="0768B028" w14:textId="77777777" w:rsidR="00460FB9" w:rsidRPr="00717199" w:rsidRDefault="00460FB9" w:rsidP="00AA34FF">
            <w:pPr>
              <w:jc w:val="center"/>
              <w:rPr>
                <w:rFonts w:ascii="Arial" w:hAnsi="Arial" w:cs="Arial"/>
                <w:lang w:eastAsia="en-GB"/>
              </w:rPr>
            </w:pPr>
            <w:r w:rsidRPr="00717199">
              <w:rPr>
                <w:rFonts w:ascii="Arial" w:hAnsi="Arial" w:cs="Arial"/>
                <w:lang w:eastAsia="en-GB"/>
              </w:rPr>
              <w:t>10.00%</w:t>
            </w:r>
          </w:p>
        </w:tc>
        <w:tc>
          <w:tcPr>
            <w:tcW w:w="486" w:type="dxa"/>
          </w:tcPr>
          <w:p w14:paraId="563A9BB6" w14:textId="77777777" w:rsidR="00460FB9" w:rsidRPr="00717199" w:rsidRDefault="00460FB9" w:rsidP="00AA34FF">
            <w:pPr>
              <w:jc w:val="center"/>
              <w:rPr>
                <w:rFonts w:ascii="Arial" w:hAnsi="Arial" w:cs="Arial"/>
                <w:lang w:eastAsia="en-GB"/>
              </w:rPr>
            </w:pPr>
          </w:p>
        </w:tc>
        <w:tc>
          <w:tcPr>
            <w:tcW w:w="1077" w:type="dxa"/>
          </w:tcPr>
          <w:p w14:paraId="21748344"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1842" w:type="dxa"/>
          </w:tcPr>
          <w:p w14:paraId="0DDC7BA2" w14:textId="77777777" w:rsidR="00460FB9" w:rsidRPr="00717199" w:rsidRDefault="00460FB9" w:rsidP="00AA34FF">
            <w:pPr>
              <w:jc w:val="center"/>
              <w:rPr>
                <w:rFonts w:ascii="Arial" w:hAnsi="Arial" w:cs="Arial"/>
                <w:lang w:eastAsia="en-GB"/>
              </w:rPr>
            </w:pPr>
            <w:r w:rsidRPr="00717199">
              <w:rPr>
                <w:rFonts w:ascii="Arial" w:hAnsi="Arial" w:cs="Arial"/>
                <w:lang w:eastAsia="en-GB"/>
              </w:rPr>
              <w:t>35.00%</w:t>
            </w:r>
          </w:p>
        </w:tc>
      </w:tr>
      <w:tr w:rsidR="00460FB9" w:rsidRPr="00717199" w14:paraId="3CF792E7" w14:textId="77777777" w:rsidTr="001B4CAC">
        <w:trPr>
          <w:jc w:val="center"/>
        </w:trPr>
        <w:tc>
          <w:tcPr>
            <w:tcW w:w="500" w:type="dxa"/>
          </w:tcPr>
          <w:p w14:paraId="61DAB555" w14:textId="77777777" w:rsidR="00460FB9" w:rsidRPr="00717199" w:rsidRDefault="00460FB9" w:rsidP="00AA34FF">
            <w:pPr>
              <w:jc w:val="center"/>
              <w:rPr>
                <w:rFonts w:ascii="Arial" w:hAnsi="Arial" w:cs="Arial"/>
                <w:b/>
                <w:bCs/>
                <w:lang w:eastAsia="en-GB"/>
              </w:rPr>
            </w:pPr>
            <w:r w:rsidRPr="00717199">
              <w:rPr>
                <w:rFonts w:ascii="Arial" w:hAnsi="Arial" w:cs="Arial"/>
                <w:b/>
                <w:bCs/>
                <w:lang w:eastAsia="en-GB"/>
              </w:rPr>
              <w:t>4E</w:t>
            </w:r>
          </w:p>
        </w:tc>
        <w:tc>
          <w:tcPr>
            <w:tcW w:w="964" w:type="dxa"/>
          </w:tcPr>
          <w:p w14:paraId="1E6B74B8" w14:textId="77777777" w:rsidR="00460FB9" w:rsidRPr="00717199" w:rsidRDefault="00460FB9" w:rsidP="00AA34FF">
            <w:pPr>
              <w:jc w:val="center"/>
              <w:rPr>
                <w:rFonts w:ascii="Arial" w:hAnsi="Arial" w:cs="Arial"/>
                <w:lang w:eastAsia="en-GB"/>
              </w:rPr>
            </w:pPr>
            <w:r w:rsidRPr="00717199">
              <w:rPr>
                <w:rFonts w:ascii="Arial" w:hAnsi="Arial" w:cs="Arial"/>
                <w:lang w:eastAsia="en-GB"/>
              </w:rPr>
              <w:t>12.50%</w:t>
            </w:r>
          </w:p>
        </w:tc>
        <w:tc>
          <w:tcPr>
            <w:tcW w:w="517" w:type="dxa"/>
          </w:tcPr>
          <w:p w14:paraId="1B696D78" w14:textId="77777777" w:rsidR="00460FB9" w:rsidRPr="00717199" w:rsidRDefault="00460FB9" w:rsidP="00AA34FF">
            <w:pPr>
              <w:jc w:val="center"/>
              <w:rPr>
                <w:rFonts w:ascii="Arial" w:hAnsi="Arial" w:cs="Arial"/>
                <w:lang w:eastAsia="en-GB"/>
              </w:rPr>
            </w:pPr>
            <w:r w:rsidRPr="00717199">
              <w:rPr>
                <w:rFonts w:ascii="Arial" w:hAnsi="Arial" w:cs="Arial"/>
                <w:lang w:eastAsia="en-GB"/>
              </w:rPr>
              <w:t>3D</w:t>
            </w:r>
          </w:p>
        </w:tc>
        <w:tc>
          <w:tcPr>
            <w:tcW w:w="991" w:type="dxa"/>
          </w:tcPr>
          <w:p w14:paraId="36995808" w14:textId="77777777" w:rsidR="00460FB9" w:rsidRPr="00717199" w:rsidRDefault="00460FB9" w:rsidP="00AA34FF">
            <w:pPr>
              <w:jc w:val="center"/>
              <w:rPr>
                <w:rFonts w:ascii="Arial" w:hAnsi="Arial" w:cs="Arial"/>
                <w:lang w:eastAsia="en-GB"/>
              </w:rPr>
            </w:pPr>
            <w:r w:rsidRPr="00717199">
              <w:rPr>
                <w:rFonts w:ascii="Arial" w:hAnsi="Arial" w:cs="Arial"/>
                <w:lang w:eastAsia="en-GB"/>
              </w:rPr>
              <w:t>12.50%</w:t>
            </w:r>
          </w:p>
        </w:tc>
        <w:tc>
          <w:tcPr>
            <w:tcW w:w="565" w:type="dxa"/>
          </w:tcPr>
          <w:p w14:paraId="33D2F0AA" w14:textId="77777777" w:rsidR="00460FB9" w:rsidRPr="00717199" w:rsidRDefault="00460FB9" w:rsidP="00AA34FF">
            <w:pPr>
              <w:jc w:val="center"/>
              <w:rPr>
                <w:rFonts w:ascii="Arial" w:hAnsi="Arial" w:cs="Arial"/>
                <w:lang w:eastAsia="en-GB"/>
              </w:rPr>
            </w:pPr>
            <w:r w:rsidRPr="00717199">
              <w:rPr>
                <w:rFonts w:ascii="Arial" w:hAnsi="Arial" w:cs="Arial"/>
                <w:lang w:eastAsia="en-GB"/>
              </w:rPr>
              <w:t>2E</w:t>
            </w:r>
          </w:p>
        </w:tc>
        <w:tc>
          <w:tcPr>
            <w:tcW w:w="991" w:type="dxa"/>
          </w:tcPr>
          <w:p w14:paraId="3E6787B8" w14:textId="77777777" w:rsidR="00460FB9" w:rsidRPr="00717199" w:rsidRDefault="00460FB9" w:rsidP="00AA34FF">
            <w:pPr>
              <w:jc w:val="center"/>
              <w:rPr>
                <w:rFonts w:ascii="Arial" w:hAnsi="Arial" w:cs="Arial"/>
                <w:lang w:eastAsia="en-GB"/>
              </w:rPr>
            </w:pPr>
            <w:r w:rsidRPr="00717199">
              <w:rPr>
                <w:rFonts w:ascii="Arial" w:hAnsi="Arial" w:cs="Arial"/>
                <w:lang w:eastAsia="en-GB"/>
              </w:rPr>
              <w:t>10.00%</w:t>
            </w:r>
          </w:p>
        </w:tc>
        <w:tc>
          <w:tcPr>
            <w:tcW w:w="486" w:type="dxa"/>
          </w:tcPr>
          <w:p w14:paraId="24CE6F25" w14:textId="77777777" w:rsidR="00460FB9" w:rsidRPr="00717199" w:rsidRDefault="00460FB9" w:rsidP="00AA34FF">
            <w:pPr>
              <w:jc w:val="center"/>
              <w:rPr>
                <w:rFonts w:ascii="Arial" w:hAnsi="Arial" w:cs="Arial"/>
                <w:lang w:eastAsia="en-GB"/>
              </w:rPr>
            </w:pPr>
          </w:p>
        </w:tc>
        <w:tc>
          <w:tcPr>
            <w:tcW w:w="1077" w:type="dxa"/>
          </w:tcPr>
          <w:p w14:paraId="1E8A94FE"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1842" w:type="dxa"/>
          </w:tcPr>
          <w:p w14:paraId="458290BE" w14:textId="77777777" w:rsidR="00460FB9" w:rsidRPr="00717199" w:rsidRDefault="00460FB9" w:rsidP="00AA34FF">
            <w:pPr>
              <w:jc w:val="center"/>
              <w:rPr>
                <w:rFonts w:ascii="Arial" w:hAnsi="Arial" w:cs="Arial"/>
                <w:lang w:eastAsia="en-GB"/>
              </w:rPr>
            </w:pPr>
            <w:r w:rsidRPr="00717199">
              <w:rPr>
                <w:rFonts w:ascii="Arial" w:hAnsi="Arial" w:cs="Arial"/>
                <w:lang w:eastAsia="en-GB"/>
              </w:rPr>
              <w:t>37.50%</w:t>
            </w:r>
          </w:p>
        </w:tc>
      </w:tr>
      <w:tr w:rsidR="00460FB9" w:rsidRPr="00717199" w14:paraId="2709E66E" w14:textId="77777777" w:rsidTr="001B4CAC">
        <w:trPr>
          <w:jc w:val="center"/>
        </w:trPr>
        <w:tc>
          <w:tcPr>
            <w:tcW w:w="500" w:type="dxa"/>
          </w:tcPr>
          <w:p w14:paraId="00CB8582" w14:textId="77777777" w:rsidR="00460FB9" w:rsidRPr="00717199" w:rsidRDefault="00460FB9" w:rsidP="00AA34FF">
            <w:pPr>
              <w:jc w:val="center"/>
              <w:rPr>
                <w:rFonts w:ascii="Arial" w:hAnsi="Arial" w:cs="Arial"/>
                <w:b/>
                <w:bCs/>
                <w:lang w:eastAsia="en-GB"/>
              </w:rPr>
            </w:pPr>
            <w:r w:rsidRPr="00717199">
              <w:rPr>
                <w:rFonts w:ascii="Arial" w:hAnsi="Arial" w:cs="Arial"/>
                <w:b/>
                <w:bCs/>
                <w:lang w:eastAsia="en-GB"/>
              </w:rPr>
              <w:t>5B</w:t>
            </w:r>
          </w:p>
        </w:tc>
        <w:tc>
          <w:tcPr>
            <w:tcW w:w="964" w:type="dxa"/>
          </w:tcPr>
          <w:p w14:paraId="1ACD7AAF" w14:textId="77777777" w:rsidR="00460FB9" w:rsidRPr="00717199" w:rsidRDefault="00460FB9" w:rsidP="00AA34FF">
            <w:pPr>
              <w:jc w:val="center"/>
              <w:rPr>
                <w:rFonts w:ascii="Arial" w:hAnsi="Arial" w:cs="Arial"/>
                <w:lang w:eastAsia="en-GB"/>
              </w:rPr>
            </w:pPr>
            <w:r w:rsidRPr="00717199">
              <w:rPr>
                <w:rFonts w:ascii="Arial" w:hAnsi="Arial" w:cs="Arial"/>
                <w:lang w:eastAsia="en-GB"/>
              </w:rPr>
              <w:t>2.50%</w:t>
            </w:r>
          </w:p>
        </w:tc>
        <w:tc>
          <w:tcPr>
            <w:tcW w:w="517" w:type="dxa"/>
          </w:tcPr>
          <w:p w14:paraId="57E856BA" w14:textId="77777777" w:rsidR="00460FB9" w:rsidRPr="00717199" w:rsidRDefault="00460FB9" w:rsidP="00AA34FF">
            <w:pPr>
              <w:jc w:val="center"/>
              <w:rPr>
                <w:rFonts w:ascii="Arial" w:hAnsi="Arial" w:cs="Arial"/>
                <w:lang w:eastAsia="en-GB"/>
              </w:rPr>
            </w:pPr>
            <w:r w:rsidRPr="00717199">
              <w:rPr>
                <w:rFonts w:ascii="Arial" w:hAnsi="Arial" w:cs="Arial"/>
                <w:lang w:eastAsia="en-GB"/>
              </w:rPr>
              <w:t>4D</w:t>
            </w:r>
          </w:p>
        </w:tc>
        <w:tc>
          <w:tcPr>
            <w:tcW w:w="991" w:type="dxa"/>
          </w:tcPr>
          <w:p w14:paraId="07540A08" w14:textId="77777777" w:rsidR="00460FB9" w:rsidRPr="00717199" w:rsidRDefault="00460FB9" w:rsidP="00AA34FF">
            <w:pPr>
              <w:jc w:val="center"/>
              <w:rPr>
                <w:rFonts w:ascii="Arial" w:hAnsi="Arial" w:cs="Arial"/>
                <w:lang w:eastAsia="en-GB"/>
              </w:rPr>
            </w:pPr>
            <w:r w:rsidRPr="00717199">
              <w:rPr>
                <w:rFonts w:ascii="Arial" w:hAnsi="Arial" w:cs="Arial"/>
                <w:lang w:eastAsia="en-GB"/>
              </w:rPr>
              <w:t>12.50%</w:t>
            </w:r>
          </w:p>
        </w:tc>
        <w:tc>
          <w:tcPr>
            <w:tcW w:w="565" w:type="dxa"/>
          </w:tcPr>
          <w:p w14:paraId="3E1198A4" w14:textId="77777777" w:rsidR="00460FB9" w:rsidRPr="00717199" w:rsidRDefault="00460FB9" w:rsidP="00AA34FF">
            <w:pPr>
              <w:jc w:val="center"/>
              <w:rPr>
                <w:rFonts w:ascii="Arial" w:hAnsi="Arial" w:cs="Arial"/>
                <w:lang w:eastAsia="en-GB"/>
              </w:rPr>
            </w:pPr>
            <w:r w:rsidRPr="00717199">
              <w:rPr>
                <w:rFonts w:ascii="Arial" w:hAnsi="Arial" w:cs="Arial"/>
                <w:lang w:eastAsia="en-GB"/>
              </w:rPr>
              <w:t>3D</w:t>
            </w:r>
          </w:p>
        </w:tc>
        <w:tc>
          <w:tcPr>
            <w:tcW w:w="991" w:type="dxa"/>
          </w:tcPr>
          <w:p w14:paraId="4419AD36" w14:textId="77777777" w:rsidR="00460FB9" w:rsidRPr="00717199" w:rsidRDefault="00460FB9" w:rsidP="00AA34FF">
            <w:pPr>
              <w:jc w:val="center"/>
              <w:rPr>
                <w:rFonts w:ascii="Arial" w:hAnsi="Arial" w:cs="Arial"/>
                <w:lang w:eastAsia="en-GB"/>
              </w:rPr>
            </w:pPr>
            <w:r w:rsidRPr="00717199">
              <w:rPr>
                <w:rFonts w:ascii="Arial" w:hAnsi="Arial" w:cs="Arial"/>
                <w:lang w:eastAsia="en-GB"/>
              </w:rPr>
              <w:t>12.50%</w:t>
            </w:r>
          </w:p>
        </w:tc>
        <w:tc>
          <w:tcPr>
            <w:tcW w:w="486" w:type="dxa"/>
          </w:tcPr>
          <w:p w14:paraId="2816BE18" w14:textId="77777777" w:rsidR="00460FB9" w:rsidRPr="00717199" w:rsidRDefault="00460FB9" w:rsidP="00AA34FF">
            <w:pPr>
              <w:jc w:val="center"/>
              <w:rPr>
                <w:rFonts w:ascii="Arial" w:hAnsi="Arial" w:cs="Arial"/>
                <w:lang w:eastAsia="en-GB"/>
              </w:rPr>
            </w:pPr>
            <w:r w:rsidRPr="00717199">
              <w:rPr>
                <w:rFonts w:ascii="Arial" w:hAnsi="Arial" w:cs="Arial"/>
                <w:lang w:eastAsia="en-GB"/>
              </w:rPr>
              <w:t>2E</w:t>
            </w:r>
          </w:p>
        </w:tc>
        <w:tc>
          <w:tcPr>
            <w:tcW w:w="1077" w:type="dxa"/>
          </w:tcPr>
          <w:p w14:paraId="0B877185" w14:textId="77777777" w:rsidR="00460FB9" w:rsidRPr="00717199" w:rsidRDefault="00460FB9" w:rsidP="00AA34FF">
            <w:pPr>
              <w:jc w:val="center"/>
              <w:rPr>
                <w:rFonts w:ascii="Arial" w:hAnsi="Arial" w:cs="Arial"/>
                <w:lang w:eastAsia="en-GB"/>
              </w:rPr>
            </w:pPr>
            <w:r w:rsidRPr="00717199">
              <w:rPr>
                <w:rFonts w:ascii="Arial" w:hAnsi="Arial" w:cs="Arial"/>
                <w:lang w:eastAsia="en-GB"/>
              </w:rPr>
              <w:t>10.00%</w:t>
            </w:r>
          </w:p>
        </w:tc>
        <w:tc>
          <w:tcPr>
            <w:tcW w:w="1842" w:type="dxa"/>
          </w:tcPr>
          <w:p w14:paraId="661AA3C7" w14:textId="77777777" w:rsidR="00460FB9" w:rsidRPr="00717199" w:rsidRDefault="00460FB9" w:rsidP="00AA34FF">
            <w:pPr>
              <w:jc w:val="center"/>
              <w:rPr>
                <w:rFonts w:ascii="Arial" w:hAnsi="Arial" w:cs="Arial"/>
                <w:lang w:eastAsia="en-GB"/>
              </w:rPr>
            </w:pPr>
            <w:r w:rsidRPr="00717199">
              <w:rPr>
                <w:rFonts w:ascii="Arial" w:hAnsi="Arial" w:cs="Arial"/>
                <w:lang w:eastAsia="en-GB"/>
              </w:rPr>
              <w:t>37.50%</w:t>
            </w:r>
          </w:p>
        </w:tc>
      </w:tr>
      <w:tr w:rsidR="00460FB9" w:rsidRPr="00717199" w14:paraId="294E060E" w14:textId="77777777" w:rsidTr="001B4CAC">
        <w:trPr>
          <w:jc w:val="center"/>
        </w:trPr>
        <w:tc>
          <w:tcPr>
            <w:tcW w:w="500" w:type="dxa"/>
          </w:tcPr>
          <w:p w14:paraId="41D9DB55" w14:textId="77777777" w:rsidR="00460FB9" w:rsidRPr="00717199" w:rsidRDefault="00460FB9" w:rsidP="00AA34FF">
            <w:pPr>
              <w:jc w:val="center"/>
              <w:rPr>
                <w:rFonts w:ascii="Arial" w:hAnsi="Arial" w:cs="Arial"/>
                <w:b/>
                <w:bCs/>
                <w:lang w:eastAsia="en-GB"/>
              </w:rPr>
            </w:pPr>
            <w:r w:rsidRPr="00717199">
              <w:rPr>
                <w:rFonts w:ascii="Arial" w:hAnsi="Arial" w:cs="Arial"/>
                <w:b/>
                <w:bCs/>
                <w:lang w:eastAsia="en-GB"/>
              </w:rPr>
              <w:t>5C</w:t>
            </w:r>
          </w:p>
        </w:tc>
        <w:tc>
          <w:tcPr>
            <w:tcW w:w="964" w:type="dxa"/>
          </w:tcPr>
          <w:p w14:paraId="5DC02FC2" w14:textId="77777777" w:rsidR="00460FB9" w:rsidRPr="00717199" w:rsidRDefault="00460FB9" w:rsidP="00AA34FF">
            <w:pPr>
              <w:jc w:val="center"/>
              <w:rPr>
                <w:rFonts w:ascii="Arial" w:hAnsi="Arial" w:cs="Arial"/>
                <w:lang w:eastAsia="en-GB"/>
              </w:rPr>
            </w:pPr>
            <w:r w:rsidRPr="00717199">
              <w:rPr>
                <w:rFonts w:ascii="Arial" w:hAnsi="Arial" w:cs="Arial"/>
                <w:lang w:eastAsia="en-GB"/>
              </w:rPr>
              <w:t>7.50%</w:t>
            </w:r>
          </w:p>
        </w:tc>
        <w:tc>
          <w:tcPr>
            <w:tcW w:w="517" w:type="dxa"/>
          </w:tcPr>
          <w:p w14:paraId="30F50430" w14:textId="77777777" w:rsidR="00460FB9" w:rsidRPr="00717199" w:rsidRDefault="00460FB9" w:rsidP="00AA34FF">
            <w:pPr>
              <w:jc w:val="center"/>
              <w:rPr>
                <w:rFonts w:ascii="Arial" w:hAnsi="Arial" w:cs="Arial"/>
                <w:lang w:eastAsia="en-GB"/>
              </w:rPr>
            </w:pPr>
            <w:r w:rsidRPr="00717199">
              <w:rPr>
                <w:rFonts w:ascii="Arial" w:hAnsi="Arial" w:cs="Arial"/>
                <w:lang w:eastAsia="en-GB"/>
              </w:rPr>
              <w:t>4D</w:t>
            </w:r>
          </w:p>
        </w:tc>
        <w:tc>
          <w:tcPr>
            <w:tcW w:w="991" w:type="dxa"/>
          </w:tcPr>
          <w:p w14:paraId="42AE6FB1" w14:textId="77777777" w:rsidR="00460FB9" w:rsidRPr="00717199" w:rsidRDefault="00460FB9" w:rsidP="00AA34FF">
            <w:pPr>
              <w:jc w:val="center"/>
              <w:rPr>
                <w:rFonts w:ascii="Arial" w:hAnsi="Arial" w:cs="Arial"/>
                <w:lang w:eastAsia="en-GB"/>
              </w:rPr>
            </w:pPr>
            <w:r w:rsidRPr="00717199">
              <w:rPr>
                <w:rFonts w:ascii="Arial" w:hAnsi="Arial" w:cs="Arial"/>
                <w:lang w:eastAsia="en-GB"/>
              </w:rPr>
              <w:t>12.50%</w:t>
            </w:r>
          </w:p>
        </w:tc>
        <w:tc>
          <w:tcPr>
            <w:tcW w:w="565" w:type="dxa"/>
          </w:tcPr>
          <w:p w14:paraId="38FFB35E" w14:textId="77777777" w:rsidR="00460FB9" w:rsidRPr="00717199" w:rsidRDefault="00460FB9" w:rsidP="00AA34FF">
            <w:pPr>
              <w:jc w:val="center"/>
              <w:rPr>
                <w:rFonts w:ascii="Arial" w:hAnsi="Arial" w:cs="Arial"/>
                <w:lang w:eastAsia="en-GB"/>
              </w:rPr>
            </w:pPr>
            <w:r w:rsidRPr="00717199">
              <w:rPr>
                <w:rFonts w:ascii="Arial" w:hAnsi="Arial" w:cs="Arial"/>
                <w:lang w:eastAsia="en-GB"/>
              </w:rPr>
              <w:t>3D</w:t>
            </w:r>
          </w:p>
        </w:tc>
        <w:tc>
          <w:tcPr>
            <w:tcW w:w="991" w:type="dxa"/>
          </w:tcPr>
          <w:p w14:paraId="4490DD5D" w14:textId="77777777" w:rsidR="00460FB9" w:rsidRPr="00717199" w:rsidRDefault="00460FB9" w:rsidP="00AA34FF">
            <w:pPr>
              <w:jc w:val="center"/>
              <w:rPr>
                <w:rFonts w:ascii="Arial" w:hAnsi="Arial" w:cs="Arial"/>
                <w:lang w:eastAsia="en-GB"/>
              </w:rPr>
            </w:pPr>
            <w:r w:rsidRPr="00717199">
              <w:rPr>
                <w:rFonts w:ascii="Arial" w:hAnsi="Arial" w:cs="Arial"/>
                <w:lang w:eastAsia="en-GB"/>
              </w:rPr>
              <w:t>12.50%</w:t>
            </w:r>
          </w:p>
        </w:tc>
        <w:tc>
          <w:tcPr>
            <w:tcW w:w="486" w:type="dxa"/>
          </w:tcPr>
          <w:p w14:paraId="048905D1" w14:textId="77777777" w:rsidR="00460FB9" w:rsidRPr="00717199" w:rsidRDefault="00460FB9" w:rsidP="00AA34FF">
            <w:pPr>
              <w:jc w:val="center"/>
              <w:rPr>
                <w:rFonts w:ascii="Arial" w:hAnsi="Arial" w:cs="Arial"/>
                <w:lang w:eastAsia="en-GB"/>
              </w:rPr>
            </w:pPr>
            <w:r w:rsidRPr="00717199">
              <w:rPr>
                <w:rFonts w:ascii="Arial" w:hAnsi="Arial" w:cs="Arial"/>
                <w:lang w:eastAsia="en-GB"/>
              </w:rPr>
              <w:t>2E</w:t>
            </w:r>
          </w:p>
        </w:tc>
        <w:tc>
          <w:tcPr>
            <w:tcW w:w="1077" w:type="dxa"/>
          </w:tcPr>
          <w:p w14:paraId="17B0CBEA" w14:textId="77777777" w:rsidR="00460FB9" w:rsidRPr="00717199" w:rsidRDefault="00460FB9" w:rsidP="00AA34FF">
            <w:pPr>
              <w:jc w:val="center"/>
              <w:rPr>
                <w:rFonts w:ascii="Arial" w:hAnsi="Arial" w:cs="Arial"/>
                <w:lang w:eastAsia="en-GB"/>
              </w:rPr>
            </w:pPr>
            <w:r w:rsidRPr="00717199">
              <w:rPr>
                <w:rFonts w:ascii="Arial" w:hAnsi="Arial" w:cs="Arial"/>
                <w:lang w:eastAsia="en-GB"/>
              </w:rPr>
              <w:t>10.00%</w:t>
            </w:r>
          </w:p>
        </w:tc>
        <w:tc>
          <w:tcPr>
            <w:tcW w:w="1842" w:type="dxa"/>
          </w:tcPr>
          <w:p w14:paraId="748B9131" w14:textId="77777777" w:rsidR="00460FB9" w:rsidRPr="00717199" w:rsidRDefault="00460FB9" w:rsidP="00AA34FF">
            <w:pPr>
              <w:jc w:val="center"/>
              <w:rPr>
                <w:rFonts w:ascii="Arial" w:hAnsi="Arial" w:cs="Arial"/>
                <w:lang w:eastAsia="en-GB"/>
              </w:rPr>
            </w:pPr>
            <w:r w:rsidRPr="00717199">
              <w:rPr>
                <w:rFonts w:ascii="Arial" w:hAnsi="Arial" w:cs="Arial"/>
                <w:lang w:eastAsia="en-GB"/>
              </w:rPr>
              <w:t>42.50%</w:t>
            </w:r>
          </w:p>
        </w:tc>
      </w:tr>
      <w:tr w:rsidR="00460FB9" w:rsidRPr="00717199" w14:paraId="565F31FE" w14:textId="77777777" w:rsidTr="001B4CAC">
        <w:trPr>
          <w:jc w:val="center"/>
        </w:trPr>
        <w:tc>
          <w:tcPr>
            <w:tcW w:w="500" w:type="dxa"/>
          </w:tcPr>
          <w:p w14:paraId="314B074D" w14:textId="77777777" w:rsidR="00460FB9" w:rsidRPr="00717199" w:rsidRDefault="00460FB9" w:rsidP="00AA34FF">
            <w:pPr>
              <w:jc w:val="center"/>
              <w:rPr>
                <w:rFonts w:ascii="Arial" w:hAnsi="Arial" w:cs="Arial"/>
                <w:b/>
                <w:bCs/>
                <w:lang w:eastAsia="en-GB"/>
              </w:rPr>
            </w:pPr>
            <w:r w:rsidRPr="00717199">
              <w:rPr>
                <w:rFonts w:ascii="Arial" w:hAnsi="Arial" w:cs="Arial"/>
                <w:b/>
                <w:bCs/>
                <w:lang w:eastAsia="en-GB"/>
              </w:rPr>
              <w:t>5D</w:t>
            </w:r>
          </w:p>
        </w:tc>
        <w:tc>
          <w:tcPr>
            <w:tcW w:w="964" w:type="dxa"/>
          </w:tcPr>
          <w:p w14:paraId="2663E200" w14:textId="77777777" w:rsidR="00460FB9" w:rsidRPr="00717199" w:rsidRDefault="00460FB9" w:rsidP="00AA34FF">
            <w:pPr>
              <w:jc w:val="center"/>
              <w:rPr>
                <w:rFonts w:ascii="Arial" w:hAnsi="Arial" w:cs="Arial"/>
                <w:lang w:eastAsia="en-GB"/>
              </w:rPr>
            </w:pPr>
            <w:r w:rsidRPr="00717199">
              <w:rPr>
                <w:rFonts w:ascii="Arial" w:hAnsi="Arial" w:cs="Arial"/>
                <w:lang w:eastAsia="en-GB"/>
              </w:rPr>
              <w:t>20.00%</w:t>
            </w:r>
          </w:p>
        </w:tc>
        <w:tc>
          <w:tcPr>
            <w:tcW w:w="517" w:type="dxa"/>
          </w:tcPr>
          <w:p w14:paraId="60E1E959" w14:textId="77777777" w:rsidR="00460FB9" w:rsidRPr="00717199" w:rsidRDefault="00460FB9" w:rsidP="00AA34FF">
            <w:pPr>
              <w:jc w:val="center"/>
              <w:rPr>
                <w:rFonts w:ascii="Arial" w:hAnsi="Arial" w:cs="Arial"/>
                <w:lang w:eastAsia="en-GB"/>
              </w:rPr>
            </w:pPr>
            <w:r w:rsidRPr="00717199">
              <w:rPr>
                <w:rFonts w:ascii="Arial" w:hAnsi="Arial" w:cs="Arial"/>
                <w:lang w:eastAsia="en-GB"/>
              </w:rPr>
              <w:t>4D</w:t>
            </w:r>
          </w:p>
        </w:tc>
        <w:tc>
          <w:tcPr>
            <w:tcW w:w="991" w:type="dxa"/>
          </w:tcPr>
          <w:p w14:paraId="55C1E2E2" w14:textId="77777777" w:rsidR="00460FB9" w:rsidRPr="00717199" w:rsidRDefault="00460FB9" w:rsidP="00AA34FF">
            <w:pPr>
              <w:jc w:val="center"/>
              <w:rPr>
                <w:rFonts w:ascii="Arial" w:hAnsi="Arial" w:cs="Arial"/>
                <w:lang w:eastAsia="en-GB"/>
              </w:rPr>
            </w:pPr>
            <w:r w:rsidRPr="00717199">
              <w:rPr>
                <w:rFonts w:ascii="Arial" w:hAnsi="Arial" w:cs="Arial"/>
                <w:lang w:eastAsia="en-GB"/>
              </w:rPr>
              <w:t>12.50%</w:t>
            </w:r>
          </w:p>
        </w:tc>
        <w:tc>
          <w:tcPr>
            <w:tcW w:w="565" w:type="dxa"/>
          </w:tcPr>
          <w:p w14:paraId="0A29D2FE" w14:textId="77777777" w:rsidR="00460FB9" w:rsidRPr="00717199" w:rsidRDefault="00460FB9" w:rsidP="00AA34FF">
            <w:pPr>
              <w:jc w:val="center"/>
              <w:rPr>
                <w:rFonts w:ascii="Arial" w:hAnsi="Arial" w:cs="Arial"/>
                <w:lang w:eastAsia="en-GB"/>
              </w:rPr>
            </w:pPr>
            <w:r w:rsidRPr="00717199">
              <w:rPr>
                <w:rFonts w:ascii="Arial" w:hAnsi="Arial" w:cs="Arial"/>
                <w:lang w:eastAsia="en-GB"/>
              </w:rPr>
              <w:t>3D</w:t>
            </w:r>
          </w:p>
        </w:tc>
        <w:tc>
          <w:tcPr>
            <w:tcW w:w="991" w:type="dxa"/>
          </w:tcPr>
          <w:p w14:paraId="01901A6B" w14:textId="77777777" w:rsidR="00460FB9" w:rsidRPr="00717199" w:rsidRDefault="00460FB9" w:rsidP="00AA34FF">
            <w:pPr>
              <w:jc w:val="center"/>
              <w:rPr>
                <w:rFonts w:ascii="Arial" w:hAnsi="Arial" w:cs="Arial"/>
                <w:lang w:eastAsia="en-GB"/>
              </w:rPr>
            </w:pPr>
            <w:r w:rsidRPr="00717199">
              <w:rPr>
                <w:rFonts w:ascii="Arial" w:hAnsi="Arial" w:cs="Arial"/>
                <w:lang w:eastAsia="en-GB"/>
              </w:rPr>
              <w:t>12.50%</w:t>
            </w:r>
          </w:p>
        </w:tc>
        <w:tc>
          <w:tcPr>
            <w:tcW w:w="486" w:type="dxa"/>
          </w:tcPr>
          <w:p w14:paraId="10521A92" w14:textId="77777777" w:rsidR="00460FB9" w:rsidRPr="00717199" w:rsidRDefault="00460FB9" w:rsidP="00AA34FF">
            <w:pPr>
              <w:jc w:val="center"/>
              <w:rPr>
                <w:rFonts w:ascii="Arial" w:hAnsi="Arial" w:cs="Arial"/>
                <w:lang w:eastAsia="en-GB"/>
              </w:rPr>
            </w:pPr>
            <w:r w:rsidRPr="00717199">
              <w:rPr>
                <w:rFonts w:ascii="Arial" w:hAnsi="Arial" w:cs="Arial"/>
                <w:lang w:eastAsia="en-GB"/>
              </w:rPr>
              <w:t>2E</w:t>
            </w:r>
          </w:p>
        </w:tc>
        <w:tc>
          <w:tcPr>
            <w:tcW w:w="1077" w:type="dxa"/>
          </w:tcPr>
          <w:p w14:paraId="38D20026" w14:textId="77777777" w:rsidR="00460FB9" w:rsidRPr="00717199" w:rsidRDefault="00460FB9" w:rsidP="00AA34FF">
            <w:pPr>
              <w:jc w:val="center"/>
              <w:rPr>
                <w:rFonts w:ascii="Arial" w:hAnsi="Arial" w:cs="Arial"/>
                <w:lang w:eastAsia="en-GB"/>
              </w:rPr>
            </w:pPr>
            <w:r w:rsidRPr="00717199">
              <w:rPr>
                <w:rFonts w:ascii="Arial" w:hAnsi="Arial" w:cs="Arial"/>
                <w:lang w:eastAsia="en-GB"/>
              </w:rPr>
              <w:t>12.50%</w:t>
            </w:r>
          </w:p>
        </w:tc>
        <w:tc>
          <w:tcPr>
            <w:tcW w:w="1842" w:type="dxa"/>
          </w:tcPr>
          <w:p w14:paraId="6B5C7E1E" w14:textId="77777777" w:rsidR="00460FB9" w:rsidRPr="00717199" w:rsidRDefault="00460FB9" w:rsidP="00AA34FF">
            <w:pPr>
              <w:jc w:val="center"/>
              <w:rPr>
                <w:rFonts w:ascii="Arial" w:hAnsi="Arial" w:cs="Arial"/>
                <w:lang w:eastAsia="en-GB"/>
              </w:rPr>
            </w:pPr>
            <w:r w:rsidRPr="00717199">
              <w:rPr>
                <w:rFonts w:ascii="Arial" w:hAnsi="Arial" w:cs="Arial"/>
                <w:lang w:eastAsia="en-GB"/>
              </w:rPr>
              <w:t>57.50%</w:t>
            </w:r>
          </w:p>
        </w:tc>
      </w:tr>
      <w:tr w:rsidR="00460FB9" w:rsidRPr="00717199" w14:paraId="50397F4E" w14:textId="77777777" w:rsidTr="001B4CAC">
        <w:trPr>
          <w:jc w:val="center"/>
        </w:trPr>
        <w:tc>
          <w:tcPr>
            <w:tcW w:w="500" w:type="dxa"/>
          </w:tcPr>
          <w:p w14:paraId="1D0DC919" w14:textId="77777777" w:rsidR="00460FB9" w:rsidRPr="00717199" w:rsidRDefault="00460FB9" w:rsidP="00AA34FF">
            <w:pPr>
              <w:jc w:val="center"/>
              <w:rPr>
                <w:rFonts w:ascii="Arial" w:hAnsi="Arial" w:cs="Arial"/>
                <w:lang w:eastAsia="en-GB"/>
              </w:rPr>
            </w:pPr>
            <w:r w:rsidRPr="00717199">
              <w:rPr>
                <w:rFonts w:ascii="Arial" w:hAnsi="Arial" w:cs="Arial"/>
                <w:lang w:eastAsia="en-GB"/>
              </w:rPr>
              <w:t>5E</w:t>
            </w:r>
          </w:p>
        </w:tc>
        <w:tc>
          <w:tcPr>
            <w:tcW w:w="964" w:type="dxa"/>
          </w:tcPr>
          <w:p w14:paraId="34E8862B" w14:textId="77777777" w:rsidR="00460FB9" w:rsidRPr="00717199" w:rsidRDefault="00460FB9" w:rsidP="00AA34FF">
            <w:pPr>
              <w:jc w:val="center"/>
              <w:rPr>
                <w:rFonts w:ascii="Arial" w:hAnsi="Arial" w:cs="Arial"/>
                <w:lang w:eastAsia="en-GB"/>
              </w:rPr>
            </w:pPr>
            <w:r w:rsidRPr="00717199">
              <w:rPr>
                <w:rFonts w:ascii="Arial" w:hAnsi="Arial" w:cs="Arial"/>
                <w:lang w:eastAsia="en-GB"/>
              </w:rPr>
              <w:t>50.00%</w:t>
            </w:r>
          </w:p>
        </w:tc>
        <w:tc>
          <w:tcPr>
            <w:tcW w:w="517" w:type="dxa"/>
          </w:tcPr>
          <w:p w14:paraId="57700167" w14:textId="77777777" w:rsidR="00460FB9" w:rsidRPr="00717199" w:rsidRDefault="00460FB9" w:rsidP="00AA34FF">
            <w:pPr>
              <w:jc w:val="center"/>
              <w:rPr>
                <w:rFonts w:ascii="Arial" w:hAnsi="Arial" w:cs="Arial"/>
                <w:lang w:eastAsia="en-GB"/>
              </w:rPr>
            </w:pPr>
            <w:r w:rsidRPr="00717199">
              <w:rPr>
                <w:rFonts w:ascii="Arial" w:hAnsi="Arial" w:cs="Arial"/>
                <w:lang w:eastAsia="en-GB"/>
              </w:rPr>
              <w:t>4D</w:t>
            </w:r>
          </w:p>
        </w:tc>
        <w:tc>
          <w:tcPr>
            <w:tcW w:w="991" w:type="dxa"/>
          </w:tcPr>
          <w:p w14:paraId="7EF2A7D4" w14:textId="77777777" w:rsidR="00460FB9" w:rsidRPr="00717199" w:rsidRDefault="00460FB9" w:rsidP="00AA34FF">
            <w:pPr>
              <w:jc w:val="center"/>
              <w:rPr>
                <w:rFonts w:ascii="Arial" w:hAnsi="Arial" w:cs="Arial"/>
                <w:lang w:eastAsia="en-GB"/>
              </w:rPr>
            </w:pPr>
            <w:r w:rsidRPr="00717199">
              <w:rPr>
                <w:rFonts w:ascii="Arial" w:hAnsi="Arial" w:cs="Arial"/>
                <w:lang w:eastAsia="en-GB"/>
              </w:rPr>
              <w:t>20.00%</w:t>
            </w:r>
          </w:p>
        </w:tc>
        <w:tc>
          <w:tcPr>
            <w:tcW w:w="565" w:type="dxa"/>
          </w:tcPr>
          <w:p w14:paraId="3E1D60EF" w14:textId="77777777" w:rsidR="00460FB9" w:rsidRPr="00717199" w:rsidRDefault="00460FB9" w:rsidP="00AA34FF">
            <w:pPr>
              <w:jc w:val="center"/>
              <w:rPr>
                <w:rFonts w:ascii="Arial" w:hAnsi="Arial" w:cs="Arial"/>
                <w:lang w:eastAsia="en-GB"/>
              </w:rPr>
            </w:pPr>
            <w:r w:rsidRPr="00717199">
              <w:rPr>
                <w:rFonts w:ascii="Arial" w:hAnsi="Arial" w:cs="Arial"/>
                <w:lang w:eastAsia="en-GB"/>
              </w:rPr>
              <w:t>-</w:t>
            </w:r>
          </w:p>
        </w:tc>
        <w:tc>
          <w:tcPr>
            <w:tcW w:w="991" w:type="dxa"/>
          </w:tcPr>
          <w:p w14:paraId="081C807A" w14:textId="77777777" w:rsidR="00460FB9" w:rsidRPr="00717199" w:rsidRDefault="00460FB9" w:rsidP="00AA34FF">
            <w:pPr>
              <w:jc w:val="center"/>
              <w:rPr>
                <w:rFonts w:ascii="Arial" w:hAnsi="Arial" w:cs="Arial"/>
                <w:lang w:eastAsia="en-GB"/>
              </w:rPr>
            </w:pPr>
          </w:p>
        </w:tc>
        <w:tc>
          <w:tcPr>
            <w:tcW w:w="486" w:type="dxa"/>
          </w:tcPr>
          <w:p w14:paraId="48797F05" w14:textId="77777777" w:rsidR="00460FB9" w:rsidRPr="00717199" w:rsidRDefault="00460FB9" w:rsidP="00AA34FF">
            <w:pPr>
              <w:jc w:val="center"/>
              <w:rPr>
                <w:rFonts w:ascii="Arial" w:hAnsi="Arial" w:cs="Arial"/>
                <w:lang w:eastAsia="en-GB"/>
              </w:rPr>
            </w:pPr>
          </w:p>
        </w:tc>
        <w:tc>
          <w:tcPr>
            <w:tcW w:w="1077" w:type="dxa"/>
          </w:tcPr>
          <w:p w14:paraId="780AAD38" w14:textId="77777777" w:rsidR="00460FB9" w:rsidRPr="00717199" w:rsidRDefault="00460FB9" w:rsidP="00AA34FF">
            <w:pPr>
              <w:jc w:val="center"/>
              <w:rPr>
                <w:rFonts w:ascii="Arial" w:hAnsi="Arial" w:cs="Arial"/>
                <w:lang w:eastAsia="en-GB"/>
              </w:rPr>
            </w:pPr>
          </w:p>
        </w:tc>
        <w:tc>
          <w:tcPr>
            <w:tcW w:w="1842" w:type="dxa"/>
          </w:tcPr>
          <w:p w14:paraId="4CA42558" w14:textId="77777777" w:rsidR="00460FB9" w:rsidRPr="00717199" w:rsidRDefault="00460FB9" w:rsidP="00AA34FF">
            <w:pPr>
              <w:jc w:val="center"/>
              <w:rPr>
                <w:rFonts w:ascii="Arial" w:hAnsi="Arial" w:cs="Arial"/>
                <w:lang w:eastAsia="en-GB"/>
              </w:rPr>
            </w:pPr>
            <w:r w:rsidRPr="00717199">
              <w:rPr>
                <w:rFonts w:ascii="Arial" w:hAnsi="Arial" w:cs="Arial"/>
                <w:lang w:eastAsia="en-GB"/>
              </w:rPr>
              <w:t>70%</w:t>
            </w:r>
          </w:p>
        </w:tc>
      </w:tr>
    </w:tbl>
    <w:p w14:paraId="48D5A11C" w14:textId="301F2096" w:rsidR="00460FB9" w:rsidRPr="001B4CAC" w:rsidRDefault="001B4CAC" w:rsidP="007E69C5">
      <w:pPr>
        <w:pStyle w:val="Caption"/>
        <w:jc w:val="center"/>
        <w:rPr>
          <w:rFonts w:ascii="Arial" w:eastAsia="Times New Roman" w:hAnsi="Arial" w:cs="Arial"/>
          <w:b/>
          <w:bCs/>
          <w:color w:val="auto"/>
          <w:sz w:val="32"/>
          <w:szCs w:val="32"/>
          <w:lang w:eastAsia="en-GB"/>
        </w:rPr>
      </w:pPr>
      <w:bookmarkStart w:id="107" w:name="_Toc66868993"/>
      <w:r w:rsidRPr="001B4CAC">
        <w:rPr>
          <w:rFonts w:ascii="Arial" w:hAnsi="Arial" w:cs="Arial"/>
          <w:sz w:val="22"/>
          <w:szCs w:val="22"/>
        </w:rPr>
        <w:t xml:space="preserve">Table </w:t>
      </w:r>
      <w:r w:rsidRPr="001B4CAC">
        <w:rPr>
          <w:rFonts w:ascii="Arial" w:hAnsi="Arial" w:cs="Arial"/>
          <w:sz w:val="22"/>
          <w:szCs w:val="22"/>
        </w:rPr>
        <w:fldChar w:fldCharType="begin"/>
      </w:r>
      <w:r w:rsidRPr="001B4CAC">
        <w:rPr>
          <w:rFonts w:ascii="Arial" w:hAnsi="Arial" w:cs="Arial"/>
          <w:sz w:val="22"/>
          <w:szCs w:val="22"/>
        </w:rPr>
        <w:instrText xml:space="preserve"> SEQ Table \* ARABIC </w:instrText>
      </w:r>
      <w:r w:rsidRPr="001B4CAC">
        <w:rPr>
          <w:rFonts w:ascii="Arial" w:hAnsi="Arial" w:cs="Arial"/>
          <w:sz w:val="22"/>
          <w:szCs w:val="22"/>
        </w:rPr>
        <w:fldChar w:fldCharType="separate"/>
      </w:r>
      <w:r w:rsidR="00B97B5D">
        <w:rPr>
          <w:rFonts w:ascii="Arial" w:hAnsi="Arial" w:cs="Arial"/>
          <w:noProof/>
          <w:sz w:val="22"/>
          <w:szCs w:val="22"/>
        </w:rPr>
        <w:t>9</w:t>
      </w:r>
      <w:r w:rsidRPr="001B4CAC">
        <w:rPr>
          <w:rFonts w:ascii="Arial" w:hAnsi="Arial" w:cs="Arial"/>
          <w:sz w:val="22"/>
          <w:szCs w:val="22"/>
        </w:rPr>
        <w:fldChar w:fldCharType="end"/>
      </w:r>
      <w:r w:rsidRPr="001B4CAC">
        <w:rPr>
          <w:rFonts w:ascii="Arial" w:hAnsi="Arial" w:cs="Arial"/>
          <w:sz w:val="22"/>
          <w:szCs w:val="22"/>
        </w:rPr>
        <w:t xml:space="preserve"> - Total Extent of Defects (%)</w:t>
      </w:r>
      <w:bookmarkEnd w:id="107"/>
    </w:p>
    <w:p w14:paraId="46929DD7" w14:textId="77777777" w:rsidR="00460FB9" w:rsidRDefault="00460FB9" w:rsidP="00460FB9">
      <w:pPr>
        <w:pStyle w:val="Heading2"/>
        <w:spacing w:after="240"/>
        <w:rPr>
          <w:rFonts w:ascii="Arial" w:eastAsia="Times New Roman" w:hAnsi="Arial" w:cs="Arial"/>
          <w:b/>
          <w:bCs/>
          <w:color w:val="auto"/>
          <w:sz w:val="24"/>
          <w:szCs w:val="24"/>
          <w:lang w:eastAsia="en-GB"/>
        </w:rPr>
      </w:pPr>
      <w:bookmarkStart w:id="108" w:name="_Toc66868908"/>
      <w:r w:rsidRPr="00FA5A21">
        <w:rPr>
          <w:rFonts w:ascii="Arial" w:eastAsia="Times New Roman" w:hAnsi="Arial" w:cs="Arial"/>
          <w:b/>
          <w:bCs/>
          <w:color w:val="auto"/>
          <w:sz w:val="24"/>
          <w:szCs w:val="24"/>
          <w:lang w:eastAsia="en-GB"/>
        </w:rPr>
        <w:t>Traffic Delay Costs</w:t>
      </w:r>
      <w:bookmarkEnd w:id="108"/>
    </w:p>
    <w:p w14:paraId="01BE25D0" w14:textId="7FBDA8E8" w:rsidR="00460FB9" w:rsidRDefault="00460FB9" w:rsidP="004A2DD4">
      <w:pPr>
        <w:spacing w:line="360" w:lineRule="auto"/>
        <w:jc w:val="both"/>
        <w:rPr>
          <w:rFonts w:ascii="Arial" w:hAnsi="Arial" w:cs="Arial"/>
          <w:lang w:eastAsia="en-GB"/>
        </w:rPr>
      </w:pPr>
      <w:r w:rsidRPr="001872E9">
        <w:rPr>
          <w:rFonts w:ascii="Arial" w:hAnsi="Arial" w:cs="Arial"/>
          <w:lang w:eastAsia="en-GB"/>
        </w:rPr>
        <w:t>Traffic delay costs were calculated</w:t>
      </w:r>
      <w:r w:rsidR="006D477A">
        <w:rPr>
          <w:rFonts w:ascii="Arial" w:hAnsi="Arial" w:cs="Arial"/>
          <w:lang w:eastAsia="en-GB"/>
        </w:rPr>
        <w:t xml:space="preserve"> </w:t>
      </w:r>
      <w:r w:rsidR="0096105A">
        <w:rPr>
          <w:rFonts w:ascii="Arial" w:hAnsi="Arial" w:cs="Arial"/>
          <w:lang w:eastAsia="en-GB"/>
        </w:rPr>
        <w:t xml:space="preserve">using the </w:t>
      </w:r>
      <w:r w:rsidRPr="001872E9">
        <w:rPr>
          <w:rFonts w:ascii="Arial" w:hAnsi="Arial" w:cs="Arial"/>
          <w:lang w:eastAsia="en-GB"/>
        </w:rPr>
        <w:t>criteria</w:t>
      </w:r>
      <w:r w:rsidR="008B08AA">
        <w:rPr>
          <w:rFonts w:ascii="Arial" w:hAnsi="Arial" w:cs="Arial"/>
          <w:lang w:eastAsia="en-GB"/>
        </w:rPr>
        <w:t xml:space="preserve"> in Table 10</w:t>
      </w:r>
      <w:r w:rsidR="0096105A">
        <w:rPr>
          <w:rFonts w:ascii="Arial" w:hAnsi="Arial" w:cs="Arial"/>
          <w:lang w:eastAsia="en-GB"/>
        </w:rPr>
        <w:t xml:space="preserve"> and </w:t>
      </w:r>
      <w:r w:rsidR="007E26FB">
        <w:rPr>
          <w:rFonts w:ascii="Arial" w:hAnsi="Arial" w:cs="Arial"/>
          <w:lang w:eastAsia="en-GB"/>
        </w:rPr>
        <w:t>daily traffic rates in Table 11</w:t>
      </w:r>
      <w:r w:rsidRPr="001872E9">
        <w:rPr>
          <w:rFonts w:ascii="Arial" w:hAnsi="Arial" w:cs="Arial"/>
          <w:lang w:eastAsia="en-GB"/>
        </w:rPr>
        <w:t xml:space="preserve">. </w:t>
      </w:r>
      <w:r w:rsidR="005242E0">
        <w:rPr>
          <w:rFonts w:ascii="Arial" w:hAnsi="Arial" w:cs="Arial"/>
          <w:lang w:eastAsia="en-GB"/>
        </w:rPr>
        <w:t>Daily traffic delay</w:t>
      </w:r>
      <w:r w:rsidR="001E4BF1">
        <w:rPr>
          <w:rFonts w:ascii="Arial" w:hAnsi="Arial" w:cs="Arial"/>
          <w:lang w:eastAsia="en-GB"/>
        </w:rPr>
        <w:t xml:space="preserve"> rates (£/day)</w:t>
      </w:r>
      <w:r w:rsidRPr="001872E9">
        <w:rPr>
          <w:rFonts w:ascii="Arial" w:hAnsi="Arial" w:cs="Arial"/>
          <w:lang w:eastAsia="en-GB"/>
        </w:rPr>
        <w:t xml:space="preserve"> were </w:t>
      </w:r>
      <w:r w:rsidR="00CC0438">
        <w:rPr>
          <w:rFonts w:ascii="Arial" w:hAnsi="Arial" w:cs="Arial"/>
          <w:lang w:eastAsia="en-GB"/>
        </w:rPr>
        <w:t xml:space="preserve">automatically </w:t>
      </w:r>
      <w:r w:rsidRPr="001872E9">
        <w:rPr>
          <w:rFonts w:ascii="Arial" w:hAnsi="Arial" w:cs="Arial"/>
          <w:lang w:eastAsia="en-GB"/>
        </w:rPr>
        <w:t xml:space="preserve">indexed to the base year using ROADCON Tender Price Index of Road Construction.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460FB9" w:rsidRPr="008A2802" w14:paraId="586C5907" w14:textId="77777777" w:rsidTr="007E69C5">
        <w:trPr>
          <w:jc w:val="center"/>
        </w:trPr>
        <w:tc>
          <w:tcPr>
            <w:tcW w:w="9016" w:type="dxa"/>
            <w:gridSpan w:val="4"/>
            <w:shd w:val="clear" w:color="auto" w:fill="000099"/>
          </w:tcPr>
          <w:p w14:paraId="76BD54D5" w14:textId="13476DA0" w:rsidR="00460FB9" w:rsidRPr="00256DB9" w:rsidRDefault="00460FB9" w:rsidP="00BA60B6">
            <w:pPr>
              <w:jc w:val="center"/>
              <w:rPr>
                <w:rFonts w:ascii="Arial" w:hAnsi="Arial" w:cs="Arial"/>
                <w:b/>
                <w:bCs/>
                <w:lang w:eastAsia="en-GB"/>
              </w:rPr>
            </w:pPr>
            <w:r w:rsidRPr="00256DB9">
              <w:rPr>
                <w:rFonts w:ascii="Arial" w:hAnsi="Arial" w:cs="Arial"/>
                <w:b/>
                <w:bCs/>
                <w:lang w:eastAsia="en-GB"/>
              </w:rPr>
              <w:t>Traffic Restrictions</w:t>
            </w:r>
            <w:r w:rsidR="00BA60B6">
              <w:rPr>
                <w:rFonts w:ascii="Arial" w:hAnsi="Arial" w:cs="Arial"/>
                <w:b/>
                <w:bCs/>
                <w:lang w:eastAsia="en-GB"/>
              </w:rPr>
              <w:t xml:space="preserve"> </w:t>
            </w:r>
            <w:r w:rsidR="00BA60B6" w:rsidRPr="00BA60B6">
              <w:rPr>
                <w:rFonts w:ascii="Arial" w:hAnsi="Arial" w:cs="Arial"/>
                <w:b/>
                <w:bCs/>
                <w:lang w:eastAsia="en-GB"/>
              </w:rPr>
              <w:t>(CIHT, 2020)</w:t>
            </w:r>
          </w:p>
        </w:tc>
      </w:tr>
      <w:tr w:rsidR="00460FB9" w:rsidRPr="008A2802" w14:paraId="613D20C2" w14:textId="77777777" w:rsidTr="007E69C5">
        <w:trPr>
          <w:jc w:val="center"/>
        </w:trPr>
        <w:tc>
          <w:tcPr>
            <w:tcW w:w="2254" w:type="dxa"/>
            <w:shd w:val="clear" w:color="auto" w:fill="99CCFF"/>
          </w:tcPr>
          <w:p w14:paraId="4FA056CE" w14:textId="77777777" w:rsidR="00460FB9" w:rsidRPr="00256DB9" w:rsidRDefault="00460FB9" w:rsidP="00AA34FF">
            <w:pPr>
              <w:rPr>
                <w:rFonts w:ascii="Arial" w:hAnsi="Arial" w:cs="Arial"/>
                <w:b/>
                <w:bCs/>
                <w:color w:val="000099"/>
                <w:lang w:eastAsia="en-GB"/>
              </w:rPr>
            </w:pPr>
            <w:r w:rsidRPr="00256DB9">
              <w:rPr>
                <w:rFonts w:ascii="Arial" w:hAnsi="Arial" w:cs="Arial"/>
                <w:b/>
                <w:bCs/>
                <w:color w:val="000099"/>
                <w:lang w:eastAsia="en-GB"/>
              </w:rPr>
              <w:t>ECS [At least one Element of ‘Very High’’ Importance]</w:t>
            </w:r>
          </w:p>
        </w:tc>
        <w:tc>
          <w:tcPr>
            <w:tcW w:w="2254" w:type="dxa"/>
            <w:shd w:val="clear" w:color="auto" w:fill="99CCFF"/>
          </w:tcPr>
          <w:p w14:paraId="552F00F0" w14:textId="77777777" w:rsidR="00460FB9" w:rsidRPr="00256DB9" w:rsidRDefault="00460FB9" w:rsidP="00AA34FF">
            <w:pPr>
              <w:rPr>
                <w:rFonts w:ascii="Arial" w:hAnsi="Arial" w:cs="Arial"/>
                <w:b/>
                <w:bCs/>
                <w:color w:val="000099"/>
                <w:lang w:eastAsia="en-GB"/>
              </w:rPr>
            </w:pPr>
            <w:r w:rsidRPr="00256DB9">
              <w:rPr>
                <w:rFonts w:ascii="Arial" w:hAnsi="Arial" w:cs="Arial"/>
                <w:b/>
                <w:bCs/>
                <w:color w:val="000099"/>
                <w:lang w:eastAsia="en-GB"/>
              </w:rPr>
              <w:t>Traffic Restriction</w:t>
            </w:r>
          </w:p>
        </w:tc>
        <w:tc>
          <w:tcPr>
            <w:tcW w:w="2254" w:type="dxa"/>
            <w:shd w:val="clear" w:color="auto" w:fill="99CCFF"/>
          </w:tcPr>
          <w:p w14:paraId="0743EACE" w14:textId="77777777" w:rsidR="00460FB9" w:rsidRPr="00256DB9" w:rsidRDefault="00460FB9" w:rsidP="00AA34FF">
            <w:pPr>
              <w:rPr>
                <w:rFonts w:ascii="Arial" w:hAnsi="Arial" w:cs="Arial"/>
                <w:b/>
                <w:bCs/>
                <w:color w:val="000099"/>
                <w:lang w:eastAsia="en-GB"/>
              </w:rPr>
            </w:pPr>
            <w:r w:rsidRPr="00256DB9">
              <w:rPr>
                <w:rFonts w:ascii="Arial" w:hAnsi="Arial" w:cs="Arial"/>
                <w:b/>
                <w:bCs/>
                <w:color w:val="000099"/>
                <w:lang w:eastAsia="en-GB"/>
              </w:rPr>
              <w:t>Structure Length (l)</w:t>
            </w:r>
          </w:p>
        </w:tc>
        <w:tc>
          <w:tcPr>
            <w:tcW w:w="2254" w:type="dxa"/>
            <w:shd w:val="clear" w:color="auto" w:fill="99CCFF"/>
          </w:tcPr>
          <w:p w14:paraId="53939EBA" w14:textId="77777777" w:rsidR="00460FB9" w:rsidRPr="00256DB9" w:rsidRDefault="00460FB9" w:rsidP="00AA34FF">
            <w:pPr>
              <w:rPr>
                <w:rFonts w:ascii="Arial" w:hAnsi="Arial" w:cs="Arial"/>
                <w:b/>
                <w:bCs/>
                <w:color w:val="000099"/>
                <w:lang w:eastAsia="en-GB"/>
              </w:rPr>
            </w:pPr>
            <w:r w:rsidRPr="00256DB9">
              <w:rPr>
                <w:rFonts w:ascii="Arial" w:hAnsi="Arial" w:cs="Arial"/>
                <w:b/>
                <w:bCs/>
                <w:color w:val="000099"/>
                <w:lang w:eastAsia="en-GB"/>
              </w:rPr>
              <w:t>Time over which the Traffic Restriction Applies [Days]</w:t>
            </w:r>
          </w:p>
        </w:tc>
      </w:tr>
      <w:tr w:rsidR="000F0741" w:rsidRPr="008A2802" w14:paraId="188B6A80" w14:textId="77777777" w:rsidTr="007E69C5">
        <w:trPr>
          <w:jc w:val="center"/>
        </w:trPr>
        <w:tc>
          <w:tcPr>
            <w:tcW w:w="2254" w:type="dxa"/>
            <w:vMerge w:val="restart"/>
          </w:tcPr>
          <w:p w14:paraId="011E8E7E" w14:textId="77777777" w:rsidR="000F0741" w:rsidRPr="008A2802" w:rsidRDefault="000F0741" w:rsidP="00AA34FF">
            <w:pPr>
              <w:rPr>
                <w:rFonts w:ascii="Arial" w:hAnsi="Arial" w:cs="Arial"/>
                <w:lang w:eastAsia="en-GB"/>
              </w:rPr>
            </w:pPr>
            <w:r w:rsidRPr="008A2802">
              <w:rPr>
                <w:rFonts w:ascii="Arial" w:hAnsi="Arial" w:cs="Arial"/>
                <w:lang w:eastAsia="en-GB"/>
              </w:rPr>
              <w:t>4.0 ≤ ECS &lt; 5.0</w:t>
            </w:r>
          </w:p>
        </w:tc>
        <w:tc>
          <w:tcPr>
            <w:tcW w:w="2254" w:type="dxa"/>
            <w:vMerge w:val="restart"/>
          </w:tcPr>
          <w:p w14:paraId="0C4D2D5A" w14:textId="77777777" w:rsidR="000F0741" w:rsidRPr="008A2802" w:rsidRDefault="000F0741" w:rsidP="00AA34FF">
            <w:pPr>
              <w:rPr>
                <w:rFonts w:ascii="Arial" w:hAnsi="Arial" w:cs="Arial"/>
                <w:lang w:eastAsia="en-GB"/>
              </w:rPr>
            </w:pPr>
            <w:r w:rsidRPr="008A2802">
              <w:rPr>
                <w:rFonts w:ascii="Arial" w:hAnsi="Arial" w:cs="Arial"/>
                <w:lang w:eastAsia="en-GB"/>
              </w:rPr>
              <w:t>One lane closed in each direction</w:t>
            </w:r>
          </w:p>
        </w:tc>
        <w:tc>
          <w:tcPr>
            <w:tcW w:w="2254" w:type="dxa"/>
          </w:tcPr>
          <w:p w14:paraId="07D1844E" w14:textId="77777777" w:rsidR="000F0741" w:rsidRPr="008A2802" w:rsidRDefault="000F0741" w:rsidP="00AA34FF">
            <w:pPr>
              <w:rPr>
                <w:rFonts w:ascii="Arial" w:hAnsi="Arial" w:cs="Arial"/>
                <w:lang w:eastAsia="en-GB"/>
              </w:rPr>
            </w:pPr>
            <w:r w:rsidRPr="008A2802">
              <w:rPr>
                <w:rFonts w:ascii="Arial" w:hAnsi="Arial" w:cs="Arial"/>
                <w:lang w:eastAsia="en-GB"/>
              </w:rPr>
              <w:t>L ≤ 10m</w:t>
            </w:r>
          </w:p>
          <w:p w14:paraId="0BCD6291" w14:textId="77777777" w:rsidR="000F0741" w:rsidRPr="008A2802" w:rsidRDefault="000F0741" w:rsidP="00AA34FF">
            <w:pPr>
              <w:rPr>
                <w:rFonts w:ascii="Arial" w:hAnsi="Arial" w:cs="Arial"/>
                <w:lang w:eastAsia="en-GB"/>
              </w:rPr>
            </w:pPr>
          </w:p>
        </w:tc>
        <w:tc>
          <w:tcPr>
            <w:tcW w:w="2254" w:type="dxa"/>
          </w:tcPr>
          <w:p w14:paraId="614B15AD" w14:textId="77777777" w:rsidR="000F0741" w:rsidRPr="008A2802" w:rsidRDefault="000F0741" w:rsidP="00AA34FF">
            <w:pPr>
              <w:rPr>
                <w:rFonts w:ascii="Arial" w:hAnsi="Arial" w:cs="Arial"/>
                <w:lang w:eastAsia="en-GB"/>
              </w:rPr>
            </w:pPr>
            <w:r w:rsidRPr="008A2802">
              <w:rPr>
                <w:rFonts w:ascii="Arial" w:hAnsi="Arial" w:cs="Arial"/>
                <w:lang w:eastAsia="en-GB"/>
              </w:rPr>
              <w:t>5</w:t>
            </w:r>
          </w:p>
        </w:tc>
      </w:tr>
      <w:tr w:rsidR="000F0741" w:rsidRPr="008A2802" w14:paraId="3E7B6B9E" w14:textId="77777777" w:rsidTr="007E69C5">
        <w:trPr>
          <w:jc w:val="center"/>
        </w:trPr>
        <w:tc>
          <w:tcPr>
            <w:tcW w:w="2254" w:type="dxa"/>
            <w:vMerge/>
          </w:tcPr>
          <w:p w14:paraId="378167CC" w14:textId="77777777" w:rsidR="000F0741" w:rsidRPr="008A2802" w:rsidRDefault="000F0741" w:rsidP="00AA34FF">
            <w:pPr>
              <w:rPr>
                <w:rFonts w:ascii="Arial" w:hAnsi="Arial" w:cs="Arial"/>
                <w:lang w:eastAsia="en-GB"/>
              </w:rPr>
            </w:pPr>
          </w:p>
        </w:tc>
        <w:tc>
          <w:tcPr>
            <w:tcW w:w="2254" w:type="dxa"/>
            <w:vMerge/>
          </w:tcPr>
          <w:p w14:paraId="7A77D8E5" w14:textId="77777777" w:rsidR="000F0741" w:rsidRPr="008A2802" w:rsidRDefault="000F0741" w:rsidP="00AA34FF">
            <w:pPr>
              <w:rPr>
                <w:rFonts w:ascii="Arial" w:hAnsi="Arial" w:cs="Arial"/>
                <w:lang w:eastAsia="en-GB"/>
              </w:rPr>
            </w:pPr>
          </w:p>
        </w:tc>
        <w:tc>
          <w:tcPr>
            <w:tcW w:w="2254" w:type="dxa"/>
          </w:tcPr>
          <w:p w14:paraId="62C8B696" w14:textId="77777777" w:rsidR="000F0741" w:rsidRPr="008A2802" w:rsidRDefault="000F0741" w:rsidP="00AA34FF">
            <w:pPr>
              <w:rPr>
                <w:rFonts w:ascii="Arial" w:hAnsi="Arial" w:cs="Arial"/>
                <w:lang w:eastAsia="en-GB"/>
              </w:rPr>
            </w:pPr>
            <w:r w:rsidRPr="008A2802">
              <w:rPr>
                <w:rFonts w:ascii="Arial" w:hAnsi="Arial" w:cs="Arial"/>
                <w:lang w:eastAsia="en-GB"/>
              </w:rPr>
              <w:t>10m &lt; l ≤ 20m</w:t>
            </w:r>
          </w:p>
        </w:tc>
        <w:tc>
          <w:tcPr>
            <w:tcW w:w="2254" w:type="dxa"/>
          </w:tcPr>
          <w:p w14:paraId="491179D3" w14:textId="77777777" w:rsidR="000F0741" w:rsidRPr="008A2802" w:rsidRDefault="000F0741" w:rsidP="00AA34FF">
            <w:pPr>
              <w:rPr>
                <w:rFonts w:ascii="Arial" w:hAnsi="Arial" w:cs="Arial"/>
                <w:lang w:eastAsia="en-GB"/>
              </w:rPr>
            </w:pPr>
            <w:r w:rsidRPr="008A2802">
              <w:rPr>
                <w:rFonts w:ascii="Arial" w:hAnsi="Arial" w:cs="Arial"/>
                <w:lang w:eastAsia="en-GB"/>
              </w:rPr>
              <w:t>10</w:t>
            </w:r>
          </w:p>
        </w:tc>
      </w:tr>
      <w:tr w:rsidR="000F0741" w:rsidRPr="008A2802" w14:paraId="38611C57" w14:textId="77777777" w:rsidTr="007E69C5">
        <w:trPr>
          <w:jc w:val="center"/>
        </w:trPr>
        <w:tc>
          <w:tcPr>
            <w:tcW w:w="2254" w:type="dxa"/>
            <w:vMerge/>
          </w:tcPr>
          <w:p w14:paraId="368FCAD8" w14:textId="77777777" w:rsidR="000F0741" w:rsidRPr="008A2802" w:rsidRDefault="000F0741" w:rsidP="00AA34FF">
            <w:pPr>
              <w:rPr>
                <w:rFonts w:ascii="Arial" w:hAnsi="Arial" w:cs="Arial"/>
                <w:lang w:eastAsia="en-GB"/>
              </w:rPr>
            </w:pPr>
          </w:p>
        </w:tc>
        <w:tc>
          <w:tcPr>
            <w:tcW w:w="2254" w:type="dxa"/>
            <w:vMerge/>
          </w:tcPr>
          <w:p w14:paraId="45658494" w14:textId="77777777" w:rsidR="000F0741" w:rsidRPr="008A2802" w:rsidRDefault="000F0741" w:rsidP="00AA34FF">
            <w:pPr>
              <w:rPr>
                <w:rFonts w:ascii="Arial" w:hAnsi="Arial" w:cs="Arial"/>
                <w:lang w:eastAsia="en-GB"/>
              </w:rPr>
            </w:pPr>
          </w:p>
        </w:tc>
        <w:tc>
          <w:tcPr>
            <w:tcW w:w="2254" w:type="dxa"/>
          </w:tcPr>
          <w:p w14:paraId="629BFFE0" w14:textId="7DE0D8F1" w:rsidR="000F0741" w:rsidRPr="008A2802" w:rsidRDefault="00BC0726" w:rsidP="00AA34FF">
            <w:pPr>
              <w:rPr>
                <w:rFonts w:ascii="Arial" w:hAnsi="Arial" w:cs="Arial"/>
                <w:lang w:eastAsia="en-GB"/>
              </w:rPr>
            </w:pPr>
            <w:r w:rsidRPr="008A2802">
              <w:rPr>
                <w:rFonts w:ascii="Arial" w:hAnsi="Arial" w:cs="Arial"/>
                <w:lang w:eastAsia="en-GB"/>
              </w:rPr>
              <w:t>L &gt; 20m</w:t>
            </w:r>
          </w:p>
        </w:tc>
        <w:tc>
          <w:tcPr>
            <w:tcW w:w="2254" w:type="dxa"/>
          </w:tcPr>
          <w:p w14:paraId="15B4139D" w14:textId="1F81F1C8" w:rsidR="000F0741" w:rsidRPr="008A2802" w:rsidRDefault="00BC0726" w:rsidP="00AA34FF">
            <w:pPr>
              <w:rPr>
                <w:rFonts w:ascii="Arial" w:hAnsi="Arial" w:cs="Arial"/>
                <w:lang w:eastAsia="en-GB"/>
              </w:rPr>
            </w:pPr>
            <w:r>
              <w:rPr>
                <w:rFonts w:ascii="Arial" w:hAnsi="Arial" w:cs="Arial"/>
                <w:lang w:eastAsia="en-GB"/>
              </w:rPr>
              <w:t>15</w:t>
            </w:r>
          </w:p>
        </w:tc>
      </w:tr>
      <w:tr w:rsidR="00BC0726" w:rsidRPr="008A2802" w14:paraId="31B051FE" w14:textId="77777777" w:rsidTr="007E69C5">
        <w:trPr>
          <w:trHeight w:val="414"/>
          <w:jc w:val="center"/>
        </w:trPr>
        <w:tc>
          <w:tcPr>
            <w:tcW w:w="2254" w:type="dxa"/>
          </w:tcPr>
          <w:p w14:paraId="1FDC6FAE" w14:textId="77777777" w:rsidR="00BC0726" w:rsidRPr="008A2802" w:rsidRDefault="00BC0726" w:rsidP="00BC0726">
            <w:pPr>
              <w:rPr>
                <w:rFonts w:ascii="Arial" w:hAnsi="Arial" w:cs="Arial"/>
                <w:lang w:eastAsia="en-GB"/>
              </w:rPr>
            </w:pPr>
            <w:r w:rsidRPr="008A2802">
              <w:rPr>
                <w:rFonts w:ascii="Arial" w:hAnsi="Arial" w:cs="Arial"/>
                <w:lang w:eastAsia="en-GB"/>
              </w:rPr>
              <w:t>ECS ≥ 5.0</w:t>
            </w:r>
          </w:p>
        </w:tc>
        <w:tc>
          <w:tcPr>
            <w:tcW w:w="2254" w:type="dxa"/>
          </w:tcPr>
          <w:p w14:paraId="66B53389" w14:textId="77777777" w:rsidR="00BC0726" w:rsidRPr="008A2802" w:rsidRDefault="00BC0726" w:rsidP="00BC0726">
            <w:pPr>
              <w:rPr>
                <w:rFonts w:ascii="Arial" w:hAnsi="Arial" w:cs="Arial"/>
                <w:lang w:eastAsia="en-GB"/>
              </w:rPr>
            </w:pPr>
            <w:r w:rsidRPr="008A2802">
              <w:rPr>
                <w:rFonts w:ascii="Arial" w:hAnsi="Arial" w:cs="Arial"/>
                <w:lang w:eastAsia="en-GB"/>
              </w:rPr>
              <w:t>Entire bridge closed</w:t>
            </w:r>
          </w:p>
        </w:tc>
        <w:tc>
          <w:tcPr>
            <w:tcW w:w="2254" w:type="dxa"/>
          </w:tcPr>
          <w:p w14:paraId="5086F9FE" w14:textId="2927699A" w:rsidR="00BC0726" w:rsidRPr="008A2802" w:rsidRDefault="00BC0726" w:rsidP="00BC0726">
            <w:pPr>
              <w:rPr>
                <w:rFonts w:ascii="Arial" w:hAnsi="Arial" w:cs="Arial"/>
                <w:lang w:eastAsia="en-GB"/>
              </w:rPr>
            </w:pPr>
            <w:r w:rsidRPr="008A2802">
              <w:rPr>
                <w:rFonts w:ascii="Arial" w:hAnsi="Arial" w:cs="Arial"/>
                <w:lang w:eastAsia="en-GB"/>
              </w:rPr>
              <w:t>N/A</w:t>
            </w:r>
          </w:p>
        </w:tc>
        <w:tc>
          <w:tcPr>
            <w:tcW w:w="2254" w:type="dxa"/>
          </w:tcPr>
          <w:p w14:paraId="65315C57" w14:textId="680AF569" w:rsidR="00BC0726" w:rsidRPr="008A2802" w:rsidRDefault="00BC0726" w:rsidP="00BC0726">
            <w:pPr>
              <w:rPr>
                <w:rFonts w:ascii="Arial" w:hAnsi="Arial" w:cs="Arial"/>
                <w:lang w:eastAsia="en-GB"/>
              </w:rPr>
            </w:pPr>
            <w:r>
              <w:rPr>
                <w:rFonts w:ascii="Arial" w:hAnsi="Arial" w:cs="Arial"/>
                <w:lang w:eastAsia="en-GB"/>
              </w:rPr>
              <w:t>3</w:t>
            </w:r>
            <w:r w:rsidRPr="008A2802">
              <w:rPr>
                <w:rFonts w:ascii="Arial" w:hAnsi="Arial" w:cs="Arial"/>
                <w:lang w:eastAsia="en-GB"/>
              </w:rPr>
              <w:t>0</w:t>
            </w:r>
          </w:p>
        </w:tc>
      </w:tr>
    </w:tbl>
    <w:p w14:paraId="3D92EFA1" w14:textId="67F0D5F7" w:rsidR="00460FB9" w:rsidRDefault="00574EAF" w:rsidP="007E69C5">
      <w:pPr>
        <w:pStyle w:val="Caption"/>
        <w:jc w:val="center"/>
        <w:rPr>
          <w:rFonts w:ascii="Arial" w:hAnsi="Arial" w:cs="Arial"/>
          <w:sz w:val="22"/>
          <w:szCs w:val="22"/>
        </w:rPr>
      </w:pPr>
      <w:bookmarkStart w:id="109" w:name="_Toc66868994"/>
      <w:r w:rsidRPr="00574EAF">
        <w:rPr>
          <w:rFonts w:ascii="Arial" w:hAnsi="Arial" w:cs="Arial"/>
          <w:sz w:val="22"/>
          <w:szCs w:val="22"/>
        </w:rPr>
        <w:t xml:space="preserve">Table </w:t>
      </w:r>
      <w:r w:rsidRPr="00574EAF">
        <w:rPr>
          <w:rFonts w:ascii="Arial" w:hAnsi="Arial" w:cs="Arial"/>
          <w:sz w:val="22"/>
          <w:szCs w:val="22"/>
        </w:rPr>
        <w:fldChar w:fldCharType="begin"/>
      </w:r>
      <w:r w:rsidRPr="00574EAF">
        <w:rPr>
          <w:rFonts w:ascii="Arial" w:hAnsi="Arial" w:cs="Arial"/>
          <w:sz w:val="22"/>
          <w:szCs w:val="22"/>
        </w:rPr>
        <w:instrText xml:space="preserve"> SEQ Table \* ARABIC </w:instrText>
      </w:r>
      <w:r w:rsidRPr="00574EAF">
        <w:rPr>
          <w:rFonts w:ascii="Arial" w:hAnsi="Arial" w:cs="Arial"/>
          <w:sz w:val="22"/>
          <w:szCs w:val="22"/>
        </w:rPr>
        <w:fldChar w:fldCharType="separate"/>
      </w:r>
      <w:r w:rsidR="00B97B5D">
        <w:rPr>
          <w:rFonts w:ascii="Arial" w:hAnsi="Arial" w:cs="Arial"/>
          <w:noProof/>
          <w:sz w:val="22"/>
          <w:szCs w:val="22"/>
        </w:rPr>
        <w:t>10</w:t>
      </w:r>
      <w:r w:rsidRPr="00574EAF">
        <w:rPr>
          <w:rFonts w:ascii="Arial" w:hAnsi="Arial" w:cs="Arial"/>
          <w:sz w:val="22"/>
          <w:szCs w:val="22"/>
        </w:rPr>
        <w:fldChar w:fldCharType="end"/>
      </w:r>
      <w:r w:rsidRPr="00574EAF">
        <w:rPr>
          <w:rFonts w:ascii="Arial" w:hAnsi="Arial" w:cs="Arial"/>
          <w:sz w:val="22"/>
          <w:szCs w:val="22"/>
        </w:rPr>
        <w:t xml:space="preserve"> - Traffic Restrictions</w:t>
      </w:r>
      <w:bookmarkEnd w:id="1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tblGrid>
      <w:tr w:rsidR="00460FB9" w:rsidRPr="008A2802" w14:paraId="19ED7040" w14:textId="77777777" w:rsidTr="007E69C5">
        <w:trPr>
          <w:jc w:val="center"/>
        </w:trPr>
        <w:tc>
          <w:tcPr>
            <w:tcW w:w="4508" w:type="dxa"/>
            <w:gridSpan w:val="2"/>
            <w:shd w:val="clear" w:color="auto" w:fill="000099"/>
          </w:tcPr>
          <w:p w14:paraId="48FFD725" w14:textId="1CA0BD60" w:rsidR="00460FB9" w:rsidRPr="00256DB9" w:rsidRDefault="00460FB9" w:rsidP="00BA60B6">
            <w:pPr>
              <w:jc w:val="center"/>
              <w:rPr>
                <w:rFonts w:ascii="Arial" w:hAnsi="Arial" w:cs="Arial"/>
                <w:b/>
                <w:bCs/>
                <w:lang w:eastAsia="en-GB"/>
              </w:rPr>
            </w:pPr>
            <w:r w:rsidRPr="00256DB9">
              <w:rPr>
                <w:rFonts w:ascii="Arial" w:hAnsi="Arial" w:cs="Arial"/>
                <w:b/>
                <w:bCs/>
                <w:lang w:eastAsia="en-GB"/>
              </w:rPr>
              <w:t>Traffic Delay Costs (2014/2015 prices)</w:t>
            </w:r>
            <w:r w:rsidR="00BA60B6">
              <w:rPr>
                <w:rFonts w:ascii="Arial" w:hAnsi="Arial" w:cs="Arial"/>
                <w:b/>
                <w:bCs/>
                <w:lang w:eastAsia="en-GB"/>
              </w:rPr>
              <w:t xml:space="preserve"> </w:t>
            </w:r>
            <w:r w:rsidR="00BA60B6" w:rsidRPr="00BA60B6">
              <w:rPr>
                <w:rFonts w:ascii="Arial" w:hAnsi="Arial" w:cs="Arial"/>
                <w:b/>
                <w:bCs/>
                <w:lang w:eastAsia="en-GB"/>
              </w:rPr>
              <w:t>(CIHT, 2020)</w:t>
            </w:r>
          </w:p>
        </w:tc>
      </w:tr>
      <w:tr w:rsidR="00460FB9" w:rsidRPr="008A2802" w14:paraId="3D95F19D" w14:textId="77777777" w:rsidTr="007E69C5">
        <w:trPr>
          <w:jc w:val="center"/>
        </w:trPr>
        <w:tc>
          <w:tcPr>
            <w:tcW w:w="2254" w:type="dxa"/>
            <w:shd w:val="clear" w:color="auto" w:fill="99CCFF"/>
          </w:tcPr>
          <w:p w14:paraId="44F7F781" w14:textId="77777777" w:rsidR="00460FB9" w:rsidRPr="00256DB9" w:rsidRDefault="00460FB9" w:rsidP="00AA34FF">
            <w:pPr>
              <w:rPr>
                <w:rFonts w:ascii="Arial" w:hAnsi="Arial" w:cs="Arial"/>
                <w:b/>
                <w:bCs/>
                <w:color w:val="000099"/>
                <w:lang w:eastAsia="en-GB"/>
              </w:rPr>
            </w:pPr>
            <w:r w:rsidRPr="00256DB9">
              <w:rPr>
                <w:rFonts w:ascii="Arial" w:hAnsi="Arial" w:cs="Arial"/>
                <w:b/>
                <w:bCs/>
                <w:color w:val="000099"/>
                <w:lang w:eastAsia="en-GB"/>
              </w:rPr>
              <w:t xml:space="preserve">Category of Traffic Volume </w:t>
            </w:r>
          </w:p>
        </w:tc>
        <w:tc>
          <w:tcPr>
            <w:tcW w:w="2254" w:type="dxa"/>
            <w:shd w:val="clear" w:color="auto" w:fill="99CCFF"/>
          </w:tcPr>
          <w:p w14:paraId="77DEE8CD" w14:textId="77777777" w:rsidR="00460FB9" w:rsidRPr="00256DB9" w:rsidRDefault="00460FB9" w:rsidP="00AA34FF">
            <w:pPr>
              <w:rPr>
                <w:rFonts w:ascii="Arial" w:hAnsi="Arial" w:cs="Arial"/>
                <w:b/>
                <w:bCs/>
                <w:color w:val="000099"/>
                <w:lang w:eastAsia="en-GB"/>
              </w:rPr>
            </w:pPr>
            <w:r w:rsidRPr="00256DB9">
              <w:rPr>
                <w:rFonts w:ascii="Arial" w:hAnsi="Arial" w:cs="Arial"/>
                <w:b/>
                <w:bCs/>
                <w:color w:val="000099"/>
                <w:lang w:eastAsia="en-GB"/>
              </w:rPr>
              <w:t>Daily Traffic Delay Rates (£/Day)</w:t>
            </w:r>
          </w:p>
        </w:tc>
      </w:tr>
      <w:tr w:rsidR="00460FB9" w:rsidRPr="008A2802" w14:paraId="2ADB4202" w14:textId="77777777" w:rsidTr="007E69C5">
        <w:trPr>
          <w:jc w:val="center"/>
        </w:trPr>
        <w:tc>
          <w:tcPr>
            <w:tcW w:w="2254" w:type="dxa"/>
            <w:shd w:val="clear" w:color="auto" w:fill="auto"/>
          </w:tcPr>
          <w:p w14:paraId="3C62F8AA" w14:textId="77777777" w:rsidR="00460FB9" w:rsidRDefault="00460FB9" w:rsidP="00AA34FF">
            <w:pPr>
              <w:rPr>
                <w:rFonts w:ascii="Arial" w:hAnsi="Arial" w:cs="Arial"/>
                <w:lang w:eastAsia="en-GB"/>
              </w:rPr>
            </w:pPr>
            <w:r>
              <w:rPr>
                <w:rFonts w:ascii="Arial" w:hAnsi="Arial" w:cs="Arial"/>
                <w:lang w:eastAsia="en-GB"/>
              </w:rPr>
              <w:t>High</w:t>
            </w:r>
          </w:p>
        </w:tc>
        <w:tc>
          <w:tcPr>
            <w:tcW w:w="2254" w:type="dxa"/>
            <w:shd w:val="clear" w:color="auto" w:fill="auto"/>
          </w:tcPr>
          <w:p w14:paraId="3BEA696D" w14:textId="77777777" w:rsidR="00460FB9" w:rsidRDefault="00460FB9" w:rsidP="00AA34FF">
            <w:pPr>
              <w:rPr>
                <w:rFonts w:ascii="Arial" w:hAnsi="Arial" w:cs="Arial"/>
                <w:lang w:eastAsia="en-GB"/>
              </w:rPr>
            </w:pPr>
            <w:r>
              <w:rPr>
                <w:rFonts w:ascii="Arial" w:hAnsi="Arial" w:cs="Arial"/>
                <w:lang w:eastAsia="en-GB"/>
              </w:rPr>
              <w:t>£996</w:t>
            </w:r>
          </w:p>
        </w:tc>
      </w:tr>
      <w:tr w:rsidR="00460FB9" w:rsidRPr="008A2802" w14:paraId="43CE595D" w14:textId="77777777" w:rsidTr="007E69C5">
        <w:trPr>
          <w:trHeight w:val="433"/>
          <w:jc w:val="center"/>
        </w:trPr>
        <w:tc>
          <w:tcPr>
            <w:tcW w:w="2254" w:type="dxa"/>
            <w:vMerge w:val="restart"/>
          </w:tcPr>
          <w:p w14:paraId="387FFE2D" w14:textId="77777777" w:rsidR="00460FB9" w:rsidRPr="008A2802" w:rsidRDefault="00460FB9" w:rsidP="00AA34FF">
            <w:pPr>
              <w:rPr>
                <w:rFonts w:ascii="Arial" w:hAnsi="Arial" w:cs="Arial"/>
                <w:lang w:eastAsia="en-GB"/>
              </w:rPr>
            </w:pPr>
          </w:p>
          <w:p w14:paraId="2146C7B6" w14:textId="77777777" w:rsidR="00460FB9" w:rsidRPr="008A2802" w:rsidRDefault="00460FB9" w:rsidP="00AA34FF">
            <w:pPr>
              <w:rPr>
                <w:rFonts w:ascii="Arial" w:hAnsi="Arial" w:cs="Arial"/>
                <w:lang w:eastAsia="en-GB"/>
              </w:rPr>
            </w:pPr>
            <w:r>
              <w:rPr>
                <w:rFonts w:ascii="Arial" w:hAnsi="Arial" w:cs="Arial"/>
                <w:lang w:eastAsia="en-GB"/>
              </w:rPr>
              <w:t>Medium</w:t>
            </w:r>
          </w:p>
        </w:tc>
        <w:tc>
          <w:tcPr>
            <w:tcW w:w="2254" w:type="dxa"/>
            <w:vMerge w:val="restart"/>
          </w:tcPr>
          <w:p w14:paraId="33684FE8" w14:textId="77777777" w:rsidR="00460FB9" w:rsidRPr="008A2802" w:rsidRDefault="00460FB9" w:rsidP="00AA34FF">
            <w:pPr>
              <w:rPr>
                <w:rFonts w:ascii="Arial" w:hAnsi="Arial" w:cs="Arial"/>
                <w:lang w:eastAsia="en-GB"/>
              </w:rPr>
            </w:pPr>
            <w:r>
              <w:rPr>
                <w:rFonts w:ascii="Arial" w:hAnsi="Arial" w:cs="Arial"/>
                <w:lang w:eastAsia="en-GB"/>
              </w:rPr>
              <w:t>£695</w:t>
            </w:r>
          </w:p>
        </w:tc>
      </w:tr>
      <w:tr w:rsidR="00460FB9" w:rsidRPr="008A2802" w14:paraId="13EC7F83" w14:textId="77777777" w:rsidTr="007E69C5">
        <w:trPr>
          <w:trHeight w:val="433"/>
          <w:jc w:val="center"/>
        </w:trPr>
        <w:tc>
          <w:tcPr>
            <w:tcW w:w="2254" w:type="dxa"/>
            <w:vMerge/>
          </w:tcPr>
          <w:p w14:paraId="5E4715B5" w14:textId="77777777" w:rsidR="00460FB9" w:rsidRPr="008A2802" w:rsidRDefault="00460FB9" w:rsidP="00AA34FF">
            <w:pPr>
              <w:rPr>
                <w:rFonts w:ascii="Arial" w:hAnsi="Arial" w:cs="Arial"/>
                <w:lang w:eastAsia="en-GB"/>
              </w:rPr>
            </w:pPr>
          </w:p>
        </w:tc>
        <w:tc>
          <w:tcPr>
            <w:tcW w:w="2254" w:type="dxa"/>
            <w:vMerge/>
          </w:tcPr>
          <w:p w14:paraId="6818A12F" w14:textId="77777777" w:rsidR="00460FB9" w:rsidRPr="008A2802" w:rsidRDefault="00460FB9" w:rsidP="00AA34FF">
            <w:pPr>
              <w:rPr>
                <w:rFonts w:ascii="Arial" w:hAnsi="Arial" w:cs="Arial"/>
                <w:lang w:eastAsia="en-GB"/>
              </w:rPr>
            </w:pPr>
          </w:p>
        </w:tc>
      </w:tr>
      <w:tr w:rsidR="00460FB9" w:rsidRPr="008A2802" w14:paraId="28E7B544" w14:textId="77777777" w:rsidTr="007E69C5">
        <w:trPr>
          <w:trHeight w:val="433"/>
          <w:jc w:val="center"/>
        </w:trPr>
        <w:tc>
          <w:tcPr>
            <w:tcW w:w="2254" w:type="dxa"/>
            <w:vMerge w:val="restart"/>
          </w:tcPr>
          <w:p w14:paraId="72E48C98" w14:textId="77777777" w:rsidR="00460FB9" w:rsidRPr="008A2802" w:rsidRDefault="00460FB9" w:rsidP="00AA34FF">
            <w:pPr>
              <w:rPr>
                <w:rFonts w:ascii="Arial" w:hAnsi="Arial" w:cs="Arial"/>
                <w:lang w:eastAsia="en-GB"/>
              </w:rPr>
            </w:pPr>
            <w:r>
              <w:rPr>
                <w:rFonts w:ascii="Arial" w:hAnsi="Arial" w:cs="Arial"/>
                <w:lang w:eastAsia="en-GB"/>
              </w:rPr>
              <w:t>Low</w:t>
            </w:r>
          </w:p>
        </w:tc>
        <w:tc>
          <w:tcPr>
            <w:tcW w:w="2254" w:type="dxa"/>
            <w:vMerge w:val="restart"/>
          </w:tcPr>
          <w:p w14:paraId="44F2926A" w14:textId="77777777" w:rsidR="00460FB9" w:rsidRPr="008A2802" w:rsidRDefault="00460FB9" w:rsidP="00AA34FF">
            <w:pPr>
              <w:rPr>
                <w:rFonts w:ascii="Arial" w:hAnsi="Arial" w:cs="Arial"/>
                <w:lang w:eastAsia="en-GB"/>
              </w:rPr>
            </w:pPr>
            <w:r>
              <w:rPr>
                <w:rFonts w:ascii="Arial" w:hAnsi="Arial" w:cs="Arial"/>
                <w:lang w:eastAsia="en-GB"/>
              </w:rPr>
              <w:t>£301</w:t>
            </w:r>
          </w:p>
        </w:tc>
      </w:tr>
      <w:tr w:rsidR="00460FB9" w:rsidRPr="008A2802" w14:paraId="6D0D351B" w14:textId="77777777" w:rsidTr="007E69C5">
        <w:trPr>
          <w:trHeight w:val="433"/>
          <w:jc w:val="center"/>
        </w:trPr>
        <w:tc>
          <w:tcPr>
            <w:tcW w:w="2254" w:type="dxa"/>
            <w:vMerge/>
          </w:tcPr>
          <w:p w14:paraId="5C21B37D" w14:textId="77777777" w:rsidR="00460FB9" w:rsidRPr="008A2802" w:rsidRDefault="00460FB9" w:rsidP="00AA34FF">
            <w:pPr>
              <w:rPr>
                <w:rFonts w:ascii="Arial" w:hAnsi="Arial" w:cs="Arial"/>
                <w:lang w:eastAsia="en-GB"/>
              </w:rPr>
            </w:pPr>
          </w:p>
        </w:tc>
        <w:tc>
          <w:tcPr>
            <w:tcW w:w="2254" w:type="dxa"/>
            <w:vMerge/>
          </w:tcPr>
          <w:p w14:paraId="13EFAEAF" w14:textId="77777777" w:rsidR="00460FB9" w:rsidRPr="008A2802" w:rsidRDefault="00460FB9" w:rsidP="00AA34FF">
            <w:pPr>
              <w:rPr>
                <w:rFonts w:ascii="Arial" w:hAnsi="Arial" w:cs="Arial"/>
                <w:lang w:eastAsia="en-GB"/>
              </w:rPr>
            </w:pPr>
          </w:p>
        </w:tc>
      </w:tr>
    </w:tbl>
    <w:p w14:paraId="2EBB3C3A" w14:textId="26B3FA13" w:rsidR="00460FB9" w:rsidRDefault="00574EAF" w:rsidP="007E69C5">
      <w:pPr>
        <w:pStyle w:val="Caption"/>
        <w:jc w:val="center"/>
        <w:rPr>
          <w:rFonts w:ascii="Arial" w:hAnsi="Arial" w:cs="Arial"/>
          <w:sz w:val="22"/>
          <w:szCs w:val="22"/>
        </w:rPr>
      </w:pPr>
      <w:bookmarkStart w:id="110" w:name="_Toc66868995"/>
      <w:r w:rsidRPr="00574EAF">
        <w:rPr>
          <w:rFonts w:ascii="Arial" w:hAnsi="Arial" w:cs="Arial"/>
          <w:sz w:val="22"/>
          <w:szCs w:val="22"/>
        </w:rPr>
        <w:t xml:space="preserve">Table </w:t>
      </w:r>
      <w:r w:rsidRPr="00574EAF">
        <w:rPr>
          <w:rFonts w:ascii="Arial" w:hAnsi="Arial" w:cs="Arial"/>
          <w:sz w:val="22"/>
          <w:szCs w:val="22"/>
        </w:rPr>
        <w:fldChar w:fldCharType="begin"/>
      </w:r>
      <w:r w:rsidRPr="00574EAF">
        <w:rPr>
          <w:rFonts w:ascii="Arial" w:hAnsi="Arial" w:cs="Arial"/>
          <w:sz w:val="22"/>
          <w:szCs w:val="22"/>
        </w:rPr>
        <w:instrText xml:space="preserve"> SEQ Table \* ARABIC </w:instrText>
      </w:r>
      <w:r w:rsidRPr="00574EAF">
        <w:rPr>
          <w:rFonts w:ascii="Arial" w:hAnsi="Arial" w:cs="Arial"/>
          <w:sz w:val="22"/>
          <w:szCs w:val="22"/>
        </w:rPr>
        <w:fldChar w:fldCharType="separate"/>
      </w:r>
      <w:r w:rsidR="00B97B5D">
        <w:rPr>
          <w:rFonts w:ascii="Arial" w:hAnsi="Arial" w:cs="Arial"/>
          <w:noProof/>
          <w:sz w:val="22"/>
          <w:szCs w:val="22"/>
        </w:rPr>
        <w:t>11</w:t>
      </w:r>
      <w:r w:rsidRPr="00574EAF">
        <w:rPr>
          <w:rFonts w:ascii="Arial" w:hAnsi="Arial" w:cs="Arial"/>
          <w:sz w:val="22"/>
          <w:szCs w:val="22"/>
        </w:rPr>
        <w:fldChar w:fldCharType="end"/>
      </w:r>
      <w:r w:rsidRPr="00574EAF">
        <w:rPr>
          <w:rFonts w:ascii="Arial" w:hAnsi="Arial" w:cs="Arial"/>
          <w:sz w:val="22"/>
          <w:szCs w:val="22"/>
        </w:rPr>
        <w:t xml:space="preserve"> - Traffic Delay Costs (2014/2015 prices)</w:t>
      </w:r>
      <w:bookmarkEnd w:id="110"/>
    </w:p>
    <w:p w14:paraId="618D6BF0" w14:textId="0972C981" w:rsidR="009B1AC4" w:rsidRDefault="009B1AC4" w:rsidP="009B1AC4"/>
    <w:p w14:paraId="13A9223F" w14:textId="77777777" w:rsidR="009B1AC4" w:rsidRPr="009B1AC4" w:rsidRDefault="009B1AC4" w:rsidP="009B1AC4"/>
    <w:p w14:paraId="28FEE6A1" w14:textId="2BB87B1B" w:rsidR="002C166A" w:rsidRDefault="002C166A" w:rsidP="002C166A">
      <w:pPr>
        <w:pStyle w:val="Heading2"/>
        <w:spacing w:after="240"/>
        <w:rPr>
          <w:rFonts w:ascii="Arial" w:eastAsia="Times New Roman" w:hAnsi="Arial" w:cs="Arial"/>
          <w:b/>
          <w:bCs/>
          <w:color w:val="auto"/>
          <w:sz w:val="24"/>
          <w:szCs w:val="24"/>
          <w:lang w:eastAsia="en-GB"/>
        </w:rPr>
      </w:pPr>
      <w:bookmarkStart w:id="111" w:name="_Toc66868909"/>
      <w:r w:rsidRPr="002C166A">
        <w:rPr>
          <w:rFonts w:ascii="Arial" w:eastAsia="Times New Roman" w:hAnsi="Arial" w:cs="Arial"/>
          <w:b/>
          <w:bCs/>
          <w:color w:val="auto"/>
          <w:sz w:val="24"/>
          <w:szCs w:val="24"/>
          <w:lang w:eastAsia="en-GB"/>
        </w:rPr>
        <w:t>Carbon Emissions</w:t>
      </w:r>
      <w:bookmarkEnd w:id="111"/>
    </w:p>
    <w:p w14:paraId="32C4361A" w14:textId="5C8C2CF6" w:rsidR="00DF1BC0" w:rsidRPr="00100A5B" w:rsidRDefault="00DF1BC0" w:rsidP="004A2DD4">
      <w:pPr>
        <w:spacing w:line="360" w:lineRule="auto"/>
        <w:jc w:val="both"/>
        <w:rPr>
          <w:rFonts w:ascii="Arial" w:hAnsi="Arial" w:cs="Arial"/>
          <w:color w:val="FF0000"/>
          <w:lang w:eastAsia="en-GB"/>
        </w:rPr>
      </w:pPr>
      <w:r>
        <w:rPr>
          <w:rFonts w:ascii="Arial" w:hAnsi="Arial" w:cs="Arial"/>
          <w:lang w:eastAsia="en-GB"/>
        </w:rPr>
        <w:t>After the maintenance requirements</w:t>
      </w:r>
      <w:r w:rsidR="00100A5B">
        <w:rPr>
          <w:rFonts w:ascii="Arial" w:hAnsi="Arial" w:cs="Arial"/>
          <w:lang w:eastAsia="en-GB"/>
        </w:rPr>
        <w:t>,</w:t>
      </w:r>
      <w:r>
        <w:rPr>
          <w:rFonts w:ascii="Arial" w:hAnsi="Arial" w:cs="Arial"/>
          <w:lang w:eastAsia="en-GB"/>
        </w:rPr>
        <w:t xml:space="preserve"> scheme costs </w:t>
      </w:r>
      <w:r w:rsidR="00100A5B">
        <w:rPr>
          <w:rFonts w:ascii="Arial" w:hAnsi="Arial" w:cs="Arial"/>
          <w:lang w:eastAsia="en-GB"/>
        </w:rPr>
        <w:t xml:space="preserve">and traffic delay costs </w:t>
      </w:r>
      <w:r>
        <w:rPr>
          <w:rFonts w:ascii="Arial" w:hAnsi="Arial" w:cs="Arial"/>
          <w:lang w:eastAsia="en-GB"/>
        </w:rPr>
        <w:t xml:space="preserve">were identified for each strategy, the carbon emissions </w:t>
      </w:r>
      <w:r>
        <w:rPr>
          <w:rFonts w:ascii="Arial" w:hAnsi="Arial" w:cs="Arial"/>
        </w:rPr>
        <w:t xml:space="preserve">arising from the individual maintenance schemes </w:t>
      </w:r>
      <w:r>
        <w:rPr>
          <w:rFonts w:ascii="Arial" w:hAnsi="Arial" w:cs="Arial"/>
          <w:lang w:eastAsia="en-GB"/>
        </w:rPr>
        <w:t xml:space="preserve">were estimated using the carbon calculator </w:t>
      </w:r>
      <w:r w:rsidR="000654E7">
        <w:rPr>
          <w:rFonts w:ascii="Arial" w:hAnsi="Arial" w:cs="Arial"/>
          <w:lang w:eastAsia="en-GB"/>
        </w:rPr>
        <w:t xml:space="preserve">design </w:t>
      </w:r>
      <w:r>
        <w:rPr>
          <w:rFonts w:ascii="Arial" w:hAnsi="Arial" w:cs="Arial"/>
          <w:lang w:eastAsia="en-GB"/>
        </w:rPr>
        <w:t xml:space="preserve">tool </w:t>
      </w:r>
      <w:r w:rsidR="000654E7">
        <w:rPr>
          <w:rFonts w:ascii="Arial" w:hAnsi="Arial" w:cs="Arial"/>
          <w:lang w:eastAsia="en-GB"/>
        </w:rPr>
        <w:t xml:space="preserve">for bridges </w:t>
      </w:r>
      <w:r>
        <w:rPr>
          <w:rFonts w:ascii="Arial" w:hAnsi="Arial" w:cs="Arial"/>
          <w:lang w:eastAsia="en-GB"/>
        </w:rPr>
        <w:t>developed by Atkins</w:t>
      </w:r>
      <w:r>
        <w:rPr>
          <w:rFonts w:ascii="Arial" w:hAnsi="Arial" w:cs="Arial"/>
        </w:rPr>
        <w:t>.</w:t>
      </w:r>
      <w:r w:rsidRPr="00620482">
        <w:rPr>
          <w:rFonts w:ascii="Arial" w:hAnsi="Arial" w:cs="Arial"/>
          <w:lang w:eastAsia="en-GB"/>
        </w:rPr>
        <w:t xml:space="preserve"> </w:t>
      </w:r>
      <w:r w:rsidR="000654E7">
        <w:rPr>
          <w:rFonts w:ascii="Arial" w:hAnsi="Arial" w:cs="Arial"/>
          <w:lang w:eastAsia="en-GB"/>
        </w:rPr>
        <w:t xml:space="preserve">Initial input </w:t>
      </w:r>
      <w:r w:rsidR="001E4BF1">
        <w:rPr>
          <w:rFonts w:ascii="Arial" w:hAnsi="Arial" w:cs="Arial"/>
          <w:lang w:eastAsia="en-GB"/>
        </w:rPr>
        <w:t xml:space="preserve">was </w:t>
      </w:r>
      <w:r w:rsidR="00993AC6">
        <w:rPr>
          <w:rFonts w:ascii="Arial" w:hAnsi="Arial" w:cs="Arial"/>
          <w:lang w:eastAsia="en-GB"/>
        </w:rPr>
        <w:t>carried out to define the following information</w:t>
      </w:r>
      <w:r w:rsidRPr="00100A5B">
        <w:rPr>
          <w:rFonts w:ascii="Arial" w:hAnsi="Arial" w:cs="Arial"/>
          <w:lang w:eastAsia="en-GB"/>
        </w:rPr>
        <w:t>:</w:t>
      </w:r>
    </w:p>
    <w:p w14:paraId="2C5C5AD0" w14:textId="77777777" w:rsidR="00DF1BC0" w:rsidRPr="006F62FB" w:rsidRDefault="00DF1BC0" w:rsidP="004A2DD4">
      <w:pPr>
        <w:pStyle w:val="ListParagraph"/>
        <w:numPr>
          <w:ilvl w:val="0"/>
          <w:numId w:val="6"/>
        </w:numPr>
        <w:spacing w:line="360" w:lineRule="auto"/>
        <w:jc w:val="both"/>
        <w:rPr>
          <w:rFonts w:ascii="Arial" w:hAnsi="Arial" w:cs="Arial"/>
          <w:lang w:eastAsia="en-GB"/>
        </w:rPr>
      </w:pPr>
      <w:r w:rsidRPr="006F62FB">
        <w:rPr>
          <w:rFonts w:ascii="Arial" w:hAnsi="Arial" w:cs="Arial"/>
          <w:lang w:eastAsia="en-GB"/>
        </w:rPr>
        <w:t xml:space="preserve">Type of bridge </w:t>
      </w:r>
      <w:r>
        <w:rPr>
          <w:rFonts w:ascii="Arial" w:hAnsi="Arial" w:cs="Arial"/>
          <w:lang w:eastAsia="en-GB"/>
        </w:rPr>
        <w:t>(</w:t>
      </w:r>
      <w:r w:rsidRPr="006F62FB">
        <w:rPr>
          <w:rFonts w:ascii="Arial" w:hAnsi="Arial" w:cs="Arial"/>
          <w:lang w:eastAsia="en-GB"/>
        </w:rPr>
        <w:t xml:space="preserve">highway bridge) </w:t>
      </w:r>
    </w:p>
    <w:p w14:paraId="6E14AF75" w14:textId="77777777" w:rsidR="00DF1BC0" w:rsidRPr="006F62FB" w:rsidRDefault="00DF1BC0" w:rsidP="004A2DD4">
      <w:pPr>
        <w:pStyle w:val="ListParagraph"/>
        <w:numPr>
          <w:ilvl w:val="0"/>
          <w:numId w:val="6"/>
        </w:numPr>
        <w:spacing w:line="360" w:lineRule="auto"/>
        <w:jc w:val="both"/>
        <w:rPr>
          <w:rFonts w:ascii="Arial" w:hAnsi="Arial" w:cs="Arial"/>
          <w:lang w:eastAsia="en-GB"/>
        </w:rPr>
      </w:pPr>
      <w:r w:rsidRPr="006F62FB">
        <w:rPr>
          <w:rFonts w:ascii="Arial" w:hAnsi="Arial" w:cs="Arial"/>
          <w:lang w:eastAsia="en-GB"/>
        </w:rPr>
        <w:t xml:space="preserve">The obstacle crossed </w:t>
      </w:r>
      <w:r>
        <w:rPr>
          <w:rFonts w:ascii="Arial" w:hAnsi="Arial" w:cs="Arial"/>
          <w:lang w:eastAsia="en-GB"/>
        </w:rPr>
        <w:t>(railway)</w:t>
      </w:r>
    </w:p>
    <w:p w14:paraId="2A9C09CD" w14:textId="08A5C03F" w:rsidR="00DF1BC0" w:rsidRPr="006F62FB" w:rsidRDefault="00DF1BC0" w:rsidP="004A2DD4">
      <w:pPr>
        <w:pStyle w:val="ListParagraph"/>
        <w:numPr>
          <w:ilvl w:val="0"/>
          <w:numId w:val="6"/>
        </w:numPr>
        <w:spacing w:line="360" w:lineRule="auto"/>
        <w:jc w:val="both"/>
        <w:rPr>
          <w:rFonts w:ascii="Arial" w:hAnsi="Arial" w:cs="Arial"/>
          <w:lang w:eastAsia="en-GB"/>
        </w:rPr>
      </w:pPr>
      <w:r w:rsidRPr="006F62FB">
        <w:rPr>
          <w:rFonts w:ascii="Arial" w:hAnsi="Arial" w:cs="Arial"/>
          <w:lang w:eastAsia="en-GB"/>
        </w:rPr>
        <w:t>Key geometric data</w:t>
      </w:r>
      <w:r>
        <w:rPr>
          <w:rFonts w:ascii="Arial" w:hAnsi="Arial" w:cs="Arial"/>
          <w:lang w:eastAsia="en-GB"/>
        </w:rPr>
        <w:t xml:space="preserve"> (as per Section </w:t>
      </w:r>
      <w:r w:rsidR="00FE20FB">
        <w:rPr>
          <w:rFonts w:ascii="Arial" w:hAnsi="Arial" w:cs="Arial"/>
          <w:lang w:eastAsia="en-GB"/>
        </w:rPr>
        <w:t>4.3</w:t>
      </w:r>
      <w:r>
        <w:rPr>
          <w:rFonts w:ascii="Arial" w:hAnsi="Arial" w:cs="Arial"/>
          <w:lang w:eastAsia="en-GB"/>
        </w:rPr>
        <w:t>)</w:t>
      </w:r>
    </w:p>
    <w:p w14:paraId="3F30BF56" w14:textId="5CC5B9BD" w:rsidR="00DF1BC0" w:rsidRDefault="00DF1BC0" w:rsidP="004A2DD4">
      <w:pPr>
        <w:pStyle w:val="ListParagraph"/>
        <w:numPr>
          <w:ilvl w:val="0"/>
          <w:numId w:val="6"/>
        </w:numPr>
        <w:spacing w:line="360" w:lineRule="auto"/>
        <w:jc w:val="both"/>
        <w:rPr>
          <w:rFonts w:ascii="Arial" w:hAnsi="Arial" w:cs="Arial"/>
          <w:lang w:eastAsia="en-GB"/>
        </w:rPr>
      </w:pPr>
      <w:r w:rsidRPr="006F62FB">
        <w:rPr>
          <w:rFonts w:ascii="Arial" w:hAnsi="Arial" w:cs="Arial"/>
          <w:lang w:eastAsia="en-GB"/>
        </w:rPr>
        <w:t>The construction duration in weeks obtained from available records (</w:t>
      </w:r>
      <w:r>
        <w:rPr>
          <w:rFonts w:ascii="Arial" w:hAnsi="Arial" w:cs="Arial"/>
          <w:lang w:eastAsia="en-GB"/>
        </w:rPr>
        <w:t>78 weeks</w:t>
      </w:r>
      <w:r w:rsidRPr="006F62FB">
        <w:rPr>
          <w:rFonts w:ascii="Arial" w:hAnsi="Arial" w:cs="Arial"/>
          <w:lang w:eastAsia="en-GB"/>
        </w:rPr>
        <w:t>).</w:t>
      </w:r>
    </w:p>
    <w:p w14:paraId="287368FE" w14:textId="6E3FFF01" w:rsidR="00185E57" w:rsidRPr="002B08D3" w:rsidRDefault="00185E57" w:rsidP="004A2DD4">
      <w:pPr>
        <w:pStyle w:val="ListParagraph"/>
        <w:numPr>
          <w:ilvl w:val="0"/>
          <w:numId w:val="6"/>
        </w:numPr>
        <w:spacing w:line="360" w:lineRule="auto"/>
        <w:jc w:val="both"/>
        <w:rPr>
          <w:rFonts w:ascii="Arial" w:hAnsi="Arial" w:cs="Arial"/>
          <w:lang w:eastAsia="en-GB"/>
        </w:rPr>
      </w:pPr>
      <w:r w:rsidRPr="00E6059A">
        <w:rPr>
          <w:rFonts w:ascii="Arial" w:hAnsi="Arial" w:cs="Arial"/>
          <w:lang w:eastAsia="en-GB"/>
        </w:rPr>
        <w:t>Diversion route</w:t>
      </w:r>
      <w:r w:rsidR="00CC66C3" w:rsidRPr="00E6059A">
        <w:rPr>
          <w:rFonts w:ascii="Arial" w:hAnsi="Arial" w:cs="Arial"/>
          <w:lang w:eastAsia="en-GB"/>
        </w:rPr>
        <w:t xml:space="preserve"> (</w:t>
      </w:r>
      <w:r w:rsidRPr="00E6059A">
        <w:rPr>
          <w:rFonts w:ascii="Arial" w:hAnsi="Arial" w:cs="Arial"/>
          <w:lang w:eastAsia="en-GB"/>
        </w:rPr>
        <w:t>type of road, speed limit and length of diversion</w:t>
      </w:r>
      <w:r w:rsidR="00DA1046" w:rsidRPr="00E6059A">
        <w:rPr>
          <w:rFonts w:ascii="Arial" w:hAnsi="Arial" w:cs="Arial"/>
          <w:lang w:eastAsia="en-GB"/>
        </w:rPr>
        <w:t xml:space="preserve"> - </w:t>
      </w:r>
      <w:r w:rsidRPr="00E6059A">
        <w:rPr>
          <w:rFonts w:ascii="Arial" w:hAnsi="Arial" w:cs="Arial"/>
          <w:lang w:eastAsia="en-GB"/>
        </w:rPr>
        <w:t>identified using Google Maps</w:t>
      </w:r>
      <w:r w:rsidR="00DA1046" w:rsidRPr="002B08D3">
        <w:rPr>
          <w:rFonts w:ascii="Arial" w:hAnsi="Arial" w:cs="Arial"/>
          <w:lang w:eastAsia="en-GB"/>
        </w:rPr>
        <w:t>)</w:t>
      </w:r>
    </w:p>
    <w:p w14:paraId="4C29131E" w14:textId="59CCF36C" w:rsidR="00DF1BC0" w:rsidRDefault="00DF1BC0" w:rsidP="004A2DD4">
      <w:pPr>
        <w:pStyle w:val="ListParagraph"/>
        <w:numPr>
          <w:ilvl w:val="0"/>
          <w:numId w:val="6"/>
        </w:numPr>
        <w:spacing w:line="360" w:lineRule="auto"/>
        <w:jc w:val="both"/>
        <w:rPr>
          <w:rFonts w:ascii="Arial" w:hAnsi="Arial" w:cs="Arial"/>
          <w:lang w:eastAsia="en-GB"/>
        </w:rPr>
      </w:pPr>
      <w:r>
        <w:rPr>
          <w:rFonts w:ascii="Arial" w:hAnsi="Arial" w:cs="Arial"/>
          <w:lang w:eastAsia="en-GB"/>
        </w:rPr>
        <w:t>Volumes of materials as per Table 12 (calculated from as-built records)</w:t>
      </w:r>
    </w:p>
    <w:tbl>
      <w:tblPr>
        <w:tblStyle w:val="TableGrid"/>
        <w:tblW w:w="0" w:type="auto"/>
        <w:jc w:val="center"/>
        <w:tblInd w:w="0" w:type="dxa"/>
        <w:tblLook w:val="04A0" w:firstRow="1" w:lastRow="0" w:firstColumn="1" w:lastColumn="0" w:noHBand="0" w:noVBand="1"/>
      </w:tblPr>
      <w:tblGrid>
        <w:gridCol w:w="2254"/>
        <w:gridCol w:w="3128"/>
        <w:gridCol w:w="2126"/>
      </w:tblGrid>
      <w:tr w:rsidR="00DF1BC0" w14:paraId="51E3AF47" w14:textId="77777777" w:rsidTr="00100A5B">
        <w:trPr>
          <w:jc w:val="center"/>
        </w:trPr>
        <w:tc>
          <w:tcPr>
            <w:tcW w:w="7508" w:type="dxa"/>
            <w:gridSpan w:val="3"/>
            <w:shd w:val="clear" w:color="auto" w:fill="1A0FA4" w:themeFill="accent1" w:themeFillShade="BF"/>
          </w:tcPr>
          <w:p w14:paraId="5ECF4DAC" w14:textId="77777777" w:rsidR="00DF1BC0" w:rsidRPr="00D52D96" w:rsidRDefault="00DF1BC0" w:rsidP="000B16A4">
            <w:pPr>
              <w:jc w:val="center"/>
              <w:rPr>
                <w:rFonts w:ascii="Arial" w:hAnsi="Arial" w:cs="Arial"/>
                <w:lang w:eastAsia="en-GB"/>
              </w:rPr>
            </w:pPr>
            <w:r w:rsidRPr="007E69C5">
              <w:rPr>
                <w:rFonts w:ascii="Arial" w:hAnsi="Arial" w:cs="Arial"/>
                <w:b/>
                <w:bCs/>
                <w:color w:val="FFFFFF" w:themeColor="background1"/>
                <w:lang w:eastAsia="en-GB"/>
              </w:rPr>
              <w:t>Volumes of Materials</w:t>
            </w:r>
          </w:p>
        </w:tc>
      </w:tr>
      <w:tr w:rsidR="00DF1BC0" w14:paraId="3FCB5F93" w14:textId="77777777" w:rsidTr="00100A5B">
        <w:trPr>
          <w:jc w:val="center"/>
        </w:trPr>
        <w:tc>
          <w:tcPr>
            <w:tcW w:w="2254" w:type="dxa"/>
            <w:shd w:val="clear" w:color="auto" w:fill="99CCFF"/>
          </w:tcPr>
          <w:p w14:paraId="26C810EF" w14:textId="77777777" w:rsidR="00DF1BC0" w:rsidRPr="002F2710" w:rsidRDefault="00DF1BC0" w:rsidP="00100A5B">
            <w:pPr>
              <w:rPr>
                <w:rFonts w:ascii="Arial" w:hAnsi="Arial" w:cs="Arial"/>
                <w:b/>
                <w:bCs/>
                <w:color w:val="1A0FA4" w:themeColor="accent1" w:themeShade="BF"/>
                <w:lang w:eastAsia="en-GB"/>
              </w:rPr>
            </w:pPr>
            <w:r w:rsidRPr="002F2710">
              <w:rPr>
                <w:rFonts w:ascii="Arial" w:hAnsi="Arial" w:cs="Arial"/>
                <w:b/>
                <w:bCs/>
                <w:color w:val="1A0FA4" w:themeColor="accent1" w:themeShade="BF"/>
                <w:lang w:eastAsia="en-GB"/>
              </w:rPr>
              <w:t>Bridge Element Type</w:t>
            </w:r>
          </w:p>
        </w:tc>
        <w:tc>
          <w:tcPr>
            <w:tcW w:w="3128" w:type="dxa"/>
            <w:shd w:val="clear" w:color="auto" w:fill="99CCFF"/>
          </w:tcPr>
          <w:p w14:paraId="643E6801" w14:textId="77777777" w:rsidR="00DF1BC0" w:rsidRPr="002F2710" w:rsidRDefault="00DF1BC0" w:rsidP="00100A5B">
            <w:pPr>
              <w:rPr>
                <w:rFonts w:ascii="Arial" w:hAnsi="Arial" w:cs="Arial"/>
                <w:b/>
                <w:bCs/>
                <w:color w:val="1A0FA4" w:themeColor="accent1" w:themeShade="BF"/>
                <w:lang w:eastAsia="en-GB"/>
              </w:rPr>
            </w:pPr>
            <w:r w:rsidRPr="002F2710">
              <w:rPr>
                <w:rFonts w:ascii="Arial" w:hAnsi="Arial" w:cs="Arial"/>
                <w:b/>
                <w:bCs/>
                <w:color w:val="1A0FA4" w:themeColor="accent1" w:themeShade="BF"/>
                <w:lang w:eastAsia="en-GB"/>
              </w:rPr>
              <w:t>Material</w:t>
            </w:r>
          </w:p>
        </w:tc>
        <w:tc>
          <w:tcPr>
            <w:tcW w:w="2126" w:type="dxa"/>
            <w:shd w:val="clear" w:color="auto" w:fill="99CCFF"/>
          </w:tcPr>
          <w:p w14:paraId="4928DDA2" w14:textId="77777777" w:rsidR="00DF1BC0" w:rsidRPr="002F2710" w:rsidRDefault="00DF1BC0" w:rsidP="00100A5B">
            <w:pPr>
              <w:rPr>
                <w:rFonts w:ascii="Arial" w:hAnsi="Arial" w:cs="Arial"/>
                <w:b/>
                <w:bCs/>
                <w:color w:val="1A0FA4" w:themeColor="accent1" w:themeShade="BF"/>
                <w:lang w:eastAsia="en-GB"/>
              </w:rPr>
            </w:pPr>
            <w:r w:rsidRPr="002F2710">
              <w:rPr>
                <w:rFonts w:ascii="Arial" w:hAnsi="Arial" w:cs="Arial"/>
                <w:b/>
                <w:bCs/>
                <w:color w:val="1A0FA4" w:themeColor="accent1" w:themeShade="BF"/>
                <w:lang w:eastAsia="en-GB"/>
              </w:rPr>
              <w:t>Volume (m</w:t>
            </w:r>
            <w:r w:rsidRPr="002F2710">
              <w:rPr>
                <w:rFonts w:ascii="Arial" w:hAnsi="Arial" w:cs="Arial"/>
                <w:b/>
                <w:bCs/>
                <w:color w:val="1A0FA4" w:themeColor="accent1" w:themeShade="BF"/>
                <w:vertAlign w:val="superscript"/>
                <w:lang w:eastAsia="en-GB"/>
              </w:rPr>
              <w:t>3</w:t>
            </w:r>
            <w:r w:rsidRPr="002F2710">
              <w:rPr>
                <w:rFonts w:ascii="Arial" w:hAnsi="Arial" w:cs="Arial"/>
                <w:b/>
                <w:bCs/>
                <w:color w:val="1A0FA4" w:themeColor="accent1" w:themeShade="BF"/>
                <w:lang w:eastAsia="en-GB"/>
              </w:rPr>
              <w:t>) / Tonnage (t) / Quantity (No.)</w:t>
            </w:r>
          </w:p>
        </w:tc>
      </w:tr>
      <w:tr w:rsidR="00DF1BC0" w14:paraId="2B5D48D6" w14:textId="77777777" w:rsidTr="00100A5B">
        <w:trPr>
          <w:jc w:val="center"/>
        </w:trPr>
        <w:tc>
          <w:tcPr>
            <w:tcW w:w="5382" w:type="dxa"/>
            <w:gridSpan w:val="2"/>
          </w:tcPr>
          <w:p w14:paraId="781E6E6E" w14:textId="77777777" w:rsidR="00DF1BC0" w:rsidRPr="00D52D96" w:rsidRDefault="00DF1BC0" w:rsidP="00100A5B">
            <w:pPr>
              <w:rPr>
                <w:rFonts w:ascii="Arial" w:hAnsi="Arial" w:cs="Arial"/>
                <w:lang w:eastAsia="en-GB"/>
              </w:rPr>
            </w:pPr>
          </w:p>
        </w:tc>
        <w:tc>
          <w:tcPr>
            <w:tcW w:w="2126" w:type="dxa"/>
          </w:tcPr>
          <w:p w14:paraId="427F5E9B" w14:textId="77777777" w:rsidR="00DF1BC0" w:rsidRPr="00D52D96" w:rsidRDefault="00DF1BC0" w:rsidP="00100A5B">
            <w:pPr>
              <w:rPr>
                <w:rFonts w:ascii="Arial" w:hAnsi="Arial" w:cs="Arial"/>
                <w:lang w:eastAsia="en-GB"/>
              </w:rPr>
            </w:pPr>
            <w:r w:rsidRPr="00D52D96">
              <w:rPr>
                <w:rFonts w:ascii="Arial" w:hAnsi="Arial" w:cs="Arial"/>
                <w:lang w:eastAsia="en-GB"/>
              </w:rPr>
              <w:t>Volume (m</w:t>
            </w:r>
            <w:r w:rsidRPr="00D52D96">
              <w:rPr>
                <w:rFonts w:ascii="Arial" w:hAnsi="Arial" w:cs="Arial"/>
                <w:vertAlign w:val="superscript"/>
                <w:lang w:eastAsia="en-GB"/>
              </w:rPr>
              <w:t>3</w:t>
            </w:r>
            <w:r w:rsidRPr="00D52D96">
              <w:rPr>
                <w:rFonts w:ascii="Arial" w:hAnsi="Arial" w:cs="Arial"/>
                <w:lang w:eastAsia="en-GB"/>
              </w:rPr>
              <w:t>)</w:t>
            </w:r>
          </w:p>
        </w:tc>
      </w:tr>
      <w:tr w:rsidR="00DF1BC0" w14:paraId="04BAF60C" w14:textId="77777777" w:rsidTr="00100A5B">
        <w:trPr>
          <w:jc w:val="center"/>
        </w:trPr>
        <w:tc>
          <w:tcPr>
            <w:tcW w:w="2254" w:type="dxa"/>
            <w:vMerge w:val="restart"/>
          </w:tcPr>
          <w:p w14:paraId="34BFFC21" w14:textId="77777777" w:rsidR="00DF1BC0" w:rsidRPr="00D52D96" w:rsidRDefault="00DF1BC0" w:rsidP="00100A5B">
            <w:pPr>
              <w:rPr>
                <w:rFonts w:ascii="Arial" w:hAnsi="Arial" w:cs="Arial"/>
                <w:lang w:eastAsia="en-GB"/>
              </w:rPr>
            </w:pPr>
            <w:r w:rsidRPr="00D52D96">
              <w:rPr>
                <w:rFonts w:ascii="Arial" w:hAnsi="Arial" w:cs="Arial"/>
                <w:lang w:eastAsia="en-GB"/>
              </w:rPr>
              <w:t>Foundations</w:t>
            </w:r>
          </w:p>
        </w:tc>
        <w:tc>
          <w:tcPr>
            <w:tcW w:w="3128" w:type="dxa"/>
          </w:tcPr>
          <w:p w14:paraId="44385548" w14:textId="77777777" w:rsidR="00DF1BC0" w:rsidRPr="00D52D96" w:rsidRDefault="00DF1BC0" w:rsidP="00100A5B">
            <w:pPr>
              <w:rPr>
                <w:rFonts w:ascii="Arial" w:hAnsi="Arial" w:cs="Arial"/>
                <w:lang w:eastAsia="en-GB"/>
              </w:rPr>
            </w:pPr>
            <w:r w:rsidRPr="00D52D96">
              <w:rPr>
                <w:rFonts w:ascii="Arial" w:hAnsi="Arial" w:cs="Arial"/>
                <w:lang w:eastAsia="en-GB"/>
              </w:rPr>
              <w:t>Reinforced Concrete</w:t>
            </w:r>
          </w:p>
        </w:tc>
        <w:tc>
          <w:tcPr>
            <w:tcW w:w="2126" w:type="dxa"/>
          </w:tcPr>
          <w:p w14:paraId="402C7616" w14:textId="77777777" w:rsidR="00DF1BC0" w:rsidRPr="00D52D96" w:rsidRDefault="00DF1BC0" w:rsidP="00100A5B">
            <w:pPr>
              <w:rPr>
                <w:rFonts w:ascii="Arial" w:hAnsi="Arial" w:cs="Arial"/>
                <w:lang w:eastAsia="en-GB"/>
              </w:rPr>
            </w:pPr>
            <w:r w:rsidRPr="00D52D96">
              <w:rPr>
                <w:rFonts w:ascii="Arial" w:hAnsi="Arial" w:cs="Arial"/>
                <w:lang w:eastAsia="en-GB"/>
              </w:rPr>
              <w:t>200.2</w:t>
            </w:r>
          </w:p>
        </w:tc>
      </w:tr>
      <w:tr w:rsidR="00DF1BC0" w14:paraId="551256B2" w14:textId="77777777" w:rsidTr="00100A5B">
        <w:trPr>
          <w:jc w:val="center"/>
        </w:trPr>
        <w:tc>
          <w:tcPr>
            <w:tcW w:w="2254" w:type="dxa"/>
            <w:vMerge/>
          </w:tcPr>
          <w:p w14:paraId="137DEBDA" w14:textId="77777777" w:rsidR="00DF1BC0" w:rsidRPr="00D52D96" w:rsidRDefault="00DF1BC0" w:rsidP="00100A5B">
            <w:pPr>
              <w:rPr>
                <w:rFonts w:ascii="Arial" w:hAnsi="Arial" w:cs="Arial"/>
                <w:lang w:eastAsia="en-GB"/>
              </w:rPr>
            </w:pPr>
          </w:p>
        </w:tc>
        <w:tc>
          <w:tcPr>
            <w:tcW w:w="3128" w:type="dxa"/>
          </w:tcPr>
          <w:p w14:paraId="60CDB43A" w14:textId="77777777" w:rsidR="00DF1BC0" w:rsidRPr="00D52D96" w:rsidRDefault="00DF1BC0" w:rsidP="00100A5B">
            <w:pPr>
              <w:rPr>
                <w:rFonts w:ascii="Arial" w:hAnsi="Arial" w:cs="Arial"/>
                <w:lang w:eastAsia="en-GB"/>
              </w:rPr>
            </w:pPr>
            <w:r w:rsidRPr="00D52D96">
              <w:rPr>
                <w:rFonts w:ascii="Arial" w:hAnsi="Arial" w:cs="Arial"/>
                <w:lang w:eastAsia="en-GB"/>
              </w:rPr>
              <w:t>Structural Steel</w:t>
            </w:r>
          </w:p>
        </w:tc>
        <w:tc>
          <w:tcPr>
            <w:tcW w:w="2126" w:type="dxa"/>
          </w:tcPr>
          <w:p w14:paraId="4E881173" w14:textId="77777777" w:rsidR="00DF1BC0" w:rsidRPr="00D52D96" w:rsidRDefault="00DF1BC0" w:rsidP="00100A5B">
            <w:pPr>
              <w:rPr>
                <w:rFonts w:ascii="Arial" w:hAnsi="Arial" w:cs="Arial"/>
                <w:lang w:eastAsia="en-GB"/>
              </w:rPr>
            </w:pPr>
            <w:r w:rsidRPr="00D52D96">
              <w:rPr>
                <w:rFonts w:ascii="Arial" w:hAnsi="Arial" w:cs="Arial"/>
                <w:lang w:eastAsia="en-GB"/>
              </w:rPr>
              <w:t>0</w:t>
            </w:r>
          </w:p>
        </w:tc>
      </w:tr>
      <w:tr w:rsidR="00DF1BC0" w14:paraId="07B1EF08" w14:textId="77777777" w:rsidTr="00100A5B">
        <w:trPr>
          <w:jc w:val="center"/>
        </w:trPr>
        <w:tc>
          <w:tcPr>
            <w:tcW w:w="5382" w:type="dxa"/>
            <w:gridSpan w:val="2"/>
          </w:tcPr>
          <w:p w14:paraId="3B94D669" w14:textId="77777777" w:rsidR="00DF1BC0" w:rsidRPr="00D52D96" w:rsidRDefault="00DF1BC0" w:rsidP="00100A5B">
            <w:pPr>
              <w:rPr>
                <w:rFonts w:ascii="Arial" w:hAnsi="Arial" w:cs="Arial"/>
                <w:lang w:eastAsia="en-GB"/>
              </w:rPr>
            </w:pPr>
          </w:p>
        </w:tc>
        <w:tc>
          <w:tcPr>
            <w:tcW w:w="2126" w:type="dxa"/>
          </w:tcPr>
          <w:p w14:paraId="57F25BA0" w14:textId="77777777" w:rsidR="00DF1BC0" w:rsidRPr="00D52D96" w:rsidRDefault="00DF1BC0" w:rsidP="00100A5B">
            <w:pPr>
              <w:rPr>
                <w:rFonts w:ascii="Arial" w:hAnsi="Arial" w:cs="Arial"/>
                <w:lang w:eastAsia="en-GB"/>
              </w:rPr>
            </w:pPr>
            <w:r w:rsidRPr="00D52D96">
              <w:rPr>
                <w:rFonts w:ascii="Arial" w:hAnsi="Arial" w:cs="Arial"/>
                <w:lang w:eastAsia="en-GB"/>
              </w:rPr>
              <w:t>Volume (m</w:t>
            </w:r>
            <w:r w:rsidRPr="00D52D96">
              <w:rPr>
                <w:rFonts w:ascii="Arial" w:hAnsi="Arial" w:cs="Arial"/>
                <w:vertAlign w:val="superscript"/>
                <w:lang w:eastAsia="en-GB"/>
              </w:rPr>
              <w:t>3</w:t>
            </w:r>
            <w:r w:rsidRPr="00D52D96">
              <w:rPr>
                <w:rFonts w:ascii="Arial" w:hAnsi="Arial" w:cs="Arial"/>
                <w:lang w:eastAsia="en-GB"/>
              </w:rPr>
              <w:t>)</w:t>
            </w:r>
          </w:p>
        </w:tc>
      </w:tr>
      <w:tr w:rsidR="00DF1BC0" w14:paraId="28676DC3" w14:textId="77777777" w:rsidTr="00100A5B">
        <w:trPr>
          <w:jc w:val="center"/>
        </w:trPr>
        <w:tc>
          <w:tcPr>
            <w:tcW w:w="2254" w:type="dxa"/>
          </w:tcPr>
          <w:p w14:paraId="502BBA95" w14:textId="77777777" w:rsidR="00DF1BC0" w:rsidRPr="00D52D96" w:rsidRDefault="00DF1BC0" w:rsidP="00100A5B">
            <w:pPr>
              <w:rPr>
                <w:rFonts w:ascii="Arial" w:hAnsi="Arial" w:cs="Arial"/>
                <w:lang w:eastAsia="en-GB"/>
              </w:rPr>
            </w:pPr>
            <w:r w:rsidRPr="00D52D96">
              <w:rPr>
                <w:rFonts w:ascii="Arial" w:hAnsi="Arial" w:cs="Arial"/>
                <w:lang w:eastAsia="en-GB"/>
              </w:rPr>
              <w:t>Substructure</w:t>
            </w:r>
          </w:p>
        </w:tc>
        <w:tc>
          <w:tcPr>
            <w:tcW w:w="3128" w:type="dxa"/>
          </w:tcPr>
          <w:p w14:paraId="38A1B434" w14:textId="77777777" w:rsidR="00DF1BC0" w:rsidRPr="00D52D96" w:rsidRDefault="00DF1BC0" w:rsidP="00100A5B">
            <w:pPr>
              <w:rPr>
                <w:rFonts w:ascii="Arial" w:hAnsi="Arial" w:cs="Arial"/>
                <w:lang w:eastAsia="en-GB"/>
              </w:rPr>
            </w:pPr>
            <w:r w:rsidRPr="00D52D96">
              <w:rPr>
                <w:rFonts w:ascii="Arial" w:hAnsi="Arial" w:cs="Arial"/>
                <w:lang w:eastAsia="en-GB"/>
              </w:rPr>
              <w:t>Reinforced Concrete</w:t>
            </w:r>
          </w:p>
        </w:tc>
        <w:tc>
          <w:tcPr>
            <w:tcW w:w="2126" w:type="dxa"/>
          </w:tcPr>
          <w:p w14:paraId="2E8B1312" w14:textId="77777777" w:rsidR="00DF1BC0" w:rsidRPr="00D52D96" w:rsidRDefault="00DF1BC0" w:rsidP="00100A5B">
            <w:pPr>
              <w:rPr>
                <w:rFonts w:ascii="Arial" w:hAnsi="Arial" w:cs="Arial"/>
                <w:lang w:eastAsia="en-GB"/>
              </w:rPr>
            </w:pPr>
            <w:r w:rsidRPr="00D52D96">
              <w:rPr>
                <w:rFonts w:ascii="Arial" w:hAnsi="Arial" w:cs="Arial"/>
                <w:lang w:eastAsia="en-GB"/>
              </w:rPr>
              <w:t>184.37</w:t>
            </w:r>
          </w:p>
        </w:tc>
      </w:tr>
      <w:tr w:rsidR="00DF1BC0" w14:paraId="7FB66F36" w14:textId="77777777" w:rsidTr="00100A5B">
        <w:trPr>
          <w:jc w:val="center"/>
        </w:trPr>
        <w:tc>
          <w:tcPr>
            <w:tcW w:w="2254" w:type="dxa"/>
          </w:tcPr>
          <w:p w14:paraId="22EA8B9D" w14:textId="77777777" w:rsidR="00DF1BC0" w:rsidRPr="00D52D96" w:rsidRDefault="00DF1BC0" w:rsidP="00100A5B">
            <w:pPr>
              <w:rPr>
                <w:rFonts w:ascii="Arial" w:hAnsi="Arial" w:cs="Arial"/>
                <w:lang w:eastAsia="en-GB"/>
              </w:rPr>
            </w:pPr>
          </w:p>
        </w:tc>
        <w:tc>
          <w:tcPr>
            <w:tcW w:w="3128" w:type="dxa"/>
          </w:tcPr>
          <w:p w14:paraId="1AFABB3D" w14:textId="77777777" w:rsidR="00DF1BC0" w:rsidRPr="00D52D96" w:rsidRDefault="00DF1BC0" w:rsidP="00100A5B">
            <w:pPr>
              <w:rPr>
                <w:rFonts w:ascii="Arial" w:hAnsi="Arial" w:cs="Arial"/>
                <w:lang w:eastAsia="en-GB"/>
              </w:rPr>
            </w:pPr>
          </w:p>
        </w:tc>
        <w:tc>
          <w:tcPr>
            <w:tcW w:w="2126" w:type="dxa"/>
          </w:tcPr>
          <w:p w14:paraId="1FEDC54A" w14:textId="77777777" w:rsidR="00DF1BC0" w:rsidRPr="00FF1C66" w:rsidRDefault="00DF1BC0" w:rsidP="00100A5B">
            <w:pPr>
              <w:rPr>
                <w:rFonts w:ascii="Arial" w:hAnsi="Arial" w:cs="Arial"/>
                <w:lang w:eastAsia="en-GB"/>
              </w:rPr>
            </w:pPr>
            <w:r w:rsidRPr="00FF1C66">
              <w:rPr>
                <w:rFonts w:ascii="Arial" w:hAnsi="Arial" w:cs="Arial"/>
                <w:lang w:eastAsia="en-GB"/>
              </w:rPr>
              <w:t>Quantity (No.)</w:t>
            </w:r>
          </w:p>
        </w:tc>
      </w:tr>
      <w:tr w:rsidR="00DF1BC0" w14:paraId="473C437B" w14:textId="77777777" w:rsidTr="00100A5B">
        <w:trPr>
          <w:jc w:val="center"/>
        </w:trPr>
        <w:tc>
          <w:tcPr>
            <w:tcW w:w="2254" w:type="dxa"/>
          </w:tcPr>
          <w:p w14:paraId="14D567D3" w14:textId="77777777" w:rsidR="00DF1BC0" w:rsidRPr="00D52D96" w:rsidRDefault="00DF1BC0" w:rsidP="00100A5B">
            <w:pPr>
              <w:rPr>
                <w:rFonts w:ascii="Arial" w:hAnsi="Arial" w:cs="Arial"/>
                <w:lang w:eastAsia="en-GB"/>
              </w:rPr>
            </w:pPr>
            <w:r w:rsidRPr="00D52D96">
              <w:rPr>
                <w:rFonts w:ascii="Arial" w:hAnsi="Arial" w:cs="Arial"/>
                <w:lang w:eastAsia="en-GB"/>
              </w:rPr>
              <w:t>Articulation</w:t>
            </w:r>
          </w:p>
        </w:tc>
        <w:tc>
          <w:tcPr>
            <w:tcW w:w="3128" w:type="dxa"/>
          </w:tcPr>
          <w:p w14:paraId="59FCD135" w14:textId="77777777" w:rsidR="00DF1BC0" w:rsidRPr="00D52D96" w:rsidRDefault="00DF1BC0" w:rsidP="00100A5B">
            <w:pPr>
              <w:rPr>
                <w:rFonts w:ascii="Arial" w:hAnsi="Arial" w:cs="Arial"/>
                <w:lang w:eastAsia="en-GB"/>
              </w:rPr>
            </w:pPr>
            <w:r w:rsidRPr="00D52D96">
              <w:rPr>
                <w:rFonts w:ascii="Arial" w:hAnsi="Arial" w:cs="Arial"/>
                <w:lang w:eastAsia="en-GB"/>
              </w:rPr>
              <w:t>Bearings</w:t>
            </w:r>
          </w:p>
        </w:tc>
        <w:tc>
          <w:tcPr>
            <w:tcW w:w="2126" w:type="dxa"/>
          </w:tcPr>
          <w:p w14:paraId="52F2CA00" w14:textId="77777777" w:rsidR="00DF1BC0" w:rsidRPr="00FF1C66" w:rsidRDefault="00DF1BC0" w:rsidP="00100A5B">
            <w:pPr>
              <w:rPr>
                <w:rFonts w:ascii="Arial" w:hAnsi="Arial" w:cs="Arial"/>
                <w:lang w:eastAsia="en-GB"/>
              </w:rPr>
            </w:pPr>
            <w:r w:rsidRPr="00FF1C66">
              <w:rPr>
                <w:rFonts w:ascii="Arial" w:hAnsi="Arial" w:cs="Arial"/>
                <w:lang w:eastAsia="en-GB"/>
              </w:rPr>
              <w:t>16</w:t>
            </w:r>
          </w:p>
        </w:tc>
      </w:tr>
      <w:tr w:rsidR="00DF1BC0" w14:paraId="7FB7538E" w14:textId="77777777" w:rsidTr="00100A5B">
        <w:trPr>
          <w:jc w:val="center"/>
        </w:trPr>
        <w:tc>
          <w:tcPr>
            <w:tcW w:w="5382" w:type="dxa"/>
            <w:gridSpan w:val="2"/>
          </w:tcPr>
          <w:p w14:paraId="6DF5AB95" w14:textId="77777777" w:rsidR="00DF1BC0" w:rsidRPr="00D52D96" w:rsidRDefault="00DF1BC0" w:rsidP="00100A5B">
            <w:pPr>
              <w:rPr>
                <w:rFonts w:ascii="Arial" w:hAnsi="Arial" w:cs="Arial"/>
                <w:lang w:eastAsia="en-GB"/>
              </w:rPr>
            </w:pPr>
          </w:p>
        </w:tc>
        <w:tc>
          <w:tcPr>
            <w:tcW w:w="2126" w:type="dxa"/>
          </w:tcPr>
          <w:p w14:paraId="04C47489" w14:textId="77777777" w:rsidR="00DF1BC0" w:rsidRPr="00FF1C66" w:rsidRDefault="00DF1BC0" w:rsidP="00100A5B">
            <w:pPr>
              <w:rPr>
                <w:rFonts w:ascii="Arial" w:hAnsi="Arial" w:cs="Arial"/>
                <w:lang w:eastAsia="en-GB"/>
              </w:rPr>
            </w:pPr>
            <w:r w:rsidRPr="00FF1C66">
              <w:rPr>
                <w:rFonts w:ascii="Arial" w:hAnsi="Arial" w:cs="Arial"/>
                <w:lang w:eastAsia="en-GB"/>
              </w:rPr>
              <w:t>Tonnage (t)</w:t>
            </w:r>
          </w:p>
        </w:tc>
      </w:tr>
      <w:tr w:rsidR="00DF1BC0" w14:paraId="6E450059" w14:textId="77777777" w:rsidTr="00100A5B">
        <w:trPr>
          <w:jc w:val="center"/>
        </w:trPr>
        <w:tc>
          <w:tcPr>
            <w:tcW w:w="2254" w:type="dxa"/>
            <w:vMerge w:val="restart"/>
          </w:tcPr>
          <w:p w14:paraId="370D59BC" w14:textId="77777777" w:rsidR="00DF1BC0" w:rsidRPr="00D52D96" w:rsidRDefault="00DF1BC0" w:rsidP="00100A5B">
            <w:pPr>
              <w:rPr>
                <w:rFonts w:ascii="Arial" w:hAnsi="Arial" w:cs="Arial"/>
                <w:lang w:eastAsia="en-GB"/>
              </w:rPr>
            </w:pPr>
            <w:r w:rsidRPr="00D52D96">
              <w:rPr>
                <w:rFonts w:ascii="Arial" w:hAnsi="Arial" w:cs="Arial"/>
                <w:lang w:eastAsia="en-GB"/>
              </w:rPr>
              <w:t>Deck</w:t>
            </w:r>
          </w:p>
        </w:tc>
        <w:tc>
          <w:tcPr>
            <w:tcW w:w="3128" w:type="dxa"/>
          </w:tcPr>
          <w:p w14:paraId="1638518C" w14:textId="77777777" w:rsidR="00DF1BC0" w:rsidRPr="00D52D96" w:rsidRDefault="00DF1BC0" w:rsidP="00100A5B">
            <w:pPr>
              <w:rPr>
                <w:rFonts w:ascii="Arial" w:hAnsi="Arial" w:cs="Arial"/>
                <w:lang w:eastAsia="en-GB"/>
              </w:rPr>
            </w:pPr>
            <w:r w:rsidRPr="00D52D96">
              <w:rPr>
                <w:rFonts w:ascii="Arial" w:hAnsi="Arial" w:cs="Arial"/>
                <w:lang w:eastAsia="en-GB"/>
              </w:rPr>
              <w:t>Painted Structural Steel</w:t>
            </w:r>
          </w:p>
        </w:tc>
        <w:tc>
          <w:tcPr>
            <w:tcW w:w="2126" w:type="dxa"/>
          </w:tcPr>
          <w:p w14:paraId="099D2FF2" w14:textId="77777777" w:rsidR="00DF1BC0" w:rsidRPr="00D52D96" w:rsidRDefault="00DF1BC0" w:rsidP="00100A5B">
            <w:pPr>
              <w:rPr>
                <w:rFonts w:ascii="Arial" w:hAnsi="Arial" w:cs="Arial"/>
                <w:lang w:eastAsia="en-GB"/>
              </w:rPr>
            </w:pPr>
            <w:r w:rsidRPr="00D52D96">
              <w:rPr>
                <w:rFonts w:ascii="Arial" w:hAnsi="Arial" w:cs="Arial"/>
                <w:lang w:eastAsia="en-GB"/>
              </w:rPr>
              <w:t>0</w:t>
            </w:r>
          </w:p>
        </w:tc>
      </w:tr>
      <w:tr w:rsidR="00DF1BC0" w14:paraId="542F4AE4" w14:textId="77777777" w:rsidTr="00100A5B">
        <w:trPr>
          <w:jc w:val="center"/>
        </w:trPr>
        <w:tc>
          <w:tcPr>
            <w:tcW w:w="2254" w:type="dxa"/>
            <w:vMerge/>
          </w:tcPr>
          <w:p w14:paraId="682B4154" w14:textId="77777777" w:rsidR="00DF1BC0" w:rsidRPr="00D52D96" w:rsidRDefault="00DF1BC0" w:rsidP="00100A5B">
            <w:pPr>
              <w:rPr>
                <w:rFonts w:ascii="Arial" w:hAnsi="Arial" w:cs="Arial"/>
                <w:lang w:eastAsia="en-GB"/>
              </w:rPr>
            </w:pPr>
          </w:p>
        </w:tc>
        <w:tc>
          <w:tcPr>
            <w:tcW w:w="3128" w:type="dxa"/>
          </w:tcPr>
          <w:p w14:paraId="5E761C0A" w14:textId="77777777" w:rsidR="00DF1BC0" w:rsidRPr="00D52D96" w:rsidRDefault="00DF1BC0" w:rsidP="00100A5B">
            <w:pPr>
              <w:rPr>
                <w:rFonts w:ascii="Arial" w:hAnsi="Arial" w:cs="Arial"/>
                <w:lang w:eastAsia="en-GB"/>
              </w:rPr>
            </w:pPr>
            <w:r w:rsidRPr="00D52D96">
              <w:rPr>
                <w:rFonts w:ascii="Arial" w:hAnsi="Arial" w:cs="Arial"/>
                <w:lang w:eastAsia="en-GB"/>
              </w:rPr>
              <w:t>Weathering Structural Steel</w:t>
            </w:r>
          </w:p>
        </w:tc>
        <w:tc>
          <w:tcPr>
            <w:tcW w:w="2126" w:type="dxa"/>
          </w:tcPr>
          <w:p w14:paraId="741E9461" w14:textId="77777777" w:rsidR="00DF1BC0" w:rsidRPr="00D52D96" w:rsidRDefault="00DF1BC0" w:rsidP="00100A5B">
            <w:pPr>
              <w:rPr>
                <w:rFonts w:ascii="Arial" w:hAnsi="Arial" w:cs="Arial"/>
                <w:lang w:eastAsia="en-GB"/>
              </w:rPr>
            </w:pPr>
            <w:r w:rsidRPr="00D52D96">
              <w:rPr>
                <w:rFonts w:ascii="Arial" w:hAnsi="Arial" w:cs="Arial"/>
                <w:lang w:eastAsia="en-GB"/>
              </w:rPr>
              <w:t>52.38</w:t>
            </w:r>
          </w:p>
        </w:tc>
      </w:tr>
    </w:tbl>
    <w:p w14:paraId="3558FE32" w14:textId="77777777" w:rsidR="00DF1BC0" w:rsidRPr="007E69C5" w:rsidRDefault="00DF1BC0" w:rsidP="00DF1BC0">
      <w:pPr>
        <w:pStyle w:val="Caption"/>
        <w:jc w:val="center"/>
        <w:rPr>
          <w:rFonts w:ascii="Arial" w:hAnsi="Arial" w:cs="Arial"/>
          <w:sz w:val="22"/>
          <w:szCs w:val="22"/>
          <w:lang w:eastAsia="en-GB"/>
        </w:rPr>
      </w:pPr>
      <w:bookmarkStart w:id="112" w:name="_Toc66868996"/>
      <w:r w:rsidRPr="007E69C5">
        <w:rPr>
          <w:rFonts w:ascii="Arial" w:hAnsi="Arial" w:cs="Arial"/>
          <w:sz w:val="22"/>
          <w:szCs w:val="22"/>
        </w:rPr>
        <w:t xml:space="preserve">Table </w:t>
      </w:r>
      <w:r w:rsidRPr="007E69C5">
        <w:rPr>
          <w:rFonts w:ascii="Arial" w:hAnsi="Arial" w:cs="Arial"/>
          <w:sz w:val="22"/>
          <w:szCs w:val="22"/>
        </w:rPr>
        <w:fldChar w:fldCharType="begin"/>
      </w:r>
      <w:r w:rsidRPr="007E69C5">
        <w:rPr>
          <w:rFonts w:ascii="Arial" w:hAnsi="Arial" w:cs="Arial"/>
          <w:sz w:val="22"/>
          <w:szCs w:val="22"/>
        </w:rPr>
        <w:instrText xml:space="preserve"> SEQ Table \* ARABIC </w:instrText>
      </w:r>
      <w:r w:rsidRPr="007E69C5">
        <w:rPr>
          <w:rFonts w:ascii="Arial" w:hAnsi="Arial" w:cs="Arial"/>
          <w:sz w:val="22"/>
          <w:szCs w:val="22"/>
        </w:rPr>
        <w:fldChar w:fldCharType="separate"/>
      </w:r>
      <w:r w:rsidRPr="007E69C5">
        <w:rPr>
          <w:rFonts w:ascii="Arial" w:hAnsi="Arial" w:cs="Arial"/>
          <w:noProof/>
          <w:sz w:val="22"/>
          <w:szCs w:val="22"/>
        </w:rPr>
        <w:t>12</w:t>
      </w:r>
      <w:r w:rsidRPr="007E69C5">
        <w:rPr>
          <w:rFonts w:ascii="Arial" w:hAnsi="Arial" w:cs="Arial"/>
          <w:sz w:val="22"/>
          <w:szCs w:val="22"/>
        </w:rPr>
        <w:fldChar w:fldCharType="end"/>
      </w:r>
      <w:r w:rsidRPr="007E69C5">
        <w:rPr>
          <w:rFonts w:ascii="Arial" w:hAnsi="Arial" w:cs="Arial"/>
          <w:sz w:val="22"/>
          <w:szCs w:val="22"/>
        </w:rPr>
        <w:t xml:space="preserve"> - Volumes of Materials</w:t>
      </w:r>
      <w:bookmarkEnd w:id="112"/>
    </w:p>
    <w:p w14:paraId="55AEC033" w14:textId="5249EA59" w:rsidR="00DF1BC0" w:rsidRPr="00575744" w:rsidRDefault="00B95CF6" w:rsidP="00F21C7A">
      <w:pPr>
        <w:spacing w:line="360" w:lineRule="auto"/>
        <w:jc w:val="both"/>
        <w:rPr>
          <w:rFonts w:ascii="Arial" w:hAnsi="Arial" w:cs="Arial"/>
        </w:rPr>
      </w:pPr>
      <w:r>
        <w:rPr>
          <w:rFonts w:ascii="Arial" w:hAnsi="Arial" w:cs="Arial"/>
        </w:rPr>
        <w:t xml:space="preserve">Although the carbon calculator </w:t>
      </w:r>
      <w:r w:rsidR="006F391F">
        <w:rPr>
          <w:rFonts w:ascii="Arial" w:hAnsi="Arial" w:cs="Arial"/>
        </w:rPr>
        <w:t xml:space="preserve">was able to </w:t>
      </w:r>
      <w:r w:rsidR="00E849AE">
        <w:rPr>
          <w:rFonts w:ascii="Arial" w:hAnsi="Arial" w:cs="Arial"/>
        </w:rPr>
        <w:t xml:space="preserve">provide </w:t>
      </w:r>
      <w:r w:rsidR="00835096">
        <w:rPr>
          <w:rFonts w:ascii="Arial" w:hAnsi="Arial" w:cs="Arial"/>
        </w:rPr>
        <w:t>CO</w:t>
      </w:r>
      <w:r w:rsidR="00835096" w:rsidRPr="00E6059A">
        <w:rPr>
          <w:rFonts w:ascii="Arial" w:hAnsi="Arial" w:cs="Arial"/>
          <w:vertAlign w:val="subscript"/>
        </w:rPr>
        <w:t>2</w:t>
      </w:r>
      <w:r w:rsidR="00835096">
        <w:rPr>
          <w:rFonts w:ascii="Arial" w:hAnsi="Arial" w:cs="Arial"/>
        </w:rPr>
        <w:t xml:space="preserve"> </w:t>
      </w:r>
      <w:r w:rsidR="00E849AE">
        <w:rPr>
          <w:rFonts w:ascii="Arial" w:hAnsi="Arial" w:cs="Arial"/>
        </w:rPr>
        <w:t>estimates</w:t>
      </w:r>
      <w:r w:rsidR="008815B6">
        <w:rPr>
          <w:rFonts w:ascii="Arial" w:hAnsi="Arial" w:cs="Arial"/>
        </w:rPr>
        <w:t xml:space="preserve"> with very little input</w:t>
      </w:r>
      <w:r w:rsidR="00E849AE">
        <w:rPr>
          <w:rFonts w:ascii="Arial" w:hAnsi="Arial" w:cs="Arial"/>
        </w:rPr>
        <w:t>, the e</w:t>
      </w:r>
      <w:r w:rsidR="00DF1BC0" w:rsidRPr="00575744">
        <w:rPr>
          <w:rFonts w:ascii="Arial" w:hAnsi="Arial" w:cs="Arial"/>
        </w:rPr>
        <w:t xml:space="preserve">missions </w:t>
      </w:r>
      <w:r w:rsidR="00A427BF">
        <w:rPr>
          <w:rFonts w:ascii="Arial" w:hAnsi="Arial" w:cs="Arial"/>
        </w:rPr>
        <w:t>resulting from</w:t>
      </w:r>
      <w:r w:rsidR="00DF1BC0" w:rsidRPr="00575744">
        <w:rPr>
          <w:rFonts w:ascii="Arial" w:hAnsi="Arial" w:cs="Arial"/>
        </w:rPr>
        <w:t xml:space="preserve"> certain maintenance activities w</w:t>
      </w:r>
      <w:r w:rsidR="00445C6B">
        <w:rPr>
          <w:rFonts w:ascii="Arial" w:hAnsi="Arial" w:cs="Arial"/>
        </w:rPr>
        <w:t>ere</w:t>
      </w:r>
      <w:r w:rsidR="00DF1BC0" w:rsidRPr="00575744">
        <w:rPr>
          <w:rFonts w:ascii="Arial" w:hAnsi="Arial" w:cs="Arial"/>
        </w:rPr>
        <w:t xml:space="preserve"> not </w:t>
      </w:r>
      <w:r w:rsidR="00DF1BC0">
        <w:rPr>
          <w:rFonts w:ascii="Arial" w:hAnsi="Arial" w:cs="Arial"/>
        </w:rPr>
        <w:t>provided</w:t>
      </w:r>
      <w:r w:rsidR="00DF1BC0" w:rsidRPr="00575744">
        <w:rPr>
          <w:rFonts w:ascii="Arial" w:hAnsi="Arial" w:cs="Arial"/>
        </w:rPr>
        <w:t xml:space="preserve">, for example carriageway resurfacing </w:t>
      </w:r>
      <w:r w:rsidR="00884F52">
        <w:rPr>
          <w:rFonts w:ascii="Arial" w:hAnsi="Arial" w:cs="Arial"/>
        </w:rPr>
        <w:t>&amp;</w:t>
      </w:r>
      <w:r w:rsidR="00DF1BC0" w:rsidRPr="00575744">
        <w:rPr>
          <w:rFonts w:ascii="Arial" w:hAnsi="Arial" w:cs="Arial"/>
        </w:rPr>
        <w:t xml:space="preserve"> repairs and re-waterproofing. The emissions for maintenance activities that w</w:t>
      </w:r>
      <w:r w:rsidR="00274ED1">
        <w:rPr>
          <w:rFonts w:ascii="Arial" w:hAnsi="Arial" w:cs="Arial"/>
        </w:rPr>
        <w:t>ere</w:t>
      </w:r>
      <w:r w:rsidR="00DF1BC0" w:rsidRPr="00575744">
        <w:rPr>
          <w:rFonts w:ascii="Arial" w:hAnsi="Arial" w:cs="Arial"/>
        </w:rPr>
        <w:t xml:space="preserve"> not </w:t>
      </w:r>
      <w:r w:rsidR="00DF1BC0">
        <w:rPr>
          <w:rFonts w:ascii="Arial" w:hAnsi="Arial" w:cs="Arial"/>
        </w:rPr>
        <w:t>provided</w:t>
      </w:r>
      <w:r w:rsidR="00DF1BC0" w:rsidRPr="00575744">
        <w:rPr>
          <w:rFonts w:ascii="Arial" w:hAnsi="Arial" w:cs="Arial"/>
        </w:rPr>
        <w:t xml:space="preserve">, were estimated </w:t>
      </w:r>
      <w:r w:rsidR="002D4B51">
        <w:rPr>
          <w:rFonts w:ascii="Arial" w:hAnsi="Arial" w:cs="Arial"/>
        </w:rPr>
        <w:t>using</w:t>
      </w:r>
      <w:r w:rsidR="00DF1BC0" w:rsidRPr="00575744">
        <w:rPr>
          <w:rFonts w:ascii="Arial" w:hAnsi="Arial" w:cs="Arial"/>
        </w:rPr>
        <w:t xml:space="preserve"> a percentage of the</w:t>
      </w:r>
      <w:r w:rsidR="00CB75DD">
        <w:rPr>
          <w:rFonts w:ascii="Arial" w:hAnsi="Arial" w:cs="Arial"/>
        </w:rPr>
        <w:t xml:space="preserve"> estimated</w:t>
      </w:r>
      <w:r w:rsidR="00DF1BC0" w:rsidRPr="00575744">
        <w:rPr>
          <w:rFonts w:ascii="Arial" w:hAnsi="Arial" w:cs="Arial"/>
        </w:rPr>
        <w:t xml:space="preserve"> emissions </w:t>
      </w:r>
      <w:r w:rsidR="00A427BF">
        <w:rPr>
          <w:rFonts w:ascii="Arial" w:hAnsi="Arial" w:cs="Arial"/>
        </w:rPr>
        <w:t xml:space="preserve">arising from </w:t>
      </w:r>
      <w:r w:rsidR="00417EED">
        <w:rPr>
          <w:rFonts w:ascii="Arial" w:hAnsi="Arial" w:cs="Arial"/>
        </w:rPr>
        <w:t xml:space="preserve">the </w:t>
      </w:r>
      <w:r w:rsidR="00A427BF" w:rsidRPr="00575744">
        <w:rPr>
          <w:rFonts w:ascii="Arial" w:hAnsi="Arial" w:cs="Arial"/>
        </w:rPr>
        <w:t xml:space="preserve">construction </w:t>
      </w:r>
      <w:r w:rsidR="007554A5">
        <w:rPr>
          <w:rFonts w:ascii="Arial" w:hAnsi="Arial" w:cs="Arial"/>
        </w:rPr>
        <w:t>of</w:t>
      </w:r>
      <w:r w:rsidR="00DF1BC0" w:rsidRPr="00575744">
        <w:rPr>
          <w:rFonts w:ascii="Arial" w:hAnsi="Arial" w:cs="Arial"/>
        </w:rPr>
        <w:t xml:space="preserve"> those particular components. If element replacement was required, then 100% of the </w:t>
      </w:r>
      <w:r w:rsidR="007868F4">
        <w:rPr>
          <w:rFonts w:ascii="Arial" w:hAnsi="Arial" w:cs="Arial"/>
        </w:rPr>
        <w:t xml:space="preserve">estimated </w:t>
      </w:r>
      <w:r w:rsidR="00DF1BC0" w:rsidRPr="00575744">
        <w:rPr>
          <w:rFonts w:ascii="Arial" w:hAnsi="Arial" w:cs="Arial"/>
        </w:rPr>
        <w:t xml:space="preserve">construction emissions for that particular component was </w:t>
      </w:r>
      <w:r w:rsidR="00DF1BC0">
        <w:rPr>
          <w:rFonts w:ascii="Arial" w:hAnsi="Arial" w:cs="Arial"/>
        </w:rPr>
        <w:t>applied</w:t>
      </w:r>
      <w:r w:rsidR="00DF1BC0" w:rsidRPr="00575744">
        <w:rPr>
          <w:rFonts w:ascii="Arial" w:hAnsi="Arial" w:cs="Arial"/>
        </w:rPr>
        <w:t>. If repairs were required</w:t>
      </w:r>
      <w:r w:rsidR="00274ED1">
        <w:rPr>
          <w:rFonts w:ascii="Arial" w:hAnsi="Arial" w:cs="Arial"/>
        </w:rPr>
        <w:t xml:space="preserve"> rather than replacement</w:t>
      </w:r>
      <w:r w:rsidR="00DF1BC0" w:rsidRPr="00575744">
        <w:rPr>
          <w:rFonts w:ascii="Arial" w:hAnsi="Arial" w:cs="Arial"/>
        </w:rPr>
        <w:t xml:space="preserve">, the emissions were </w:t>
      </w:r>
      <w:r w:rsidR="00E148C6">
        <w:rPr>
          <w:rFonts w:ascii="Arial" w:hAnsi="Arial" w:cs="Arial"/>
        </w:rPr>
        <w:t>calculated</w:t>
      </w:r>
      <w:r w:rsidR="00E2607A" w:rsidRPr="00575744">
        <w:rPr>
          <w:rFonts w:ascii="Arial" w:hAnsi="Arial" w:cs="Arial"/>
        </w:rPr>
        <w:t xml:space="preserve"> </w:t>
      </w:r>
      <w:r w:rsidR="00DF1BC0" w:rsidRPr="00575744">
        <w:rPr>
          <w:rFonts w:ascii="Arial" w:hAnsi="Arial" w:cs="Arial"/>
        </w:rPr>
        <w:t xml:space="preserve">using a percentage </w:t>
      </w:r>
      <w:r w:rsidR="00274ED1" w:rsidRPr="00575744">
        <w:rPr>
          <w:rFonts w:ascii="Arial" w:hAnsi="Arial" w:cs="Arial"/>
        </w:rPr>
        <w:t xml:space="preserve">of the </w:t>
      </w:r>
      <w:r w:rsidR="007868F4">
        <w:rPr>
          <w:rFonts w:ascii="Arial" w:hAnsi="Arial" w:cs="Arial"/>
        </w:rPr>
        <w:t xml:space="preserve">estimated </w:t>
      </w:r>
      <w:r w:rsidR="003E7E06">
        <w:rPr>
          <w:rFonts w:ascii="Arial" w:hAnsi="Arial" w:cs="Arial"/>
        </w:rPr>
        <w:t xml:space="preserve">construction </w:t>
      </w:r>
      <w:r w:rsidR="00274ED1" w:rsidRPr="00575744">
        <w:rPr>
          <w:rFonts w:ascii="Arial" w:hAnsi="Arial" w:cs="Arial"/>
        </w:rPr>
        <w:t>emissions</w:t>
      </w:r>
      <w:r w:rsidR="00603FA4">
        <w:rPr>
          <w:rFonts w:ascii="Arial" w:hAnsi="Arial" w:cs="Arial"/>
        </w:rPr>
        <w:t>,</w:t>
      </w:r>
      <w:r w:rsidR="00274ED1" w:rsidRPr="00575744">
        <w:rPr>
          <w:rFonts w:ascii="Arial" w:hAnsi="Arial" w:cs="Arial"/>
        </w:rPr>
        <w:t xml:space="preserve"> </w:t>
      </w:r>
      <w:r w:rsidR="00603FA4">
        <w:rPr>
          <w:rFonts w:ascii="Arial" w:hAnsi="Arial" w:cs="Arial"/>
        </w:rPr>
        <w:t>using on</w:t>
      </w:r>
      <w:r w:rsidR="00DF1BC0">
        <w:rPr>
          <w:rFonts w:ascii="Arial" w:hAnsi="Arial" w:cs="Arial"/>
        </w:rPr>
        <w:t xml:space="preserve"> the</w:t>
      </w:r>
      <w:r w:rsidR="00DF1BC0" w:rsidRPr="00575744">
        <w:rPr>
          <w:rFonts w:ascii="Arial" w:hAnsi="Arial" w:cs="Arial"/>
        </w:rPr>
        <w:t xml:space="preserve"> total exten</w:t>
      </w:r>
      <w:r w:rsidR="00445C6B">
        <w:rPr>
          <w:rFonts w:ascii="Arial" w:hAnsi="Arial" w:cs="Arial"/>
        </w:rPr>
        <w:t>t</w:t>
      </w:r>
      <w:r w:rsidR="00DF1BC0" w:rsidRPr="00575744">
        <w:rPr>
          <w:rFonts w:ascii="Arial" w:hAnsi="Arial" w:cs="Arial"/>
        </w:rPr>
        <w:t xml:space="preserve"> of defects</w:t>
      </w:r>
      <w:r w:rsidR="00DF1BC0">
        <w:rPr>
          <w:rFonts w:ascii="Arial" w:hAnsi="Arial" w:cs="Arial"/>
        </w:rPr>
        <w:t xml:space="preserve"> (%)</w:t>
      </w:r>
      <w:r w:rsidR="00380D71">
        <w:rPr>
          <w:rFonts w:ascii="Arial" w:hAnsi="Arial" w:cs="Arial"/>
        </w:rPr>
        <w:t xml:space="preserve"> in Table 9</w:t>
      </w:r>
      <w:r w:rsidR="00DF1BC0" w:rsidRPr="00575744">
        <w:rPr>
          <w:rFonts w:ascii="Arial" w:hAnsi="Arial" w:cs="Arial"/>
        </w:rPr>
        <w:t>. The emissions for maintenance activities included embodied CO</w:t>
      </w:r>
      <w:r w:rsidR="00DF1BC0" w:rsidRPr="00575744">
        <w:rPr>
          <w:rFonts w:ascii="Arial" w:hAnsi="Arial" w:cs="Arial"/>
          <w:vertAlign w:val="subscript"/>
        </w:rPr>
        <w:t>2</w:t>
      </w:r>
      <w:r w:rsidR="00005739">
        <w:rPr>
          <w:rFonts w:ascii="Arial" w:hAnsi="Arial" w:cs="Arial"/>
        </w:rPr>
        <w:t>,</w:t>
      </w:r>
      <w:r w:rsidR="00DF1BC0" w:rsidRPr="00575744">
        <w:rPr>
          <w:rFonts w:ascii="Arial" w:hAnsi="Arial" w:cs="Arial"/>
          <w:vertAlign w:val="subscript"/>
        </w:rPr>
        <w:t xml:space="preserve"> </w:t>
      </w:r>
      <w:r w:rsidR="00DF1BC0" w:rsidRPr="00575744">
        <w:rPr>
          <w:rFonts w:ascii="Arial" w:hAnsi="Arial" w:cs="Arial"/>
        </w:rPr>
        <w:t xml:space="preserve">emissions arising from </w:t>
      </w:r>
      <w:r w:rsidR="00EE3699">
        <w:rPr>
          <w:rFonts w:ascii="Arial" w:hAnsi="Arial" w:cs="Arial"/>
        </w:rPr>
        <w:t xml:space="preserve">the </w:t>
      </w:r>
      <w:r w:rsidR="00DF1BC0" w:rsidRPr="00575744">
        <w:rPr>
          <w:rFonts w:ascii="Arial" w:hAnsi="Arial" w:cs="Arial"/>
        </w:rPr>
        <w:t>transportation of materials and emissions emitted from construction plant.</w:t>
      </w:r>
    </w:p>
    <w:p w14:paraId="3872B68E" w14:textId="0899D4F1" w:rsidR="00B01639" w:rsidRDefault="00DF1BC0" w:rsidP="00F21C7A">
      <w:pPr>
        <w:spacing w:line="360" w:lineRule="auto"/>
        <w:jc w:val="both"/>
        <w:rPr>
          <w:rFonts w:ascii="Arial" w:hAnsi="Arial" w:cs="Arial"/>
        </w:rPr>
      </w:pPr>
      <w:r w:rsidRPr="002B08D3">
        <w:rPr>
          <w:rFonts w:ascii="Arial" w:hAnsi="Arial" w:cs="Arial"/>
        </w:rPr>
        <w:t>Although the carbon calculator also estimated the CO</w:t>
      </w:r>
      <w:r w:rsidRPr="002B08D3">
        <w:rPr>
          <w:rFonts w:ascii="Arial" w:hAnsi="Arial" w:cs="Arial"/>
          <w:vertAlign w:val="subscript"/>
        </w:rPr>
        <w:t>2</w:t>
      </w:r>
      <w:r w:rsidRPr="002B08D3">
        <w:rPr>
          <w:rFonts w:ascii="Arial" w:hAnsi="Arial" w:cs="Arial"/>
        </w:rPr>
        <w:t xml:space="preserve"> emissions arising from lane and road closures during maintenance activities, </w:t>
      </w:r>
      <w:r w:rsidR="00227B45" w:rsidRPr="002B08D3">
        <w:rPr>
          <w:rFonts w:ascii="Arial" w:hAnsi="Arial" w:cs="Arial"/>
        </w:rPr>
        <w:t>the estimates</w:t>
      </w:r>
      <w:r w:rsidRPr="002B08D3">
        <w:rPr>
          <w:rFonts w:ascii="Arial" w:hAnsi="Arial" w:cs="Arial"/>
        </w:rPr>
        <w:t xml:space="preserve"> did not consider traffic growth, or changes in vehicle emissions over time</w:t>
      </w:r>
      <w:r w:rsidRPr="009D1EDB">
        <w:rPr>
          <w:rFonts w:ascii="Arial" w:hAnsi="Arial" w:cs="Arial"/>
        </w:rPr>
        <w:t>. To enable more accurate estimations of CO</w:t>
      </w:r>
      <w:r w:rsidRPr="009D1EDB">
        <w:rPr>
          <w:rFonts w:ascii="Arial" w:hAnsi="Arial" w:cs="Arial"/>
          <w:vertAlign w:val="subscript"/>
        </w:rPr>
        <w:t>2</w:t>
      </w:r>
      <w:r>
        <w:rPr>
          <w:rFonts w:ascii="Arial" w:hAnsi="Arial" w:cs="Arial"/>
          <w:vertAlign w:val="subscript"/>
        </w:rPr>
        <w:t xml:space="preserve"> </w:t>
      </w:r>
      <w:r>
        <w:rPr>
          <w:rFonts w:ascii="Arial" w:hAnsi="Arial" w:cs="Arial"/>
        </w:rPr>
        <w:t>throughout the analysis period</w:t>
      </w:r>
      <w:r w:rsidRPr="009D1EDB">
        <w:rPr>
          <w:rFonts w:ascii="Arial" w:hAnsi="Arial" w:cs="Arial"/>
        </w:rPr>
        <w:t>,</w:t>
      </w:r>
      <w:r w:rsidRPr="009D1EDB">
        <w:rPr>
          <w:rFonts w:ascii="Arial" w:hAnsi="Arial" w:cs="Arial"/>
          <w:vertAlign w:val="subscript"/>
        </w:rPr>
        <w:t xml:space="preserve"> </w:t>
      </w:r>
      <w:r w:rsidRPr="009D1EDB">
        <w:rPr>
          <w:rFonts w:ascii="Arial" w:hAnsi="Arial" w:cs="Arial"/>
        </w:rPr>
        <w:t xml:space="preserve">regional road traffic forecasts </w:t>
      </w:r>
      <w:r w:rsidR="00AD05A0">
        <w:rPr>
          <w:rFonts w:ascii="Arial" w:hAnsi="Arial" w:cs="Arial"/>
        </w:rPr>
        <w:t xml:space="preserve">in </w:t>
      </w:r>
      <w:r w:rsidR="00063012" w:rsidRPr="008C5BCF">
        <w:rPr>
          <w:rFonts w:ascii="Arial" w:hAnsi="Arial" w:cs="Arial"/>
        </w:rPr>
        <w:t xml:space="preserve">Section </w:t>
      </w:r>
      <w:r w:rsidR="00D85975">
        <w:rPr>
          <w:rFonts w:ascii="Arial" w:hAnsi="Arial" w:cs="Arial"/>
        </w:rPr>
        <w:t>4.</w:t>
      </w:r>
      <w:r w:rsidR="009D7EA0">
        <w:rPr>
          <w:rFonts w:ascii="Arial" w:hAnsi="Arial" w:cs="Arial"/>
        </w:rPr>
        <w:t>10</w:t>
      </w:r>
      <w:r w:rsidR="006834C2">
        <w:rPr>
          <w:rFonts w:ascii="Arial" w:hAnsi="Arial" w:cs="Arial"/>
        </w:rPr>
        <w:t xml:space="preserve"> </w:t>
      </w:r>
      <w:r w:rsidRPr="009D1EDB">
        <w:rPr>
          <w:rFonts w:ascii="Arial" w:hAnsi="Arial" w:cs="Arial"/>
        </w:rPr>
        <w:t>were applied</w:t>
      </w:r>
      <w:r>
        <w:rPr>
          <w:rFonts w:ascii="Arial" w:hAnsi="Arial" w:cs="Arial"/>
        </w:rPr>
        <w:t xml:space="preserve"> independent</w:t>
      </w:r>
      <w:r w:rsidR="009E144F">
        <w:rPr>
          <w:rFonts w:ascii="Arial" w:hAnsi="Arial" w:cs="Arial"/>
        </w:rPr>
        <w:t>ly</w:t>
      </w:r>
      <w:r>
        <w:rPr>
          <w:rFonts w:ascii="Arial" w:hAnsi="Arial" w:cs="Arial"/>
        </w:rPr>
        <w:t xml:space="preserve">. </w:t>
      </w:r>
    </w:p>
    <w:p w14:paraId="426BBEC6" w14:textId="6903FB3D" w:rsidR="007972FF" w:rsidRDefault="008F1ED4" w:rsidP="00F21C7A">
      <w:pPr>
        <w:spacing w:line="360" w:lineRule="auto"/>
        <w:jc w:val="both"/>
        <w:rPr>
          <w:rFonts w:ascii="Arial" w:hAnsi="Arial" w:cs="Arial"/>
        </w:rPr>
      </w:pPr>
      <w:r>
        <w:rPr>
          <w:rFonts w:ascii="Arial" w:hAnsi="Arial" w:cs="Arial"/>
        </w:rPr>
        <w:t>It is also worth noting that th</w:t>
      </w:r>
      <w:r w:rsidR="00A74056">
        <w:rPr>
          <w:rFonts w:ascii="Arial" w:hAnsi="Arial" w:cs="Arial"/>
        </w:rPr>
        <w:t>e available t</w:t>
      </w:r>
      <w:r w:rsidR="00A74056" w:rsidRPr="009D1EDB">
        <w:rPr>
          <w:rFonts w:ascii="Arial" w:hAnsi="Arial" w:cs="Arial"/>
        </w:rPr>
        <w:t>raffic count data was not sufficient to determine the number of vehicles that would be affected during maintenance</w:t>
      </w:r>
      <w:r w:rsidR="00A74056">
        <w:rPr>
          <w:rFonts w:ascii="Arial" w:hAnsi="Arial" w:cs="Arial"/>
        </w:rPr>
        <w:t xml:space="preserve"> as this would require traffic count data at specific times (e.g. 22:00-06:00) to reflect actual traffic management periods</w:t>
      </w:r>
      <w:r w:rsidR="00A74056" w:rsidRPr="009D1EDB">
        <w:rPr>
          <w:rFonts w:ascii="Arial" w:hAnsi="Arial" w:cs="Arial"/>
        </w:rPr>
        <w:t xml:space="preserve">. Therefore, default </w:t>
      </w:r>
      <w:r w:rsidR="00A74056">
        <w:rPr>
          <w:rFonts w:ascii="Arial" w:hAnsi="Arial" w:cs="Arial"/>
        </w:rPr>
        <w:t>emissions arising from lane and road closures were</w:t>
      </w:r>
      <w:r w:rsidR="007972FF">
        <w:rPr>
          <w:rFonts w:ascii="Arial" w:hAnsi="Arial" w:cs="Arial"/>
        </w:rPr>
        <w:t xml:space="preserve"> </w:t>
      </w:r>
      <w:r w:rsidR="00BA316F">
        <w:rPr>
          <w:rFonts w:ascii="Arial" w:hAnsi="Arial" w:cs="Arial"/>
        </w:rPr>
        <w:t xml:space="preserve">initially </w:t>
      </w:r>
      <w:r w:rsidR="007972FF">
        <w:rPr>
          <w:rFonts w:ascii="Arial" w:hAnsi="Arial" w:cs="Arial"/>
        </w:rPr>
        <w:t>taken from</w:t>
      </w:r>
      <w:r w:rsidR="00A74056">
        <w:rPr>
          <w:rFonts w:ascii="Arial" w:hAnsi="Arial" w:cs="Arial"/>
        </w:rPr>
        <w:t xml:space="preserve"> </w:t>
      </w:r>
      <w:r w:rsidR="00A74056" w:rsidRPr="009D1EDB">
        <w:rPr>
          <w:rFonts w:ascii="Arial" w:hAnsi="Arial" w:cs="Arial"/>
        </w:rPr>
        <w:t xml:space="preserve">the carbon calculator </w:t>
      </w:r>
      <w:r w:rsidR="00A74056">
        <w:rPr>
          <w:rFonts w:ascii="Arial" w:hAnsi="Arial" w:cs="Arial"/>
        </w:rPr>
        <w:t xml:space="preserve">design </w:t>
      </w:r>
      <w:r w:rsidR="00A74056" w:rsidRPr="009D1EDB">
        <w:rPr>
          <w:rFonts w:ascii="Arial" w:hAnsi="Arial" w:cs="Arial"/>
        </w:rPr>
        <w:t>tool</w:t>
      </w:r>
      <w:r w:rsidR="00F1019F">
        <w:rPr>
          <w:rFonts w:ascii="Arial" w:hAnsi="Arial" w:cs="Arial"/>
        </w:rPr>
        <w:t xml:space="preserve"> prior to </w:t>
      </w:r>
      <w:r w:rsidR="008C28B5">
        <w:rPr>
          <w:rFonts w:ascii="Arial" w:hAnsi="Arial" w:cs="Arial"/>
        </w:rPr>
        <w:t xml:space="preserve">the application </w:t>
      </w:r>
      <w:r w:rsidR="000E4471">
        <w:rPr>
          <w:rFonts w:ascii="Arial" w:hAnsi="Arial" w:cs="Arial"/>
        </w:rPr>
        <w:t>forecast traffic growth (%) and reductions in tailpipe emissions (%)</w:t>
      </w:r>
      <w:r w:rsidR="00A74056">
        <w:rPr>
          <w:rFonts w:ascii="Arial" w:hAnsi="Arial" w:cs="Arial"/>
        </w:rPr>
        <w:t>.</w:t>
      </w:r>
      <w:r w:rsidR="00A74056" w:rsidRPr="009D1EDB">
        <w:rPr>
          <w:rFonts w:ascii="Arial" w:hAnsi="Arial" w:cs="Arial"/>
        </w:rPr>
        <w:t xml:space="preserve"> </w:t>
      </w:r>
    </w:p>
    <w:p w14:paraId="2FD038F3" w14:textId="77777777" w:rsidR="007972FF" w:rsidRDefault="007972FF" w:rsidP="00F21C7A">
      <w:pPr>
        <w:spacing w:line="360" w:lineRule="auto"/>
        <w:jc w:val="both"/>
        <w:rPr>
          <w:rFonts w:ascii="Arial" w:hAnsi="Arial" w:cs="Arial"/>
        </w:rPr>
      </w:pPr>
    </w:p>
    <w:p w14:paraId="13A485C8" w14:textId="77777777" w:rsidR="007972FF" w:rsidRDefault="007972FF" w:rsidP="00A74056">
      <w:pPr>
        <w:spacing w:line="360" w:lineRule="auto"/>
        <w:rPr>
          <w:rFonts w:ascii="Arial" w:hAnsi="Arial" w:cs="Arial"/>
        </w:rPr>
      </w:pPr>
    </w:p>
    <w:p w14:paraId="3783DDAA" w14:textId="77777777" w:rsidR="00460FB9" w:rsidRDefault="00460FB9" w:rsidP="00460FB9">
      <w:pPr>
        <w:rPr>
          <w:lang w:eastAsia="en-GB"/>
        </w:rPr>
      </w:pPr>
    </w:p>
    <w:p w14:paraId="212F85EA" w14:textId="7115A59B" w:rsidR="001C75DF" w:rsidRDefault="00460FB9" w:rsidP="00460FB9">
      <w:pPr>
        <w:tabs>
          <w:tab w:val="left" w:pos="2745"/>
        </w:tabs>
        <w:sectPr w:rsidR="001C75DF" w:rsidSect="009C5C56">
          <w:pgSz w:w="11906" w:h="16838"/>
          <w:pgMar w:top="1440" w:right="1440" w:bottom="1440" w:left="1440" w:header="708" w:footer="708" w:gutter="0"/>
          <w:cols w:space="708"/>
          <w:titlePg/>
          <w:docGrid w:linePitch="360"/>
        </w:sectPr>
      </w:pPr>
      <w:r>
        <w:rPr>
          <w:lang w:eastAsia="en-GB"/>
        </w:rPr>
        <w:tab/>
      </w:r>
    </w:p>
    <w:p w14:paraId="4EF002A7" w14:textId="53BC7AA7" w:rsidR="00CC0D35" w:rsidRPr="00CA46DE" w:rsidRDefault="0019435E" w:rsidP="00CA46DE">
      <w:pPr>
        <w:pStyle w:val="Heading2"/>
        <w:spacing w:after="240"/>
        <w:rPr>
          <w:rFonts w:ascii="Arial" w:eastAsia="Times New Roman" w:hAnsi="Arial" w:cs="Arial"/>
          <w:b/>
          <w:bCs/>
          <w:color w:val="auto"/>
          <w:sz w:val="24"/>
          <w:szCs w:val="24"/>
          <w:lang w:eastAsia="en-GB"/>
        </w:rPr>
      </w:pPr>
      <w:bookmarkStart w:id="113" w:name="_Toc66868910"/>
      <w:r w:rsidRPr="00CA46DE">
        <w:rPr>
          <w:rFonts w:ascii="Arial" w:eastAsia="Times New Roman" w:hAnsi="Arial" w:cs="Arial"/>
          <w:b/>
          <w:bCs/>
          <w:color w:val="auto"/>
          <w:sz w:val="24"/>
          <w:szCs w:val="24"/>
          <w:lang w:eastAsia="en-GB"/>
        </w:rPr>
        <w:t>Traffic Forecasts</w:t>
      </w:r>
      <w:bookmarkEnd w:id="113"/>
    </w:p>
    <w:p w14:paraId="1EB867BC" w14:textId="3ACE9A6B" w:rsidR="00B761F8" w:rsidRPr="008D6B00" w:rsidRDefault="00B761F8" w:rsidP="00F21C7A">
      <w:pPr>
        <w:spacing w:after="240" w:line="360" w:lineRule="auto"/>
        <w:jc w:val="both"/>
        <w:rPr>
          <w:rFonts w:ascii="Arial" w:hAnsi="Arial" w:cs="Arial"/>
          <w:lang w:eastAsia="en-GB"/>
        </w:rPr>
      </w:pPr>
      <w:r w:rsidRPr="008D6B00">
        <w:rPr>
          <w:rFonts w:ascii="Arial" w:hAnsi="Arial" w:cs="Arial"/>
          <w:lang w:eastAsia="en-GB"/>
        </w:rPr>
        <w:t>The following</w:t>
      </w:r>
      <w:r w:rsidR="006B5317">
        <w:rPr>
          <w:rFonts w:ascii="Arial" w:hAnsi="Arial" w:cs="Arial"/>
          <w:lang w:eastAsia="en-GB"/>
        </w:rPr>
        <w:t xml:space="preserve"> reg</w:t>
      </w:r>
      <w:r w:rsidR="00226065">
        <w:rPr>
          <w:rFonts w:ascii="Arial" w:hAnsi="Arial" w:cs="Arial"/>
          <w:lang w:eastAsia="en-GB"/>
        </w:rPr>
        <w:t>i</w:t>
      </w:r>
      <w:r w:rsidR="006B5317">
        <w:rPr>
          <w:rFonts w:ascii="Arial" w:hAnsi="Arial" w:cs="Arial"/>
          <w:lang w:eastAsia="en-GB"/>
        </w:rPr>
        <w:t>onal</w:t>
      </w:r>
      <w:r w:rsidRPr="008D6B00">
        <w:rPr>
          <w:rFonts w:ascii="Arial" w:hAnsi="Arial" w:cs="Arial"/>
          <w:lang w:eastAsia="en-GB"/>
        </w:rPr>
        <w:t xml:space="preserve"> traffic forecasts </w:t>
      </w:r>
      <w:r w:rsidR="003E16E0">
        <w:rPr>
          <w:rFonts w:ascii="Arial" w:hAnsi="Arial" w:cs="Arial"/>
          <w:lang w:eastAsia="en-GB"/>
        </w:rPr>
        <w:t>in Table 1</w:t>
      </w:r>
      <w:r w:rsidR="0069369E">
        <w:rPr>
          <w:rFonts w:ascii="Arial" w:hAnsi="Arial" w:cs="Arial"/>
          <w:lang w:eastAsia="en-GB"/>
        </w:rPr>
        <w:t>3</w:t>
      </w:r>
      <w:r w:rsidR="003E16E0">
        <w:rPr>
          <w:rFonts w:ascii="Arial" w:hAnsi="Arial" w:cs="Arial"/>
          <w:lang w:eastAsia="en-GB"/>
        </w:rPr>
        <w:t xml:space="preserve"> </w:t>
      </w:r>
      <w:r w:rsidRPr="008D6B00">
        <w:rPr>
          <w:rFonts w:ascii="Arial" w:hAnsi="Arial" w:cs="Arial"/>
          <w:lang w:eastAsia="en-GB"/>
        </w:rPr>
        <w:t xml:space="preserve">were used </w:t>
      </w:r>
      <w:r w:rsidR="000B44F5">
        <w:rPr>
          <w:rFonts w:ascii="Arial" w:hAnsi="Arial" w:cs="Arial"/>
          <w:lang w:eastAsia="en-GB"/>
        </w:rPr>
        <w:t>in this study</w:t>
      </w:r>
      <w:r w:rsidR="008D6B00" w:rsidRPr="008D6B00">
        <w:rPr>
          <w:rFonts w:ascii="Arial" w:hAnsi="Arial" w:cs="Arial"/>
          <w:lang w:eastAsia="en-GB"/>
        </w:rPr>
        <w:t>.</w:t>
      </w:r>
      <w:r w:rsidR="00226065">
        <w:rPr>
          <w:rFonts w:ascii="Arial" w:hAnsi="Arial" w:cs="Arial"/>
          <w:lang w:eastAsia="en-GB"/>
        </w:rPr>
        <w:t xml:space="preserve"> The </w:t>
      </w:r>
      <w:r w:rsidR="005F1DF7">
        <w:rPr>
          <w:rFonts w:ascii="Arial" w:hAnsi="Arial" w:cs="Arial"/>
          <w:lang w:eastAsia="en-GB"/>
        </w:rPr>
        <w:t>traffic forecasts assume a shift towards electric vehicles.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404"/>
        <w:gridCol w:w="1109"/>
        <w:gridCol w:w="1928"/>
        <w:gridCol w:w="956"/>
        <w:gridCol w:w="956"/>
        <w:gridCol w:w="956"/>
        <w:gridCol w:w="956"/>
        <w:gridCol w:w="956"/>
        <w:gridCol w:w="956"/>
        <w:gridCol w:w="1007"/>
      </w:tblGrid>
      <w:tr w:rsidR="00E70D9D" w:rsidRPr="00E85BF1" w14:paraId="711A3ED4" w14:textId="77777777" w:rsidTr="00013571">
        <w:trPr>
          <w:trHeight w:val="315"/>
          <w:jc w:val="center"/>
        </w:trPr>
        <w:tc>
          <w:tcPr>
            <w:tcW w:w="0" w:type="auto"/>
            <w:gridSpan w:val="11"/>
            <w:shd w:val="clear" w:color="auto" w:fill="000099"/>
            <w:noWrap/>
            <w:vAlign w:val="bottom"/>
            <w:hideMark/>
          </w:tcPr>
          <w:p w14:paraId="20622B0C" w14:textId="0EF6D993" w:rsidR="00E70D9D" w:rsidRPr="00737351" w:rsidRDefault="00514D0E" w:rsidP="00514D0E">
            <w:pPr>
              <w:spacing w:after="0" w:line="240" w:lineRule="auto"/>
              <w:jc w:val="center"/>
              <w:rPr>
                <w:rFonts w:ascii="Arial" w:eastAsia="Times New Roman" w:hAnsi="Arial" w:cs="Arial"/>
                <w:lang w:eastAsia="en-GB"/>
              </w:rPr>
            </w:pPr>
            <w:r w:rsidRPr="00737351">
              <w:rPr>
                <w:rFonts w:ascii="Arial" w:eastAsia="Times New Roman" w:hAnsi="Arial" w:cs="Arial"/>
                <w:b/>
                <w:bCs/>
                <w:lang w:eastAsia="en-GB"/>
              </w:rPr>
              <w:t>Road Traffic Forecasts: Scenario 7 Shift to EVs - Traffic in England and Wales</w:t>
            </w:r>
            <w:r w:rsidR="00650475">
              <w:rPr>
                <w:rFonts w:ascii="Arial" w:eastAsia="Times New Roman" w:hAnsi="Arial" w:cs="Arial"/>
                <w:b/>
                <w:bCs/>
                <w:lang w:eastAsia="en-GB"/>
              </w:rPr>
              <w:t xml:space="preserve"> </w:t>
            </w:r>
            <w:r w:rsidR="00650475" w:rsidRPr="00650475">
              <w:rPr>
                <w:rFonts w:ascii="Arial" w:eastAsia="Times New Roman" w:hAnsi="Arial" w:cs="Arial"/>
                <w:b/>
                <w:bCs/>
                <w:lang w:eastAsia="en-GB"/>
              </w:rPr>
              <w:t>(DfT, 2018)</w:t>
            </w:r>
          </w:p>
        </w:tc>
      </w:tr>
      <w:tr w:rsidR="005F1DF7" w:rsidRPr="00E85BF1" w14:paraId="59EAC4D6" w14:textId="77777777" w:rsidTr="00AA34FF">
        <w:trPr>
          <w:trHeight w:val="300"/>
          <w:jc w:val="center"/>
        </w:trPr>
        <w:tc>
          <w:tcPr>
            <w:tcW w:w="0" w:type="auto"/>
            <w:gridSpan w:val="11"/>
            <w:shd w:val="clear" w:color="auto" w:fill="99CCFF"/>
            <w:noWrap/>
            <w:vAlign w:val="bottom"/>
            <w:hideMark/>
          </w:tcPr>
          <w:p w14:paraId="5D247008" w14:textId="77777777" w:rsidR="005F1DF7" w:rsidRPr="00DB0956" w:rsidRDefault="005F1DF7" w:rsidP="00A906FC">
            <w:pPr>
              <w:spacing w:after="0" w:line="240" w:lineRule="auto"/>
              <w:jc w:val="center"/>
              <w:rPr>
                <w:rFonts w:ascii="Arial" w:eastAsia="Times New Roman" w:hAnsi="Arial" w:cs="Arial"/>
                <w:b/>
                <w:bCs/>
                <w:color w:val="000099"/>
                <w:lang w:eastAsia="en-GB"/>
              </w:rPr>
            </w:pPr>
            <w:r w:rsidRPr="00DB0956">
              <w:rPr>
                <w:rFonts w:ascii="Arial" w:eastAsia="Times New Roman" w:hAnsi="Arial" w:cs="Arial"/>
                <w:b/>
                <w:bCs/>
                <w:color w:val="000099"/>
                <w:lang w:eastAsia="en-GB"/>
              </w:rPr>
              <w:t>Traffic growth rate from 2015 (%)</w:t>
            </w:r>
          </w:p>
        </w:tc>
      </w:tr>
      <w:tr w:rsidR="00D519B2" w:rsidRPr="003E64FF" w14:paraId="08795ED1" w14:textId="77777777" w:rsidTr="00013571">
        <w:trPr>
          <w:trHeight w:val="300"/>
          <w:jc w:val="center"/>
        </w:trPr>
        <w:tc>
          <w:tcPr>
            <w:tcW w:w="0" w:type="auto"/>
            <w:shd w:val="clear" w:color="auto" w:fill="99CCFF"/>
            <w:noWrap/>
            <w:vAlign w:val="center"/>
            <w:hideMark/>
          </w:tcPr>
          <w:p w14:paraId="1E8E2F18" w14:textId="77777777" w:rsidR="00D519B2" w:rsidRPr="00DB0956" w:rsidRDefault="00D519B2" w:rsidP="00A906FC">
            <w:pPr>
              <w:spacing w:after="0" w:line="240" w:lineRule="auto"/>
              <w:jc w:val="center"/>
              <w:rPr>
                <w:rFonts w:ascii="Arial" w:eastAsia="Times New Roman" w:hAnsi="Arial" w:cs="Arial"/>
                <w:b/>
                <w:bCs/>
                <w:color w:val="000099"/>
                <w:lang w:eastAsia="en-GB"/>
              </w:rPr>
            </w:pPr>
            <w:r w:rsidRPr="00DB0956">
              <w:rPr>
                <w:rFonts w:ascii="Arial" w:eastAsia="Times New Roman" w:hAnsi="Arial" w:cs="Arial"/>
                <w:b/>
                <w:bCs/>
                <w:color w:val="000099"/>
                <w:lang w:eastAsia="en-GB"/>
              </w:rPr>
              <w:t>Vehicle Type</w:t>
            </w:r>
          </w:p>
        </w:tc>
        <w:tc>
          <w:tcPr>
            <w:tcW w:w="0" w:type="auto"/>
            <w:shd w:val="clear" w:color="auto" w:fill="99CCFF"/>
            <w:noWrap/>
            <w:vAlign w:val="center"/>
            <w:hideMark/>
          </w:tcPr>
          <w:p w14:paraId="4FB16E08" w14:textId="77777777" w:rsidR="00D519B2" w:rsidRPr="00DB0956" w:rsidRDefault="00D519B2" w:rsidP="00A906FC">
            <w:pPr>
              <w:spacing w:after="0" w:line="240" w:lineRule="auto"/>
              <w:jc w:val="center"/>
              <w:rPr>
                <w:rFonts w:ascii="Arial" w:eastAsia="Times New Roman" w:hAnsi="Arial" w:cs="Arial"/>
                <w:b/>
                <w:bCs/>
                <w:color w:val="000099"/>
                <w:lang w:eastAsia="en-GB"/>
              </w:rPr>
            </w:pPr>
            <w:r w:rsidRPr="00DB0956">
              <w:rPr>
                <w:rFonts w:ascii="Arial" w:eastAsia="Times New Roman" w:hAnsi="Arial" w:cs="Arial"/>
                <w:b/>
                <w:bCs/>
                <w:color w:val="000099"/>
                <w:lang w:eastAsia="en-GB"/>
              </w:rPr>
              <w:t>Road Type</w:t>
            </w:r>
          </w:p>
        </w:tc>
        <w:tc>
          <w:tcPr>
            <w:tcW w:w="0" w:type="auto"/>
            <w:shd w:val="clear" w:color="auto" w:fill="99CCFF"/>
            <w:noWrap/>
            <w:vAlign w:val="center"/>
            <w:hideMark/>
          </w:tcPr>
          <w:p w14:paraId="64D6F93A" w14:textId="77777777" w:rsidR="00D519B2" w:rsidRPr="00DB0956" w:rsidRDefault="00D519B2" w:rsidP="00A906FC">
            <w:pPr>
              <w:spacing w:after="0" w:line="240" w:lineRule="auto"/>
              <w:jc w:val="center"/>
              <w:rPr>
                <w:rFonts w:ascii="Arial" w:eastAsia="Times New Roman" w:hAnsi="Arial" w:cs="Arial"/>
                <w:b/>
                <w:bCs/>
                <w:color w:val="000099"/>
                <w:lang w:eastAsia="en-GB"/>
              </w:rPr>
            </w:pPr>
            <w:r w:rsidRPr="00DB0956">
              <w:rPr>
                <w:rFonts w:ascii="Arial" w:eastAsia="Times New Roman" w:hAnsi="Arial" w:cs="Arial"/>
                <w:b/>
                <w:bCs/>
                <w:color w:val="000099"/>
                <w:lang w:eastAsia="en-GB"/>
              </w:rPr>
              <w:t>Country</w:t>
            </w:r>
          </w:p>
        </w:tc>
        <w:tc>
          <w:tcPr>
            <w:tcW w:w="0" w:type="auto"/>
            <w:shd w:val="clear" w:color="auto" w:fill="99CCFF"/>
            <w:noWrap/>
            <w:vAlign w:val="center"/>
            <w:hideMark/>
          </w:tcPr>
          <w:p w14:paraId="5D16B794" w14:textId="352BF960" w:rsidR="00D519B2" w:rsidRPr="00DB0956" w:rsidRDefault="00D519B2" w:rsidP="00DB0956">
            <w:pPr>
              <w:spacing w:after="0" w:line="240" w:lineRule="auto"/>
              <w:jc w:val="center"/>
              <w:rPr>
                <w:rFonts w:ascii="Arial" w:eastAsia="Times New Roman" w:hAnsi="Arial" w:cs="Arial"/>
                <w:color w:val="000099"/>
                <w:lang w:eastAsia="en-GB"/>
              </w:rPr>
            </w:pPr>
            <w:r w:rsidRPr="00DB0956">
              <w:rPr>
                <w:rFonts w:ascii="Arial" w:eastAsia="Times New Roman" w:hAnsi="Arial" w:cs="Arial"/>
                <w:b/>
                <w:bCs/>
                <w:color w:val="000099"/>
                <w:lang w:eastAsia="en-GB"/>
              </w:rPr>
              <w:t>Region</w:t>
            </w:r>
          </w:p>
        </w:tc>
        <w:tc>
          <w:tcPr>
            <w:tcW w:w="0" w:type="auto"/>
            <w:shd w:val="clear" w:color="auto" w:fill="99CCFF"/>
            <w:noWrap/>
            <w:vAlign w:val="center"/>
            <w:hideMark/>
          </w:tcPr>
          <w:p w14:paraId="4B8D8DC5" w14:textId="77777777" w:rsidR="00D519B2" w:rsidRPr="00DB0956" w:rsidRDefault="00D519B2" w:rsidP="00A906FC">
            <w:pPr>
              <w:spacing w:after="0" w:line="240" w:lineRule="auto"/>
              <w:jc w:val="right"/>
              <w:rPr>
                <w:rFonts w:ascii="Arial" w:eastAsia="Times New Roman" w:hAnsi="Arial" w:cs="Arial"/>
                <w:b/>
                <w:bCs/>
                <w:color w:val="000099"/>
                <w:lang w:eastAsia="en-GB"/>
              </w:rPr>
            </w:pPr>
            <w:r w:rsidRPr="00DB0956">
              <w:rPr>
                <w:rFonts w:ascii="Arial" w:eastAsia="Times New Roman" w:hAnsi="Arial" w:cs="Arial"/>
                <w:b/>
                <w:bCs/>
                <w:color w:val="000099"/>
                <w:lang w:eastAsia="en-GB"/>
              </w:rPr>
              <w:t>2020</w:t>
            </w:r>
          </w:p>
        </w:tc>
        <w:tc>
          <w:tcPr>
            <w:tcW w:w="0" w:type="auto"/>
            <w:shd w:val="clear" w:color="auto" w:fill="99CCFF"/>
            <w:noWrap/>
            <w:vAlign w:val="center"/>
            <w:hideMark/>
          </w:tcPr>
          <w:p w14:paraId="108492B7" w14:textId="77777777" w:rsidR="00D519B2" w:rsidRPr="00DB0956" w:rsidRDefault="00D519B2" w:rsidP="00A906FC">
            <w:pPr>
              <w:spacing w:after="0" w:line="240" w:lineRule="auto"/>
              <w:jc w:val="right"/>
              <w:rPr>
                <w:rFonts w:ascii="Arial" w:eastAsia="Times New Roman" w:hAnsi="Arial" w:cs="Arial"/>
                <w:b/>
                <w:bCs/>
                <w:color w:val="000099"/>
                <w:lang w:eastAsia="en-GB"/>
              </w:rPr>
            </w:pPr>
            <w:r w:rsidRPr="00DB0956">
              <w:rPr>
                <w:rFonts w:ascii="Arial" w:eastAsia="Times New Roman" w:hAnsi="Arial" w:cs="Arial"/>
                <w:b/>
                <w:bCs/>
                <w:color w:val="000099"/>
                <w:lang w:eastAsia="en-GB"/>
              </w:rPr>
              <w:t>2025</w:t>
            </w:r>
          </w:p>
        </w:tc>
        <w:tc>
          <w:tcPr>
            <w:tcW w:w="0" w:type="auto"/>
            <w:shd w:val="clear" w:color="auto" w:fill="99CCFF"/>
            <w:noWrap/>
            <w:vAlign w:val="center"/>
            <w:hideMark/>
          </w:tcPr>
          <w:p w14:paraId="48FD2948" w14:textId="77777777" w:rsidR="00D519B2" w:rsidRPr="00DB0956" w:rsidRDefault="00D519B2" w:rsidP="00A906FC">
            <w:pPr>
              <w:spacing w:after="0" w:line="240" w:lineRule="auto"/>
              <w:jc w:val="right"/>
              <w:rPr>
                <w:rFonts w:ascii="Arial" w:eastAsia="Times New Roman" w:hAnsi="Arial" w:cs="Arial"/>
                <w:b/>
                <w:bCs/>
                <w:color w:val="000099"/>
                <w:lang w:eastAsia="en-GB"/>
              </w:rPr>
            </w:pPr>
            <w:r w:rsidRPr="00DB0956">
              <w:rPr>
                <w:rFonts w:ascii="Arial" w:eastAsia="Times New Roman" w:hAnsi="Arial" w:cs="Arial"/>
                <w:b/>
                <w:bCs/>
                <w:color w:val="000099"/>
                <w:lang w:eastAsia="en-GB"/>
              </w:rPr>
              <w:t>2030</w:t>
            </w:r>
          </w:p>
        </w:tc>
        <w:tc>
          <w:tcPr>
            <w:tcW w:w="0" w:type="auto"/>
            <w:shd w:val="clear" w:color="auto" w:fill="99CCFF"/>
            <w:noWrap/>
            <w:vAlign w:val="center"/>
            <w:hideMark/>
          </w:tcPr>
          <w:p w14:paraId="33258ED7" w14:textId="77777777" w:rsidR="00D519B2" w:rsidRPr="00DB0956" w:rsidRDefault="00D519B2" w:rsidP="00A906FC">
            <w:pPr>
              <w:spacing w:after="0" w:line="240" w:lineRule="auto"/>
              <w:jc w:val="right"/>
              <w:rPr>
                <w:rFonts w:ascii="Arial" w:eastAsia="Times New Roman" w:hAnsi="Arial" w:cs="Arial"/>
                <w:b/>
                <w:bCs/>
                <w:color w:val="000099"/>
                <w:lang w:eastAsia="en-GB"/>
              </w:rPr>
            </w:pPr>
            <w:r w:rsidRPr="00DB0956">
              <w:rPr>
                <w:rFonts w:ascii="Arial" w:eastAsia="Times New Roman" w:hAnsi="Arial" w:cs="Arial"/>
                <w:b/>
                <w:bCs/>
                <w:color w:val="000099"/>
                <w:lang w:eastAsia="en-GB"/>
              </w:rPr>
              <w:t>2035</w:t>
            </w:r>
          </w:p>
        </w:tc>
        <w:tc>
          <w:tcPr>
            <w:tcW w:w="0" w:type="auto"/>
            <w:shd w:val="clear" w:color="auto" w:fill="99CCFF"/>
            <w:noWrap/>
            <w:vAlign w:val="center"/>
            <w:hideMark/>
          </w:tcPr>
          <w:p w14:paraId="42E5A639" w14:textId="77777777" w:rsidR="00D519B2" w:rsidRPr="00DB0956" w:rsidRDefault="00D519B2" w:rsidP="00A906FC">
            <w:pPr>
              <w:spacing w:after="0" w:line="240" w:lineRule="auto"/>
              <w:jc w:val="right"/>
              <w:rPr>
                <w:rFonts w:ascii="Arial" w:eastAsia="Times New Roman" w:hAnsi="Arial" w:cs="Arial"/>
                <w:b/>
                <w:bCs/>
                <w:color w:val="000099"/>
                <w:lang w:eastAsia="en-GB"/>
              </w:rPr>
            </w:pPr>
            <w:r w:rsidRPr="00DB0956">
              <w:rPr>
                <w:rFonts w:ascii="Arial" w:eastAsia="Times New Roman" w:hAnsi="Arial" w:cs="Arial"/>
                <w:b/>
                <w:bCs/>
                <w:color w:val="000099"/>
                <w:lang w:eastAsia="en-GB"/>
              </w:rPr>
              <w:t>2040</w:t>
            </w:r>
          </w:p>
        </w:tc>
        <w:tc>
          <w:tcPr>
            <w:tcW w:w="0" w:type="auto"/>
            <w:shd w:val="clear" w:color="auto" w:fill="99CCFF"/>
            <w:noWrap/>
            <w:vAlign w:val="center"/>
            <w:hideMark/>
          </w:tcPr>
          <w:p w14:paraId="7F26A38F" w14:textId="77777777" w:rsidR="00D519B2" w:rsidRPr="00DB0956" w:rsidRDefault="00D519B2" w:rsidP="00A906FC">
            <w:pPr>
              <w:spacing w:after="0" w:line="240" w:lineRule="auto"/>
              <w:jc w:val="right"/>
              <w:rPr>
                <w:rFonts w:ascii="Arial" w:eastAsia="Times New Roman" w:hAnsi="Arial" w:cs="Arial"/>
                <w:b/>
                <w:bCs/>
                <w:color w:val="000099"/>
                <w:lang w:eastAsia="en-GB"/>
              </w:rPr>
            </w:pPr>
            <w:r w:rsidRPr="00DB0956">
              <w:rPr>
                <w:rFonts w:ascii="Arial" w:eastAsia="Times New Roman" w:hAnsi="Arial" w:cs="Arial"/>
                <w:b/>
                <w:bCs/>
                <w:color w:val="000099"/>
                <w:lang w:eastAsia="en-GB"/>
              </w:rPr>
              <w:t>2045</w:t>
            </w:r>
          </w:p>
        </w:tc>
        <w:tc>
          <w:tcPr>
            <w:tcW w:w="0" w:type="auto"/>
            <w:shd w:val="clear" w:color="auto" w:fill="99CCFF"/>
            <w:noWrap/>
            <w:vAlign w:val="center"/>
            <w:hideMark/>
          </w:tcPr>
          <w:p w14:paraId="085D9066" w14:textId="77777777" w:rsidR="00D519B2" w:rsidRPr="00DB0956" w:rsidRDefault="00D519B2" w:rsidP="00A906FC">
            <w:pPr>
              <w:spacing w:after="0" w:line="240" w:lineRule="auto"/>
              <w:jc w:val="right"/>
              <w:rPr>
                <w:rFonts w:ascii="Arial" w:eastAsia="Times New Roman" w:hAnsi="Arial" w:cs="Arial"/>
                <w:b/>
                <w:bCs/>
                <w:color w:val="000099"/>
                <w:lang w:eastAsia="en-GB"/>
              </w:rPr>
            </w:pPr>
            <w:r w:rsidRPr="00DB0956">
              <w:rPr>
                <w:rFonts w:ascii="Arial" w:eastAsia="Times New Roman" w:hAnsi="Arial" w:cs="Arial"/>
                <w:b/>
                <w:bCs/>
                <w:color w:val="000099"/>
                <w:lang w:eastAsia="en-GB"/>
              </w:rPr>
              <w:t>2050</w:t>
            </w:r>
          </w:p>
        </w:tc>
      </w:tr>
      <w:tr w:rsidR="00D519B2" w:rsidRPr="003E64FF" w14:paraId="372020A4" w14:textId="77777777" w:rsidTr="00A906FC">
        <w:trPr>
          <w:trHeight w:val="300"/>
          <w:jc w:val="center"/>
        </w:trPr>
        <w:tc>
          <w:tcPr>
            <w:tcW w:w="0" w:type="auto"/>
            <w:shd w:val="clear" w:color="auto" w:fill="auto"/>
            <w:noWrap/>
            <w:vAlign w:val="bottom"/>
            <w:hideMark/>
          </w:tcPr>
          <w:p w14:paraId="33372F86"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Car</w:t>
            </w:r>
          </w:p>
        </w:tc>
        <w:tc>
          <w:tcPr>
            <w:tcW w:w="0" w:type="auto"/>
            <w:shd w:val="clear" w:color="auto" w:fill="auto"/>
            <w:noWrap/>
            <w:vAlign w:val="bottom"/>
            <w:hideMark/>
          </w:tcPr>
          <w:p w14:paraId="6726F8FA"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Principal A</w:t>
            </w:r>
          </w:p>
        </w:tc>
        <w:tc>
          <w:tcPr>
            <w:tcW w:w="0" w:type="auto"/>
            <w:shd w:val="clear" w:color="auto" w:fill="auto"/>
            <w:noWrap/>
            <w:vAlign w:val="bottom"/>
            <w:hideMark/>
          </w:tcPr>
          <w:p w14:paraId="5D2A6BBB"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England</w:t>
            </w:r>
          </w:p>
        </w:tc>
        <w:tc>
          <w:tcPr>
            <w:tcW w:w="0" w:type="auto"/>
            <w:shd w:val="clear" w:color="auto" w:fill="auto"/>
            <w:noWrap/>
            <w:vAlign w:val="bottom"/>
            <w:hideMark/>
          </w:tcPr>
          <w:p w14:paraId="598EFF7B" w14:textId="77777777" w:rsidR="00D519B2" w:rsidRPr="00737351" w:rsidRDefault="00D519B2" w:rsidP="003928A9">
            <w:pPr>
              <w:spacing w:after="0" w:line="240" w:lineRule="auto"/>
              <w:jc w:val="center"/>
              <w:rPr>
                <w:rFonts w:ascii="Arial" w:eastAsia="Times New Roman" w:hAnsi="Arial" w:cs="Arial"/>
                <w:color w:val="000000"/>
                <w:lang w:eastAsia="en-GB"/>
              </w:rPr>
            </w:pPr>
            <w:r w:rsidRPr="00737351">
              <w:rPr>
                <w:rFonts w:ascii="Arial" w:eastAsia="Times New Roman" w:hAnsi="Arial" w:cs="Arial"/>
                <w:color w:val="000000"/>
                <w:lang w:eastAsia="en-GB"/>
              </w:rPr>
              <w:t>Eastern England</w:t>
            </w:r>
          </w:p>
          <w:p w14:paraId="00492738" w14:textId="6B9B13DC" w:rsidR="00D519B2" w:rsidRPr="00737351" w:rsidRDefault="00D519B2" w:rsidP="003928A9">
            <w:pPr>
              <w:spacing w:after="0" w:line="240" w:lineRule="auto"/>
              <w:jc w:val="center"/>
              <w:rPr>
                <w:rFonts w:ascii="Arial" w:eastAsia="Times New Roman" w:hAnsi="Arial" w:cs="Arial"/>
                <w:color w:val="000000"/>
                <w:lang w:eastAsia="en-GB"/>
              </w:rPr>
            </w:pPr>
          </w:p>
        </w:tc>
        <w:tc>
          <w:tcPr>
            <w:tcW w:w="0" w:type="auto"/>
            <w:shd w:val="clear" w:color="auto" w:fill="auto"/>
            <w:noWrap/>
            <w:vAlign w:val="bottom"/>
            <w:hideMark/>
          </w:tcPr>
          <w:p w14:paraId="11723DCD"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5.4%</w:t>
            </w:r>
          </w:p>
        </w:tc>
        <w:tc>
          <w:tcPr>
            <w:tcW w:w="0" w:type="auto"/>
            <w:shd w:val="clear" w:color="auto" w:fill="auto"/>
            <w:noWrap/>
            <w:vAlign w:val="bottom"/>
            <w:hideMark/>
          </w:tcPr>
          <w:p w14:paraId="66B9ACA0"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10.4%</w:t>
            </w:r>
          </w:p>
        </w:tc>
        <w:tc>
          <w:tcPr>
            <w:tcW w:w="0" w:type="auto"/>
            <w:shd w:val="clear" w:color="auto" w:fill="auto"/>
            <w:noWrap/>
            <w:vAlign w:val="bottom"/>
            <w:hideMark/>
          </w:tcPr>
          <w:p w14:paraId="7C206572"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15.8%</w:t>
            </w:r>
          </w:p>
        </w:tc>
        <w:tc>
          <w:tcPr>
            <w:tcW w:w="0" w:type="auto"/>
            <w:shd w:val="clear" w:color="auto" w:fill="auto"/>
            <w:noWrap/>
            <w:vAlign w:val="bottom"/>
            <w:hideMark/>
          </w:tcPr>
          <w:p w14:paraId="01E0CB57"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21.9%</w:t>
            </w:r>
          </w:p>
        </w:tc>
        <w:tc>
          <w:tcPr>
            <w:tcW w:w="0" w:type="auto"/>
            <w:shd w:val="clear" w:color="auto" w:fill="auto"/>
            <w:noWrap/>
            <w:vAlign w:val="bottom"/>
            <w:hideMark/>
          </w:tcPr>
          <w:p w14:paraId="27E58513"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27.4%</w:t>
            </w:r>
          </w:p>
        </w:tc>
        <w:tc>
          <w:tcPr>
            <w:tcW w:w="0" w:type="auto"/>
            <w:shd w:val="clear" w:color="auto" w:fill="auto"/>
            <w:noWrap/>
            <w:vAlign w:val="bottom"/>
            <w:hideMark/>
          </w:tcPr>
          <w:p w14:paraId="2B2EF3C9"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31.8%</w:t>
            </w:r>
          </w:p>
        </w:tc>
        <w:tc>
          <w:tcPr>
            <w:tcW w:w="0" w:type="auto"/>
            <w:shd w:val="clear" w:color="auto" w:fill="auto"/>
            <w:noWrap/>
            <w:vAlign w:val="bottom"/>
            <w:hideMark/>
          </w:tcPr>
          <w:p w14:paraId="434B343F"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35.4%</w:t>
            </w:r>
          </w:p>
        </w:tc>
      </w:tr>
      <w:tr w:rsidR="00D519B2" w:rsidRPr="003E64FF" w14:paraId="6B2246DE" w14:textId="77777777" w:rsidTr="00A906FC">
        <w:trPr>
          <w:trHeight w:val="300"/>
          <w:jc w:val="center"/>
        </w:trPr>
        <w:tc>
          <w:tcPr>
            <w:tcW w:w="0" w:type="auto"/>
            <w:shd w:val="clear" w:color="auto" w:fill="auto"/>
            <w:noWrap/>
            <w:vAlign w:val="bottom"/>
            <w:hideMark/>
          </w:tcPr>
          <w:p w14:paraId="6690FF8E"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LGV</w:t>
            </w:r>
          </w:p>
        </w:tc>
        <w:tc>
          <w:tcPr>
            <w:tcW w:w="0" w:type="auto"/>
            <w:shd w:val="clear" w:color="auto" w:fill="auto"/>
            <w:noWrap/>
            <w:vAlign w:val="bottom"/>
            <w:hideMark/>
          </w:tcPr>
          <w:p w14:paraId="63A8CB77"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Principal A</w:t>
            </w:r>
          </w:p>
        </w:tc>
        <w:tc>
          <w:tcPr>
            <w:tcW w:w="0" w:type="auto"/>
            <w:shd w:val="clear" w:color="auto" w:fill="auto"/>
            <w:noWrap/>
            <w:vAlign w:val="bottom"/>
            <w:hideMark/>
          </w:tcPr>
          <w:p w14:paraId="5D928F1D"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England</w:t>
            </w:r>
          </w:p>
        </w:tc>
        <w:tc>
          <w:tcPr>
            <w:tcW w:w="0" w:type="auto"/>
            <w:shd w:val="clear" w:color="auto" w:fill="auto"/>
            <w:noWrap/>
            <w:vAlign w:val="bottom"/>
            <w:hideMark/>
          </w:tcPr>
          <w:p w14:paraId="6460AAA1" w14:textId="77777777" w:rsidR="00D519B2" w:rsidRPr="00737351" w:rsidRDefault="00D519B2" w:rsidP="003928A9">
            <w:pPr>
              <w:spacing w:after="0" w:line="240" w:lineRule="auto"/>
              <w:jc w:val="center"/>
              <w:rPr>
                <w:rFonts w:ascii="Arial" w:eastAsia="Times New Roman" w:hAnsi="Arial" w:cs="Arial"/>
                <w:color w:val="000000"/>
                <w:lang w:eastAsia="en-GB"/>
              </w:rPr>
            </w:pPr>
            <w:r w:rsidRPr="00737351">
              <w:rPr>
                <w:rFonts w:ascii="Arial" w:eastAsia="Times New Roman" w:hAnsi="Arial" w:cs="Arial"/>
                <w:color w:val="000000"/>
                <w:lang w:eastAsia="en-GB"/>
              </w:rPr>
              <w:t>Eastern England</w:t>
            </w:r>
          </w:p>
          <w:p w14:paraId="4F539B5F" w14:textId="3755C799" w:rsidR="00D519B2" w:rsidRPr="00737351" w:rsidRDefault="00D519B2" w:rsidP="003928A9">
            <w:pPr>
              <w:spacing w:after="0" w:line="240" w:lineRule="auto"/>
              <w:jc w:val="center"/>
              <w:rPr>
                <w:rFonts w:ascii="Arial" w:eastAsia="Times New Roman" w:hAnsi="Arial" w:cs="Arial"/>
                <w:color w:val="000000"/>
                <w:lang w:eastAsia="en-GB"/>
              </w:rPr>
            </w:pPr>
          </w:p>
        </w:tc>
        <w:tc>
          <w:tcPr>
            <w:tcW w:w="0" w:type="auto"/>
            <w:shd w:val="clear" w:color="auto" w:fill="auto"/>
            <w:noWrap/>
            <w:vAlign w:val="bottom"/>
            <w:hideMark/>
          </w:tcPr>
          <w:p w14:paraId="557C6B1F"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9.4%</w:t>
            </w:r>
          </w:p>
        </w:tc>
        <w:tc>
          <w:tcPr>
            <w:tcW w:w="0" w:type="auto"/>
            <w:shd w:val="clear" w:color="auto" w:fill="auto"/>
            <w:noWrap/>
            <w:vAlign w:val="bottom"/>
            <w:hideMark/>
          </w:tcPr>
          <w:p w14:paraId="21265569"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14.7%</w:t>
            </w:r>
          </w:p>
        </w:tc>
        <w:tc>
          <w:tcPr>
            <w:tcW w:w="0" w:type="auto"/>
            <w:shd w:val="clear" w:color="auto" w:fill="auto"/>
            <w:noWrap/>
            <w:vAlign w:val="bottom"/>
            <w:hideMark/>
          </w:tcPr>
          <w:p w14:paraId="56A76C1E"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23.8%</w:t>
            </w:r>
          </w:p>
        </w:tc>
        <w:tc>
          <w:tcPr>
            <w:tcW w:w="0" w:type="auto"/>
            <w:shd w:val="clear" w:color="auto" w:fill="auto"/>
            <w:noWrap/>
            <w:vAlign w:val="bottom"/>
            <w:hideMark/>
          </w:tcPr>
          <w:p w14:paraId="6FEBA5F8"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40.5%</w:t>
            </w:r>
          </w:p>
        </w:tc>
        <w:tc>
          <w:tcPr>
            <w:tcW w:w="0" w:type="auto"/>
            <w:shd w:val="clear" w:color="auto" w:fill="auto"/>
            <w:noWrap/>
            <w:vAlign w:val="bottom"/>
            <w:hideMark/>
          </w:tcPr>
          <w:p w14:paraId="3E4B0A96"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63.0%</w:t>
            </w:r>
          </w:p>
        </w:tc>
        <w:tc>
          <w:tcPr>
            <w:tcW w:w="0" w:type="auto"/>
            <w:shd w:val="clear" w:color="auto" w:fill="auto"/>
            <w:noWrap/>
            <w:vAlign w:val="bottom"/>
            <w:hideMark/>
          </w:tcPr>
          <w:p w14:paraId="5FE2011F"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85.7%</w:t>
            </w:r>
          </w:p>
        </w:tc>
        <w:tc>
          <w:tcPr>
            <w:tcW w:w="0" w:type="auto"/>
            <w:shd w:val="clear" w:color="auto" w:fill="auto"/>
            <w:noWrap/>
            <w:vAlign w:val="bottom"/>
            <w:hideMark/>
          </w:tcPr>
          <w:p w14:paraId="7C51D9ED"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101.9%</w:t>
            </w:r>
          </w:p>
        </w:tc>
      </w:tr>
      <w:tr w:rsidR="00D519B2" w:rsidRPr="003E64FF" w14:paraId="0FEB37BD" w14:textId="77777777" w:rsidTr="00A906FC">
        <w:trPr>
          <w:trHeight w:val="300"/>
          <w:jc w:val="center"/>
        </w:trPr>
        <w:tc>
          <w:tcPr>
            <w:tcW w:w="0" w:type="auto"/>
            <w:shd w:val="clear" w:color="auto" w:fill="auto"/>
            <w:noWrap/>
            <w:vAlign w:val="bottom"/>
            <w:hideMark/>
          </w:tcPr>
          <w:p w14:paraId="1D059089"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HGV</w:t>
            </w:r>
          </w:p>
        </w:tc>
        <w:tc>
          <w:tcPr>
            <w:tcW w:w="0" w:type="auto"/>
            <w:shd w:val="clear" w:color="auto" w:fill="auto"/>
            <w:noWrap/>
            <w:vAlign w:val="bottom"/>
            <w:hideMark/>
          </w:tcPr>
          <w:p w14:paraId="7986A22C"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Principal A</w:t>
            </w:r>
          </w:p>
        </w:tc>
        <w:tc>
          <w:tcPr>
            <w:tcW w:w="0" w:type="auto"/>
            <w:shd w:val="clear" w:color="auto" w:fill="auto"/>
            <w:noWrap/>
            <w:vAlign w:val="bottom"/>
            <w:hideMark/>
          </w:tcPr>
          <w:p w14:paraId="3D0859FC"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England</w:t>
            </w:r>
          </w:p>
        </w:tc>
        <w:tc>
          <w:tcPr>
            <w:tcW w:w="0" w:type="auto"/>
            <w:shd w:val="clear" w:color="auto" w:fill="auto"/>
            <w:noWrap/>
            <w:vAlign w:val="bottom"/>
            <w:hideMark/>
          </w:tcPr>
          <w:p w14:paraId="27AF9402" w14:textId="77777777" w:rsidR="00D519B2" w:rsidRPr="00737351" w:rsidRDefault="00D519B2" w:rsidP="003928A9">
            <w:pPr>
              <w:spacing w:after="0" w:line="240" w:lineRule="auto"/>
              <w:jc w:val="center"/>
              <w:rPr>
                <w:rFonts w:ascii="Arial" w:eastAsia="Times New Roman" w:hAnsi="Arial" w:cs="Arial"/>
                <w:color w:val="000000"/>
                <w:lang w:eastAsia="en-GB"/>
              </w:rPr>
            </w:pPr>
            <w:r w:rsidRPr="00737351">
              <w:rPr>
                <w:rFonts w:ascii="Arial" w:eastAsia="Times New Roman" w:hAnsi="Arial" w:cs="Arial"/>
                <w:color w:val="000000"/>
                <w:lang w:eastAsia="en-GB"/>
              </w:rPr>
              <w:t>Eastern England</w:t>
            </w:r>
          </w:p>
          <w:p w14:paraId="54D3C50B" w14:textId="70D708FA" w:rsidR="00D519B2" w:rsidRPr="00737351" w:rsidRDefault="00D519B2" w:rsidP="003928A9">
            <w:pPr>
              <w:spacing w:after="0" w:line="240" w:lineRule="auto"/>
              <w:jc w:val="center"/>
              <w:rPr>
                <w:rFonts w:ascii="Arial" w:eastAsia="Times New Roman" w:hAnsi="Arial" w:cs="Arial"/>
                <w:color w:val="000000"/>
                <w:lang w:eastAsia="en-GB"/>
              </w:rPr>
            </w:pPr>
          </w:p>
        </w:tc>
        <w:tc>
          <w:tcPr>
            <w:tcW w:w="0" w:type="auto"/>
            <w:shd w:val="clear" w:color="auto" w:fill="auto"/>
            <w:noWrap/>
            <w:vAlign w:val="bottom"/>
            <w:hideMark/>
          </w:tcPr>
          <w:p w14:paraId="5B3B1BC6"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-0.7%</w:t>
            </w:r>
          </w:p>
        </w:tc>
        <w:tc>
          <w:tcPr>
            <w:tcW w:w="0" w:type="auto"/>
            <w:shd w:val="clear" w:color="auto" w:fill="auto"/>
            <w:noWrap/>
            <w:vAlign w:val="bottom"/>
            <w:hideMark/>
          </w:tcPr>
          <w:p w14:paraId="05A56089"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0.2%</w:t>
            </w:r>
          </w:p>
        </w:tc>
        <w:tc>
          <w:tcPr>
            <w:tcW w:w="0" w:type="auto"/>
            <w:shd w:val="clear" w:color="auto" w:fill="auto"/>
            <w:noWrap/>
            <w:vAlign w:val="bottom"/>
            <w:hideMark/>
          </w:tcPr>
          <w:p w14:paraId="347526EF"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2.1%</w:t>
            </w:r>
          </w:p>
        </w:tc>
        <w:tc>
          <w:tcPr>
            <w:tcW w:w="0" w:type="auto"/>
            <w:shd w:val="clear" w:color="auto" w:fill="auto"/>
            <w:noWrap/>
            <w:vAlign w:val="bottom"/>
            <w:hideMark/>
          </w:tcPr>
          <w:p w14:paraId="0D637D63"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3.8%</w:t>
            </w:r>
          </w:p>
        </w:tc>
        <w:tc>
          <w:tcPr>
            <w:tcW w:w="0" w:type="auto"/>
            <w:shd w:val="clear" w:color="auto" w:fill="auto"/>
            <w:noWrap/>
            <w:vAlign w:val="bottom"/>
            <w:hideMark/>
          </w:tcPr>
          <w:p w14:paraId="3CCDFB48"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5.7%</w:t>
            </w:r>
          </w:p>
        </w:tc>
        <w:tc>
          <w:tcPr>
            <w:tcW w:w="0" w:type="auto"/>
            <w:shd w:val="clear" w:color="auto" w:fill="auto"/>
            <w:noWrap/>
            <w:vAlign w:val="bottom"/>
            <w:hideMark/>
          </w:tcPr>
          <w:p w14:paraId="452DDB76"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7.5%</w:t>
            </w:r>
          </w:p>
        </w:tc>
        <w:tc>
          <w:tcPr>
            <w:tcW w:w="0" w:type="auto"/>
            <w:shd w:val="clear" w:color="auto" w:fill="auto"/>
            <w:noWrap/>
            <w:vAlign w:val="bottom"/>
            <w:hideMark/>
          </w:tcPr>
          <w:p w14:paraId="0B4923B3"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9.3%</w:t>
            </w:r>
          </w:p>
        </w:tc>
      </w:tr>
      <w:tr w:rsidR="00D519B2" w:rsidRPr="003E64FF" w14:paraId="026A72E0" w14:textId="77777777" w:rsidTr="00A906FC">
        <w:trPr>
          <w:trHeight w:val="300"/>
          <w:jc w:val="center"/>
        </w:trPr>
        <w:tc>
          <w:tcPr>
            <w:tcW w:w="0" w:type="auto"/>
            <w:shd w:val="clear" w:color="auto" w:fill="auto"/>
            <w:noWrap/>
            <w:vAlign w:val="bottom"/>
            <w:hideMark/>
          </w:tcPr>
          <w:p w14:paraId="4DC5F97E"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PSV</w:t>
            </w:r>
          </w:p>
        </w:tc>
        <w:tc>
          <w:tcPr>
            <w:tcW w:w="0" w:type="auto"/>
            <w:shd w:val="clear" w:color="auto" w:fill="auto"/>
            <w:noWrap/>
            <w:vAlign w:val="bottom"/>
            <w:hideMark/>
          </w:tcPr>
          <w:p w14:paraId="3F013A94"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Principal A</w:t>
            </w:r>
          </w:p>
        </w:tc>
        <w:tc>
          <w:tcPr>
            <w:tcW w:w="0" w:type="auto"/>
            <w:shd w:val="clear" w:color="auto" w:fill="auto"/>
            <w:noWrap/>
            <w:vAlign w:val="bottom"/>
            <w:hideMark/>
          </w:tcPr>
          <w:p w14:paraId="2D311782"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England</w:t>
            </w:r>
          </w:p>
        </w:tc>
        <w:tc>
          <w:tcPr>
            <w:tcW w:w="0" w:type="auto"/>
            <w:shd w:val="clear" w:color="auto" w:fill="auto"/>
            <w:noWrap/>
            <w:vAlign w:val="bottom"/>
            <w:hideMark/>
          </w:tcPr>
          <w:p w14:paraId="08CF7F6A" w14:textId="77777777" w:rsidR="00D519B2" w:rsidRPr="00737351" w:rsidRDefault="00D519B2" w:rsidP="003928A9">
            <w:pPr>
              <w:spacing w:after="0" w:line="240" w:lineRule="auto"/>
              <w:jc w:val="center"/>
              <w:rPr>
                <w:rFonts w:ascii="Arial" w:eastAsia="Times New Roman" w:hAnsi="Arial" w:cs="Arial"/>
                <w:color w:val="000000"/>
                <w:lang w:eastAsia="en-GB"/>
              </w:rPr>
            </w:pPr>
            <w:r w:rsidRPr="00737351">
              <w:rPr>
                <w:rFonts w:ascii="Arial" w:eastAsia="Times New Roman" w:hAnsi="Arial" w:cs="Arial"/>
                <w:color w:val="000000"/>
                <w:lang w:eastAsia="en-GB"/>
              </w:rPr>
              <w:t>Eastern England</w:t>
            </w:r>
          </w:p>
          <w:p w14:paraId="168C0DF4" w14:textId="04805B35" w:rsidR="00D519B2" w:rsidRPr="00737351" w:rsidRDefault="00D519B2" w:rsidP="003928A9">
            <w:pPr>
              <w:spacing w:after="0" w:line="240" w:lineRule="auto"/>
              <w:jc w:val="center"/>
              <w:rPr>
                <w:rFonts w:ascii="Arial" w:eastAsia="Times New Roman" w:hAnsi="Arial" w:cs="Arial"/>
                <w:color w:val="000000"/>
                <w:lang w:eastAsia="en-GB"/>
              </w:rPr>
            </w:pPr>
          </w:p>
        </w:tc>
        <w:tc>
          <w:tcPr>
            <w:tcW w:w="0" w:type="auto"/>
            <w:shd w:val="clear" w:color="auto" w:fill="auto"/>
            <w:noWrap/>
            <w:vAlign w:val="bottom"/>
            <w:hideMark/>
          </w:tcPr>
          <w:p w14:paraId="160004E9"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-10.0%</w:t>
            </w:r>
          </w:p>
        </w:tc>
        <w:tc>
          <w:tcPr>
            <w:tcW w:w="0" w:type="auto"/>
            <w:shd w:val="clear" w:color="auto" w:fill="auto"/>
            <w:noWrap/>
            <w:vAlign w:val="bottom"/>
            <w:hideMark/>
          </w:tcPr>
          <w:p w14:paraId="19C92C1F"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-10.0%</w:t>
            </w:r>
          </w:p>
        </w:tc>
        <w:tc>
          <w:tcPr>
            <w:tcW w:w="0" w:type="auto"/>
            <w:shd w:val="clear" w:color="auto" w:fill="auto"/>
            <w:noWrap/>
            <w:vAlign w:val="bottom"/>
            <w:hideMark/>
          </w:tcPr>
          <w:p w14:paraId="55AE740E"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-10.0%</w:t>
            </w:r>
          </w:p>
        </w:tc>
        <w:tc>
          <w:tcPr>
            <w:tcW w:w="0" w:type="auto"/>
            <w:shd w:val="clear" w:color="auto" w:fill="auto"/>
            <w:noWrap/>
            <w:vAlign w:val="bottom"/>
            <w:hideMark/>
          </w:tcPr>
          <w:p w14:paraId="20A73247"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-10.0%</w:t>
            </w:r>
          </w:p>
        </w:tc>
        <w:tc>
          <w:tcPr>
            <w:tcW w:w="0" w:type="auto"/>
            <w:shd w:val="clear" w:color="auto" w:fill="auto"/>
            <w:noWrap/>
            <w:vAlign w:val="bottom"/>
            <w:hideMark/>
          </w:tcPr>
          <w:p w14:paraId="49408491"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-10.0%</w:t>
            </w:r>
          </w:p>
        </w:tc>
        <w:tc>
          <w:tcPr>
            <w:tcW w:w="0" w:type="auto"/>
            <w:shd w:val="clear" w:color="auto" w:fill="auto"/>
            <w:noWrap/>
            <w:vAlign w:val="bottom"/>
            <w:hideMark/>
          </w:tcPr>
          <w:p w14:paraId="4B2A800C"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-10.0%</w:t>
            </w:r>
          </w:p>
        </w:tc>
        <w:tc>
          <w:tcPr>
            <w:tcW w:w="0" w:type="auto"/>
            <w:shd w:val="clear" w:color="auto" w:fill="auto"/>
            <w:noWrap/>
            <w:vAlign w:val="bottom"/>
            <w:hideMark/>
          </w:tcPr>
          <w:p w14:paraId="387F303D"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-10.0%</w:t>
            </w:r>
          </w:p>
        </w:tc>
      </w:tr>
      <w:tr w:rsidR="00D519B2" w:rsidRPr="003E64FF" w14:paraId="0A4369CB" w14:textId="77777777" w:rsidTr="00A906FC">
        <w:trPr>
          <w:trHeight w:val="300"/>
          <w:jc w:val="center"/>
        </w:trPr>
        <w:tc>
          <w:tcPr>
            <w:tcW w:w="0" w:type="auto"/>
            <w:shd w:val="clear" w:color="auto" w:fill="auto"/>
            <w:noWrap/>
            <w:vAlign w:val="bottom"/>
            <w:hideMark/>
          </w:tcPr>
          <w:p w14:paraId="48C59F44"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Total</w:t>
            </w:r>
          </w:p>
        </w:tc>
        <w:tc>
          <w:tcPr>
            <w:tcW w:w="0" w:type="auto"/>
            <w:shd w:val="clear" w:color="auto" w:fill="auto"/>
            <w:noWrap/>
            <w:vAlign w:val="bottom"/>
            <w:hideMark/>
          </w:tcPr>
          <w:p w14:paraId="607BCDC5"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Principal A</w:t>
            </w:r>
          </w:p>
        </w:tc>
        <w:tc>
          <w:tcPr>
            <w:tcW w:w="0" w:type="auto"/>
            <w:shd w:val="clear" w:color="auto" w:fill="auto"/>
            <w:noWrap/>
            <w:vAlign w:val="bottom"/>
            <w:hideMark/>
          </w:tcPr>
          <w:p w14:paraId="0891D5C9"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England</w:t>
            </w:r>
          </w:p>
        </w:tc>
        <w:tc>
          <w:tcPr>
            <w:tcW w:w="0" w:type="auto"/>
            <w:shd w:val="clear" w:color="auto" w:fill="auto"/>
            <w:noWrap/>
            <w:vAlign w:val="bottom"/>
            <w:hideMark/>
          </w:tcPr>
          <w:p w14:paraId="3E6F036E" w14:textId="77777777" w:rsidR="00D519B2" w:rsidRPr="00737351" w:rsidRDefault="00D519B2" w:rsidP="003928A9">
            <w:pPr>
              <w:spacing w:after="0" w:line="240" w:lineRule="auto"/>
              <w:jc w:val="center"/>
              <w:rPr>
                <w:rFonts w:ascii="Arial" w:eastAsia="Times New Roman" w:hAnsi="Arial" w:cs="Arial"/>
                <w:color w:val="000000"/>
                <w:lang w:eastAsia="en-GB"/>
              </w:rPr>
            </w:pPr>
            <w:r w:rsidRPr="00737351">
              <w:rPr>
                <w:rFonts w:ascii="Arial" w:eastAsia="Times New Roman" w:hAnsi="Arial" w:cs="Arial"/>
                <w:color w:val="000000"/>
                <w:lang w:eastAsia="en-GB"/>
              </w:rPr>
              <w:t>Eastern England</w:t>
            </w:r>
          </w:p>
          <w:p w14:paraId="3C60BE89" w14:textId="4B37A172" w:rsidR="00D519B2" w:rsidRPr="00737351" w:rsidRDefault="00D519B2" w:rsidP="003928A9">
            <w:pPr>
              <w:spacing w:after="0" w:line="240" w:lineRule="auto"/>
              <w:jc w:val="center"/>
              <w:rPr>
                <w:rFonts w:ascii="Arial" w:eastAsia="Times New Roman" w:hAnsi="Arial" w:cs="Arial"/>
                <w:color w:val="000000"/>
                <w:lang w:eastAsia="en-GB"/>
              </w:rPr>
            </w:pPr>
          </w:p>
        </w:tc>
        <w:tc>
          <w:tcPr>
            <w:tcW w:w="0" w:type="auto"/>
            <w:shd w:val="clear" w:color="auto" w:fill="auto"/>
            <w:noWrap/>
            <w:vAlign w:val="bottom"/>
            <w:hideMark/>
          </w:tcPr>
          <w:p w14:paraId="667A61B0"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5.6%</w:t>
            </w:r>
          </w:p>
        </w:tc>
        <w:tc>
          <w:tcPr>
            <w:tcW w:w="0" w:type="auto"/>
            <w:shd w:val="clear" w:color="auto" w:fill="auto"/>
            <w:noWrap/>
            <w:vAlign w:val="bottom"/>
            <w:hideMark/>
          </w:tcPr>
          <w:p w14:paraId="00028791"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10.4%</w:t>
            </w:r>
          </w:p>
        </w:tc>
        <w:tc>
          <w:tcPr>
            <w:tcW w:w="0" w:type="auto"/>
            <w:shd w:val="clear" w:color="auto" w:fill="auto"/>
            <w:noWrap/>
            <w:vAlign w:val="bottom"/>
            <w:hideMark/>
          </w:tcPr>
          <w:p w14:paraId="7C1764FE"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16.2%</w:t>
            </w:r>
          </w:p>
        </w:tc>
        <w:tc>
          <w:tcPr>
            <w:tcW w:w="0" w:type="auto"/>
            <w:shd w:val="clear" w:color="auto" w:fill="auto"/>
            <w:noWrap/>
            <w:vAlign w:val="bottom"/>
            <w:hideMark/>
          </w:tcPr>
          <w:p w14:paraId="288A61A2"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23.7%</w:t>
            </w:r>
          </w:p>
        </w:tc>
        <w:tc>
          <w:tcPr>
            <w:tcW w:w="0" w:type="auto"/>
            <w:shd w:val="clear" w:color="auto" w:fill="auto"/>
            <w:noWrap/>
            <w:vAlign w:val="bottom"/>
            <w:hideMark/>
          </w:tcPr>
          <w:p w14:paraId="5FD040C4"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31.5%</w:t>
            </w:r>
          </w:p>
        </w:tc>
        <w:tc>
          <w:tcPr>
            <w:tcW w:w="0" w:type="auto"/>
            <w:shd w:val="clear" w:color="auto" w:fill="auto"/>
            <w:noWrap/>
            <w:vAlign w:val="bottom"/>
            <w:hideMark/>
          </w:tcPr>
          <w:p w14:paraId="535192E4"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38.6%</w:t>
            </w:r>
          </w:p>
        </w:tc>
        <w:tc>
          <w:tcPr>
            <w:tcW w:w="0" w:type="auto"/>
            <w:shd w:val="clear" w:color="auto" w:fill="auto"/>
            <w:noWrap/>
            <w:vAlign w:val="bottom"/>
            <w:hideMark/>
          </w:tcPr>
          <w:p w14:paraId="7B7D200C" w14:textId="77777777" w:rsidR="00D519B2" w:rsidRPr="00737351" w:rsidRDefault="00D519B2"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43.9%</w:t>
            </w:r>
          </w:p>
        </w:tc>
      </w:tr>
      <w:tr w:rsidR="000B4C7A" w:rsidRPr="003E64FF" w14:paraId="6892791F" w14:textId="77777777" w:rsidTr="00013571">
        <w:trPr>
          <w:trHeight w:val="315"/>
          <w:jc w:val="center"/>
        </w:trPr>
        <w:tc>
          <w:tcPr>
            <w:tcW w:w="0" w:type="auto"/>
            <w:gridSpan w:val="11"/>
            <w:shd w:val="clear" w:color="auto" w:fill="000099"/>
            <w:noWrap/>
            <w:vAlign w:val="bottom"/>
          </w:tcPr>
          <w:p w14:paraId="1B72DA38" w14:textId="6FA8666C" w:rsidR="00514D0E" w:rsidRPr="00737351" w:rsidRDefault="00514D0E" w:rsidP="00514D0E">
            <w:pPr>
              <w:spacing w:after="0" w:line="240" w:lineRule="auto"/>
              <w:ind w:firstLine="720"/>
              <w:rPr>
                <w:rFonts w:ascii="Arial" w:eastAsia="Times New Roman" w:hAnsi="Arial" w:cs="Arial"/>
                <w:b/>
                <w:bCs/>
                <w:color w:val="FFFFFF" w:themeColor="background1"/>
                <w:lang w:eastAsia="en-GB"/>
              </w:rPr>
            </w:pPr>
            <w:r w:rsidRPr="00737351">
              <w:rPr>
                <w:rFonts w:ascii="Arial" w:eastAsia="Times New Roman" w:hAnsi="Arial" w:cs="Arial"/>
                <w:b/>
                <w:bCs/>
                <w:color w:val="FFFFFF" w:themeColor="background1"/>
                <w:lang w:eastAsia="en-GB"/>
              </w:rPr>
              <w:t>Road Traffic Forecasts: Scenario 7 Shift to EVs - CO2 Traffic Tailpipe Emissions in England and Wales</w:t>
            </w:r>
            <w:r w:rsidR="00650475">
              <w:rPr>
                <w:rFonts w:ascii="Arial" w:eastAsia="Times New Roman" w:hAnsi="Arial" w:cs="Arial"/>
                <w:b/>
                <w:bCs/>
                <w:color w:val="FFFFFF" w:themeColor="background1"/>
                <w:lang w:eastAsia="en-GB"/>
              </w:rPr>
              <w:t xml:space="preserve"> </w:t>
            </w:r>
            <w:r w:rsidR="00650475" w:rsidRPr="00650475">
              <w:rPr>
                <w:rFonts w:ascii="Arial" w:eastAsia="Times New Roman" w:hAnsi="Arial" w:cs="Arial"/>
                <w:b/>
                <w:bCs/>
                <w:lang w:eastAsia="en-GB"/>
              </w:rPr>
              <w:t>(DfT, 2018)</w:t>
            </w:r>
          </w:p>
          <w:p w14:paraId="04310B7D" w14:textId="3C74A2A4" w:rsidR="000B4C7A" w:rsidRPr="00737351" w:rsidRDefault="000B4C7A" w:rsidP="00A906FC">
            <w:pPr>
              <w:spacing w:after="0" w:line="240" w:lineRule="auto"/>
              <w:rPr>
                <w:rFonts w:ascii="Arial" w:eastAsia="Times New Roman" w:hAnsi="Arial" w:cs="Arial"/>
                <w:b/>
                <w:bCs/>
                <w:lang w:eastAsia="en-GB"/>
              </w:rPr>
            </w:pPr>
          </w:p>
        </w:tc>
      </w:tr>
      <w:tr w:rsidR="005F1DF7" w:rsidRPr="003E64FF" w14:paraId="397F5E24" w14:textId="77777777" w:rsidTr="00AA34FF">
        <w:trPr>
          <w:trHeight w:val="300"/>
          <w:jc w:val="center"/>
        </w:trPr>
        <w:tc>
          <w:tcPr>
            <w:tcW w:w="0" w:type="auto"/>
            <w:gridSpan w:val="11"/>
            <w:shd w:val="clear" w:color="auto" w:fill="99CCFF"/>
            <w:noWrap/>
            <w:vAlign w:val="bottom"/>
            <w:hideMark/>
          </w:tcPr>
          <w:p w14:paraId="53D1FA62" w14:textId="77777777" w:rsidR="005F1DF7" w:rsidRPr="00DB0956" w:rsidRDefault="005F1DF7" w:rsidP="00A906FC">
            <w:pPr>
              <w:spacing w:after="0" w:line="240" w:lineRule="auto"/>
              <w:jc w:val="center"/>
              <w:rPr>
                <w:rFonts w:ascii="Arial" w:eastAsia="Times New Roman" w:hAnsi="Arial" w:cs="Arial"/>
                <w:b/>
                <w:bCs/>
                <w:color w:val="000099"/>
                <w:lang w:eastAsia="en-GB"/>
              </w:rPr>
            </w:pPr>
            <w:r w:rsidRPr="00DB0956">
              <w:rPr>
                <w:rFonts w:ascii="Arial" w:eastAsia="Times New Roman" w:hAnsi="Arial" w:cs="Arial"/>
                <w:b/>
                <w:bCs/>
                <w:color w:val="000099"/>
                <w:lang w:eastAsia="en-GB"/>
              </w:rPr>
              <w:t>CO2 Traffic Tailpipe Emissions growth rate from 2015 (%)</w:t>
            </w:r>
          </w:p>
        </w:tc>
      </w:tr>
      <w:tr w:rsidR="000D53EF" w:rsidRPr="003E64FF" w14:paraId="4AC07A55" w14:textId="77777777" w:rsidTr="00013571">
        <w:trPr>
          <w:trHeight w:val="300"/>
          <w:jc w:val="center"/>
        </w:trPr>
        <w:tc>
          <w:tcPr>
            <w:tcW w:w="0" w:type="auto"/>
            <w:shd w:val="clear" w:color="auto" w:fill="99CCFF"/>
            <w:noWrap/>
            <w:vAlign w:val="center"/>
            <w:hideMark/>
          </w:tcPr>
          <w:p w14:paraId="664B4B11" w14:textId="77777777" w:rsidR="000D53EF" w:rsidRPr="00DB0956" w:rsidRDefault="000D53EF" w:rsidP="00A906FC">
            <w:pPr>
              <w:spacing w:after="0" w:line="240" w:lineRule="auto"/>
              <w:jc w:val="center"/>
              <w:rPr>
                <w:rFonts w:ascii="Arial" w:eastAsia="Times New Roman" w:hAnsi="Arial" w:cs="Arial"/>
                <w:b/>
                <w:bCs/>
                <w:color w:val="000099"/>
                <w:lang w:eastAsia="en-GB"/>
              </w:rPr>
            </w:pPr>
            <w:r w:rsidRPr="00DB0956">
              <w:rPr>
                <w:rFonts w:ascii="Arial" w:eastAsia="Times New Roman" w:hAnsi="Arial" w:cs="Arial"/>
                <w:b/>
                <w:bCs/>
                <w:color w:val="000099"/>
                <w:lang w:eastAsia="en-GB"/>
              </w:rPr>
              <w:t>Vehicle Type</w:t>
            </w:r>
          </w:p>
        </w:tc>
        <w:tc>
          <w:tcPr>
            <w:tcW w:w="0" w:type="auto"/>
            <w:shd w:val="clear" w:color="auto" w:fill="99CCFF"/>
            <w:noWrap/>
            <w:vAlign w:val="center"/>
            <w:hideMark/>
          </w:tcPr>
          <w:p w14:paraId="718BA9A8" w14:textId="77777777" w:rsidR="000D53EF" w:rsidRPr="00DB0956" w:rsidRDefault="000D53EF" w:rsidP="00A906FC">
            <w:pPr>
              <w:spacing w:after="0" w:line="240" w:lineRule="auto"/>
              <w:jc w:val="center"/>
              <w:rPr>
                <w:rFonts w:ascii="Arial" w:eastAsia="Times New Roman" w:hAnsi="Arial" w:cs="Arial"/>
                <w:b/>
                <w:bCs/>
                <w:color w:val="000099"/>
                <w:lang w:eastAsia="en-GB"/>
              </w:rPr>
            </w:pPr>
            <w:r w:rsidRPr="00DB0956">
              <w:rPr>
                <w:rFonts w:ascii="Arial" w:eastAsia="Times New Roman" w:hAnsi="Arial" w:cs="Arial"/>
                <w:b/>
                <w:bCs/>
                <w:color w:val="000099"/>
                <w:lang w:eastAsia="en-GB"/>
              </w:rPr>
              <w:t>Road Type</w:t>
            </w:r>
          </w:p>
        </w:tc>
        <w:tc>
          <w:tcPr>
            <w:tcW w:w="0" w:type="auto"/>
            <w:shd w:val="clear" w:color="auto" w:fill="99CCFF"/>
            <w:noWrap/>
            <w:vAlign w:val="center"/>
            <w:hideMark/>
          </w:tcPr>
          <w:p w14:paraId="15F8941C" w14:textId="77777777" w:rsidR="000D53EF" w:rsidRPr="00DB0956" w:rsidRDefault="000D53EF" w:rsidP="00A906FC">
            <w:pPr>
              <w:spacing w:after="0" w:line="240" w:lineRule="auto"/>
              <w:jc w:val="center"/>
              <w:rPr>
                <w:rFonts w:ascii="Arial" w:eastAsia="Times New Roman" w:hAnsi="Arial" w:cs="Arial"/>
                <w:b/>
                <w:bCs/>
                <w:color w:val="000099"/>
                <w:lang w:eastAsia="en-GB"/>
              </w:rPr>
            </w:pPr>
            <w:r w:rsidRPr="00DB0956">
              <w:rPr>
                <w:rFonts w:ascii="Arial" w:eastAsia="Times New Roman" w:hAnsi="Arial" w:cs="Arial"/>
                <w:b/>
                <w:bCs/>
                <w:color w:val="000099"/>
                <w:lang w:eastAsia="en-GB"/>
              </w:rPr>
              <w:t>Country</w:t>
            </w:r>
          </w:p>
        </w:tc>
        <w:tc>
          <w:tcPr>
            <w:tcW w:w="0" w:type="auto"/>
            <w:shd w:val="clear" w:color="auto" w:fill="99CCFF"/>
            <w:noWrap/>
            <w:vAlign w:val="center"/>
            <w:hideMark/>
          </w:tcPr>
          <w:p w14:paraId="202ECBFE" w14:textId="23CD591C" w:rsidR="000D53EF" w:rsidRPr="00DB0956" w:rsidRDefault="000D53EF" w:rsidP="000D53EF">
            <w:pPr>
              <w:spacing w:after="0" w:line="240" w:lineRule="auto"/>
              <w:jc w:val="center"/>
              <w:rPr>
                <w:rFonts w:ascii="Arial" w:eastAsia="Times New Roman" w:hAnsi="Arial" w:cs="Arial"/>
                <w:color w:val="000099"/>
                <w:lang w:eastAsia="en-GB"/>
              </w:rPr>
            </w:pPr>
            <w:r w:rsidRPr="00DB0956">
              <w:rPr>
                <w:rFonts w:ascii="Arial" w:eastAsia="Times New Roman" w:hAnsi="Arial" w:cs="Arial"/>
                <w:b/>
                <w:bCs/>
                <w:color w:val="000099"/>
                <w:lang w:eastAsia="en-GB"/>
              </w:rPr>
              <w:t>Region</w:t>
            </w:r>
          </w:p>
        </w:tc>
        <w:tc>
          <w:tcPr>
            <w:tcW w:w="0" w:type="auto"/>
            <w:shd w:val="clear" w:color="auto" w:fill="99CCFF"/>
            <w:noWrap/>
            <w:vAlign w:val="center"/>
            <w:hideMark/>
          </w:tcPr>
          <w:p w14:paraId="3E549DA6" w14:textId="77777777" w:rsidR="000D53EF" w:rsidRPr="00DB0956" w:rsidRDefault="000D53EF" w:rsidP="00A906FC">
            <w:pPr>
              <w:spacing w:after="0" w:line="240" w:lineRule="auto"/>
              <w:jc w:val="right"/>
              <w:rPr>
                <w:rFonts w:ascii="Arial" w:eastAsia="Times New Roman" w:hAnsi="Arial" w:cs="Arial"/>
                <w:b/>
                <w:bCs/>
                <w:color w:val="000099"/>
                <w:lang w:eastAsia="en-GB"/>
              </w:rPr>
            </w:pPr>
            <w:r w:rsidRPr="00DB0956">
              <w:rPr>
                <w:rFonts w:ascii="Arial" w:eastAsia="Times New Roman" w:hAnsi="Arial" w:cs="Arial"/>
                <w:b/>
                <w:bCs/>
                <w:color w:val="000099"/>
                <w:lang w:eastAsia="en-GB"/>
              </w:rPr>
              <w:t>2020</w:t>
            </w:r>
          </w:p>
        </w:tc>
        <w:tc>
          <w:tcPr>
            <w:tcW w:w="0" w:type="auto"/>
            <w:shd w:val="clear" w:color="auto" w:fill="99CCFF"/>
            <w:noWrap/>
            <w:vAlign w:val="center"/>
            <w:hideMark/>
          </w:tcPr>
          <w:p w14:paraId="4F30C2FE" w14:textId="77777777" w:rsidR="000D53EF" w:rsidRPr="00DB0956" w:rsidRDefault="000D53EF" w:rsidP="00A906FC">
            <w:pPr>
              <w:spacing w:after="0" w:line="240" w:lineRule="auto"/>
              <w:jc w:val="right"/>
              <w:rPr>
                <w:rFonts w:ascii="Arial" w:eastAsia="Times New Roman" w:hAnsi="Arial" w:cs="Arial"/>
                <w:b/>
                <w:bCs/>
                <w:color w:val="000099"/>
                <w:lang w:eastAsia="en-GB"/>
              </w:rPr>
            </w:pPr>
            <w:r w:rsidRPr="00DB0956">
              <w:rPr>
                <w:rFonts w:ascii="Arial" w:eastAsia="Times New Roman" w:hAnsi="Arial" w:cs="Arial"/>
                <w:b/>
                <w:bCs/>
                <w:color w:val="000099"/>
                <w:lang w:eastAsia="en-GB"/>
              </w:rPr>
              <w:t>2025</w:t>
            </w:r>
          </w:p>
        </w:tc>
        <w:tc>
          <w:tcPr>
            <w:tcW w:w="0" w:type="auto"/>
            <w:shd w:val="clear" w:color="auto" w:fill="99CCFF"/>
            <w:noWrap/>
            <w:vAlign w:val="center"/>
            <w:hideMark/>
          </w:tcPr>
          <w:p w14:paraId="1CB57460" w14:textId="77777777" w:rsidR="000D53EF" w:rsidRPr="00DB0956" w:rsidRDefault="000D53EF" w:rsidP="00A906FC">
            <w:pPr>
              <w:spacing w:after="0" w:line="240" w:lineRule="auto"/>
              <w:jc w:val="right"/>
              <w:rPr>
                <w:rFonts w:ascii="Arial" w:eastAsia="Times New Roman" w:hAnsi="Arial" w:cs="Arial"/>
                <w:b/>
                <w:bCs/>
                <w:color w:val="000099"/>
                <w:lang w:eastAsia="en-GB"/>
              </w:rPr>
            </w:pPr>
            <w:r w:rsidRPr="00DB0956">
              <w:rPr>
                <w:rFonts w:ascii="Arial" w:eastAsia="Times New Roman" w:hAnsi="Arial" w:cs="Arial"/>
                <w:b/>
                <w:bCs/>
                <w:color w:val="000099"/>
                <w:lang w:eastAsia="en-GB"/>
              </w:rPr>
              <w:t>2030</w:t>
            </w:r>
          </w:p>
        </w:tc>
        <w:tc>
          <w:tcPr>
            <w:tcW w:w="0" w:type="auto"/>
            <w:shd w:val="clear" w:color="auto" w:fill="99CCFF"/>
            <w:noWrap/>
            <w:vAlign w:val="center"/>
            <w:hideMark/>
          </w:tcPr>
          <w:p w14:paraId="783E4224" w14:textId="77777777" w:rsidR="000D53EF" w:rsidRPr="00DB0956" w:rsidRDefault="000D53EF" w:rsidP="00A906FC">
            <w:pPr>
              <w:spacing w:after="0" w:line="240" w:lineRule="auto"/>
              <w:jc w:val="right"/>
              <w:rPr>
                <w:rFonts w:ascii="Arial" w:eastAsia="Times New Roman" w:hAnsi="Arial" w:cs="Arial"/>
                <w:b/>
                <w:bCs/>
                <w:color w:val="000099"/>
                <w:lang w:eastAsia="en-GB"/>
              </w:rPr>
            </w:pPr>
            <w:r w:rsidRPr="00DB0956">
              <w:rPr>
                <w:rFonts w:ascii="Arial" w:eastAsia="Times New Roman" w:hAnsi="Arial" w:cs="Arial"/>
                <w:b/>
                <w:bCs/>
                <w:color w:val="000099"/>
                <w:lang w:eastAsia="en-GB"/>
              </w:rPr>
              <w:t>2035</w:t>
            </w:r>
          </w:p>
        </w:tc>
        <w:tc>
          <w:tcPr>
            <w:tcW w:w="0" w:type="auto"/>
            <w:shd w:val="clear" w:color="auto" w:fill="99CCFF"/>
            <w:noWrap/>
            <w:vAlign w:val="center"/>
            <w:hideMark/>
          </w:tcPr>
          <w:p w14:paraId="077C52EC" w14:textId="77777777" w:rsidR="000D53EF" w:rsidRPr="00DB0956" w:rsidRDefault="000D53EF" w:rsidP="00A906FC">
            <w:pPr>
              <w:spacing w:after="0" w:line="240" w:lineRule="auto"/>
              <w:jc w:val="right"/>
              <w:rPr>
                <w:rFonts w:ascii="Arial" w:eastAsia="Times New Roman" w:hAnsi="Arial" w:cs="Arial"/>
                <w:b/>
                <w:bCs/>
                <w:color w:val="000099"/>
                <w:lang w:eastAsia="en-GB"/>
              </w:rPr>
            </w:pPr>
            <w:r w:rsidRPr="00DB0956">
              <w:rPr>
                <w:rFonts w:ascii="Arial" w:eastAsia="Times New Roman" w:hAnsi="Arial" w:cs="Arial"/>
                <w:b/>
                <w:bCs/>
                <w:color w:val="000099"/>
                <w:lang w:eastAsia="en-GB"/>
              </w:rPr>
              <w:t>2040</w:t>
            </w:r>
          </w:p>
        </w:tc>
        <w:tc>
          <w:tcPr>
            <w:tcW w:w="0" w:type="auto"/>
            <w:shd w:val="clear" w:color="auto" w:fill="99CCFF"/>
            <w:noWrap/>
            <w:vAlign w:val="center"/>
            <w:hideMark/>
          </w:tcPr>
          <w:p w14:paraId="4785D451" w14:textId="77777777" w:rsidR="000D53EF" w:rsidRPr="00DB0956" w:rsidRDefault="000D53EF" w:rsidP="00A906FC">
            <w:pPr>
              <w:spacing w:after="0" w:line="240" w:lineRule="auto"/>
              <w:jc w:val="right"/>
              <w:rPr>
                <w:rFonts w:ascii="Arial" w:eastAsia="Times New Roman" w:hAnsi="Arial" w:cs="Arial"/>
                <w:b/>
                <w:bCs/>
                <w:color w:val="000099"/>
                <w:lang w:eastAsia="en-GB"/>
              </w:rPr>
            </w:pPr>
            <w:r w:rsidRPr="00DB0956">
              <w:rPr>
                <w:rFonts w:ascii="Arial" w:eastAsia="Times New Roman" w:hAnsi="Arial" w:cs="Arial"/>
                <w:b/>
                <w:bCs/>
                <w:color w:val="000099"/>
                <w:lang w:eastAsia="en-GB"/>
              </w:rPr>
              <w:t>2045</w:t>
            </w:r>
          </w:p>
        </w:tc>
        <w:tc>
          <w:tcPr>
            <w:tcW w:w="0" w:type="auto"/>
            <w:shd w:val="clear" w:color="auto" w:fill="99CCFF"/>
            <w:noWrap/>
            <w:vAlign w:val="center"/>
            <w:hideMark/>
          </w:tcPr>
          <w:p w14:paraId="742F042F" w14:textId="77777777" w:rsidR="000D53EF" w:rsidRPr="00DB0956" w:rsidRDefault="000D53EF" w:rsidP="00A906FC">
            <w:pPr>
              <w:spacing w:after="0" w:line="240" w:lineRule="auto"/>
              <w:jc w:val="right"/>
              <w:rPr>
                <w:rFonts w:ascii="Arial" w:eastAsia="Times New Roman" w:hAnsi="Arial" w:cs="Arial"/>
                <w:b/>
                <w:bCs/>
                <w:color w:val="000099"/>
                <w:lang w:eastAsia="en-GB"/>
              </w:rPr>
            </w:pPr>
            <w:r w:rsidRPr="00DB0956">
              <w:rPr>
                <w:rFonts w:ascii="Arial" w:eastAsia="Times New Roman" w:hAnsi="Arial" w:cs="Arial"/>
                <w:b/>
                <w:bCs/>
                <w:color w:val="000099"/>
                <w:lang w:eastAsia="en-GB"/>
              </w:rPr>
              <w:t>2050</w:t>
            </w:r>
          </w:p>
        </w:tc>
      </w:tr>
      <w:tr w:rsidR="000D53EF" w:rsidRPr="003E64FF" w14:paraId="7BA5CB62" w14:textId="77777777" w:rsidTr="00A906FC">
        <w:trPr>
          <w:trHeight w:val="300"/>
          <w:jc w:val="center"/>
        </w:trPr>
        <w:tc>
          <w:tcPr>
            <w:tcW w:w="0" w:type="auto"/>
            <w:shd w:val="clear" w:color="auto" w:fill="auto"/>
            <w:noWrap/>
            <w:vAlign w:val="bottom"/>
            <w:hideMark/>
          </w:tcPr>
          <w:p w14:paraId="5521E113"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Car</w:t>
            </w:r>
          </w:p>
        </w:tc>
        <w:tc>
          <w:tcPr>
            <w:tcW w:w="0" w:type="auto"/>
            <w:shd w:val="clear" w:color="auto" w:fill="auto"/>
            <w:noWrap/>
            <w:vAlign w:val="bottom"/>
            <w:hideMark/>
          </w:tcPr>
          <w:p w14:paraId="0FC479B6"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Principal A</w:t>
            </w:r>
          </w:p>
        </w:tc>
        <w:tc>
          <w:tcPr>
            <w:tcW w:w="0" w:type="auto"/>
            <w:shd w:val="clear" w:color="auto" w:fill="auto"/>
            <w:noWrap/>
            <w:vAlign w:val="bottom"/>
            <w:hideMark/>
          </w:tcPr>
          <w:p w14:paraId="7F7DEC7E"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England</w:t>
            </w:r>
          </w:p>
        </w:tc>
        <w:tc>
          <w:tcPr>
            <w:tcW w:w="0" w:type="auto"/>
            <w:shd w:val="clear" w:color="auto" w:fill="auto"/>
            <w:noWrap/>
            <w:vAlign w:val="bottom"/>
            <w:hideMark/>
          </w:tcPr>
          <w:p w14:paraId="5A2A5567" w14:textId="77777777" w:rsidR="000D53EF" w:rsidRPr="00737351" w:rsidRDefault="000D53EF" w:rsidP="000D53EF">
            <w:pPr>
              <w:spacing w:after="0" w:line="240" w:lineRule="auto"/>
              <w:jc w:val="center"/>
              <w:rPr>
                <w:rFonts w:ascii="Arial" w:eastAsia="Times New Roman" w:hAnsi="Arial" w:cs="Arial"/>
                <w:color w:val="000000"/>
                <w:lang w:eastAsia="en-GB"/>
              </w:rPr>
            </w:pPr>
            <w:r w:rsidRPr="00737351">
              <w:rPr>
                <w:rFonts w:ascii="Arial" w:eastAsia="Times New Roman" w:hAnsi="Arial" w:cs="Arial"/>
                <w:color w:val="000000"/>
                <w:lang w:eastAsia="en-GB"/>
              </w:rPr>
              <w:t>Eastern England</w:t>
            </w:r>
          </w:p>
          <w:p w14:paraId="20FE9EA3" w14:textId="729A5D85" w:rsidR="000D53EF" w:rsidRPr="00737351" w:rsidRDefault="000D53EF" w:rsidP="000D53EF">
            <w:pPr>
              <w:spacing w:after="0" w:line="240" w:lineRule="auto"/>
              <w:jc w:val="center"/>
              <w:rPr>
                <w:rFonts w:ascii="Arial" w:eastAsia="Times New Roman" w:hAnsi="Arial" w:cs="Arial"/>
                <w:color w:val="000000"/>
                <w:lang w:eastAsia="en-GB"/>
              </w:rPr>
            </w:pPr>
          </w:p>
        </w:tc>
        <w:tc>
          <w:tcPr>
            <w:tcW w:w="0" w:type="auto"/>
            <w:shd w:val="clear" w:color="auto" w:fill="auto"/>
            <w:noWrap/>
            <w:vAlign w:val="bottom"/>
            <w:hideMark/>
          </w:tcPr>
          <w:p w14:paraId="6318863D"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-8.6%</w:t>
            </w:r>
          </w:p>
        </w:tc>
        <w:tc>
          <w:tcPr>
            <w:tcW w:w="0" w:type="auto"/>
            <w:shd w:val="clear" w:color="auto" w:fill="auto"/>
            <w:noWrap/>
            <w:vAlign w:val="bottom"/>
            <w:hideMark/>
          </w:tcPr>
          <w:p w14:paraId="3EE2C6C0"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-20.0%</w:t>
            </w:r>
          </w:p>
        </w:tc>
        <w:tc>
          <w:tcPr>
            <w:tcW w:w="0" w:type="auto"/>
            <w:shd w:val="clear" w:color="auto" w:fill="auto"/>
            <w:noWrap/>
            <w:vAlign w:val="bottom"/>
            <w:hideMark/>
          </w:tcPr>
          <w:p w14:paraId="1CEF7F81"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-36.4%</w:t>
            </w:r>
          </w:p>
        </w:tc>
        <w:tc>
          <w:tcPr>
            <w:tcW w:w="0" w:type="auto"/>
            <w:shd w:val="clear" w:color="auto" w:fill="auto"/>
            <w:noWrap/>
            <w:vAlign w:val="bottom"/>
            <w:hideMark/>
          </w:tcPr>
          <w:p w14:paraId="2AFB43D8"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-59.7%</w:t>
            </w:r>
          </w:p>
        </w:tc>
        <w:tc>
          <w:tcPr>
            <w:tcW w:w="0" w:type="auto"/>
            <w:shd w:val="clear" w:color="auto" w:fill="auto"/>
            <w:noWrap/>
            <w:vAlign w:val="bottom"/>
            <w:hideMark/>
          </w:tcPr>
          <w:p w14:paraId="04666FFE"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-80.6%</w:t>
            </w:r>
          </w:p>
        </w:tc>
        <w:tc>
          <w:tcPr>
            <w:tcW w:w="0" w:type="auto"/>
            <w:shd w:val="clear" w:color="auto" w:fill="auto"/>
            <w:noWrap/>
            <w:vAlign w:val="bottom"/>
            <w:hideMark/>
          </w:tcPr>
          <w:p w14:paraId="68E3116D"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-92.8%</w:t>
            </w:r>
          </w:p>
        </w:tc>
        <w:tc>
          <w:tcPr>
            <w:tcW w:w="0" w:type="auto"/>
            <w:shd w:val="clear" w:color="auto" w:fill="auto"/>
            <w:noWrap/>
            <w:vAlign w:val="bottom"/>
            <w:hideMark/>
          </w:tcPr>
          <w:p w14:paraId="6A207E9A"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-96.8%</w:t>
            </w:r>
          </w:p>
        </w:tc>
      </w:tr>
      <w:tr w:rsidR="000D53EF" w:rsidRPr="003E64FF" w14:paraId="74546BA7" w14:textId="77777777" w:rsidTr="00A906FC">
        <w:trPr>
          <w:trHeight w:val="300"/>
          <w:jc w:val="center"/>
        </w:trPr>
        <w:tc>
          <w:tcPr>
            <w:tcW w:w="0" w:type="auto"/>
            <w:shd w:val="clear" w:color="auto" w:fill="auto"/>
            <w:noWrap/>
            <w:vAlign w:val="bottom"/>
            <w:hideMark/>
          </w:tcPr>
          <w:p w14:paraId="22786EF5"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LGV</w:t>
            </w:r>
          </w:p>
        </w:tc>
        <w:tc>
          <w:tcPr>
            <w:tcW w:w="0" w:type="auto"/>
            <w:shd w:val="clear" w:color="auto" w:fill="auto"/>
            <w:noWrap/>
            <w:vAlign w:val="bottom"/>
            <w:hideMark/>
          </w:tcPr>
          <w:p w14:paraId="01456654"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Principal A</w:t>
            </w:r>
          </w:p>
        </w:tc>
        <w:tc>
          <w:tcPr>
            <w:tcW w:w="0" w:type="auto"/>
            <w:shd w:val="clear" w:color="auto" w:fill="auto"/>
            <w:noWrap/>
            <w:vAlign w:val="bottom"/>
            <w:hideMark/>
          </w:tcPr>
          <w:p w14:paraId="5E735644"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England</w:t>
            </w:r>
          </w:p>
        </w:tc>
        <w:tc>
          <w:tcPr>
            <w:tcW w:w="0" w:type="auto"/>
            <w:shd w:val="clear" w:color="auto" w:fill="auto"/>
            <w:noWrap/>
            <w:vAlign w:val="bottom"/>
            <w:hideMark/>
          </w:tcPr>
          <w:p w14:paraId="47D0B5A1" w14:textId="77777777" w:rsidR="000D53EF" w:rsidRPr="00737351" w:rsidRDefault="000D53EF" w:rsidP="000D53EF">
            <w:pPr>
              <w:spacing w:after="0" w:line="240" w:lineRule="auto"/>
              <w:jc w:val="center"/>
              <w:rPr>
                <w:rFonts w:ascii="Arial" w:eastAsia="Times New Roman" w:hAnsi="Arial" w:cs="Arial"/>
                <w:color w:val="000000"/>
                <w:lang w:eastAsia="en-GB"/>
              </w:rPr>
            </w:pPr>
            <w:r w:rsidRPr="00737351">
              <w:rPr>
                <w:rFonts w:ascii="Arial" w:eastAsia="Times New Roman" w:hAnsi="Arial" w:cs="Arial"/>
                <w:color w:val="000000"/>
                <w:lang w:eastAsia="en-GB"/>
              </w:rPr>
              <w:t>Eastern England</w:t>
            </w:r>
          </w:p>
          <w:p w14:paraId="6F62FB1C" w14:textId="2702A2FD" w:rsidR="000D53EF" w:rsidRPr="00737351" w:rsidRDefault="000D53EF" w:rsidP="000D53EF">
            <w:pPr>
              <w:spacing w:after="0" w:line="240" w:lineRule="auto"/>
              <w:jc w:val="center"/>
              <w:rPr>
                <w:rFonts w:ascii="Arial" w:eastAsia="Times New Roman" w:hAnsi="Arial" w:cs="Arial"/>
                <w:color w:val="000000"/>
                <w:lang w:eastAsia="en-GB"/>
              </w:rPr>
            </w:pPr>
          </w:p>
        </w:tc>
        <w:tc>
          <w:tcPr>
            <w:tcW w:w="0" w:type="auto"/>
            <w:shd w:val="clear" w:color="auto" w:fill="auto"/>
            <w:noWrap/>
            <w:vAlign w:val="bottom"/>
            <w:hideMark/>
          </w:tcPr>
          <w:p w14:paraId="434846DA"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0.4%</w:t>
            </w:r>
          </w:p>
        </w:tc>
        <w:tc>
          <w:tcPr>
            <w:tcW w:w="0" w:type="auto"/>
            <w:shd w:val="clear" w:color="auto" w:fill="auto"/>
            <w:noWrap/>
            <w:vAlign w:val="bottom"/>
            <w:hideMark/>
          </w:tcPr>
          <w:p w14:paraId="46D2DF67"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-10.3%</w:t>
            </w:r>
          </w:p>
        </w:tc>
        <w:tc>
          <w:tcPr>
            <w:tcW w:w="0" w:type="auto"/>
            <w:shd w:val="clear" w:color="auto" w:fill="auto"/>
            <w:noWrap/>
            <w:vAlign w:val="bottom"/>
            <w:hideMark/>
          </w:tcPr>
          <w:p w14:paraId="22D153D4"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-26.2%</w:t>
            </w:r>
          </w:p>
        </w:tc>
        <w:tc>
          <w:tcPr>
            <w:tcW w:w="0" w:type="auto"/>
            <w:shd w:val="clear" w:color="auto" w:fill="auto"/>
            <w:noWrap/>
            <w:vAlign w:val="bottom"/>
            <w:hideMark/>
          </w:tcPr>
          <w:p w14:paraId="5389A496"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-49.5%</w:t>
            </w:r>
          </w:p>
        </w:tc>
        <w:tc>
          <w:tcPr>
            <w:tcW w:w="0" w:type="auto"/>
            <w:shd w:val="clear" w:color="auto" w:fill="auto"/>
            <w:noWrap/>
            <w:vAlign w:val="bottom"/>
            <w:hideMark/>
          </w:tcPr>
          <w:p w14:paraId="627BEDA6"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-73.1%</w:t>
            </w:r>
          </w:p>
        </w:tc>
        <w:tc>
          <w:tcPr>
            <w:tcW w:w="0" w:type="auto"/>
            <w:shd w:val="clear" w:color="auto" w:fill="auto"/>
            <w:noWrap/>
            <w:vAlign w:val="bottom"/>
            <w:hideMark/>
          </w:tcPr>
          <w:p w14:paraId="4758ED5E"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-89.0%</w:t>
            </w:r>
          </w:p>
        </w:tc>
        <w:tc>
          <w:tcPr>
            <w:tcW w:w="0" w:type="auto"/>
            <w:shd w:val="clear" w:color="auto" w:fill="auto"/>
            <w:noWrap/>
            <w:vAlign w:val="bottom"/>
            <w:hideMark/>
          </w:tcPr>
          <w:p w14:paraId="399716DA"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-94.8%</w:t>
            </w:r>
          </w:p>
        </w:tc>
      </w:tr>
      <w:tr w:rsidR="000D53EF" w:rsidRPr="003E64FF" w14:paraId="54E1431C" w14:textId="77777777" w:rsidTr="00A906FC">
        <w:trPr>
          <w:trHeight w:val="300"/>
          <w:jc w:val="center"/>
        </w:trPr>
        <w:tc>
          <w:tcPr>
            <w:tcW w:w="0" w:type="auto"/>
            <w:shd w:val="clear" w:color="auto" w:fill="auto"/>
            <w:noWrap/>
            <w:vAlign w:val="bottom"/>
            <w:hideMark/>
          </w:tcPr>
          <w:p w14:paraId="65B2EA4A"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HGV</w:t>
            </w:r>
          </w:p>
        </w:tc>
        <w:tc>
          <w:tcPr>
            <w:tcW w:w="0" w:type="auto"/>
            <w:shd w:val="clear" w:color="auto" w:fill="auto"/>
            <w:noWrap/>
            <w:vAlign w:val="bottom"/>
            <w:hideMark/>
          </w:tcPr>
          <w:p w14:paraId="1BD30635"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Principal A</w:t>
            </w:r>
          </w:p>
        </w:tc>
        <w:tc>
          <w:tcPr>
            <w:tcW w:w="0" w:type="auto"/>
            <w:shd w:val="clear" w:color="auto" w:fill="auto"/>
            <w:noWrap/>
            <w:vAlign w:val="bottom"/>
            <w:hideMark/>
          </w:tcPr>
          <w:p w14:paraId="09A1D342"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England</w:t>
            </w:r>
          </w:p>
        </w:tc>
        <w:tc>
          <w:tcPr>
            <w:tcW w:w="0" w:type="auto"/>
            <w:shd w:val="clear" w:color="auto" w:fill="auto"/>
            <w:noWrap/>
            <w:vAlign w:val="bottom"/>
            <w:hideMark/>
          </w:tcPr>
          <w:p w14:paraId="6B2517E6" w14:textId="77777777" w:rsidR="000D53EF" w:rsidRPr="00737351" w:rsidRDefault="000D53EF" w:rsidP="000D53EF">
            <w:pPr>
              <w:spacing w:after="0" w:line="240" w:lineRule="auto"/>
              <w:jc w:val="center"/>
              <w:rPr>
                <w:rFonts w:ascii="Arial" w:eastAsia="Times New Roman" w:hAnsi="Arial" w:cs="Arial"/>
                <w:color w:val="000000"/>
                <w:lang w:eastAsia="en-GB"/>
              </w:rPr>
            </w:pPr>
            <w:r w:rsidRPr="00737351">
              <w:rPr>
                <w:rFonts w:ascii="Arial" w:eastAsia="Times New Roman" w:hAnsi="Arial" w:cs="Arial"/>
                <w:color w:val="000000"/>
                <w:lang w:eastAsia="en-GB"/>
              </w:rPr>
              <w:t>Eastern England</w:t>
            </w:r>
          </w:p>
          <w:p w14:paraId="7E2FA2AB" w14:textId="2B339E80" w:rsidR="000D53EF" w:rsidRPr="00737351" w:rsidRDefault="000D53EF" w:rsidP="000D53EF">
            <w:pPr>
              <w:spacing w:after="0" w:line="240" w:lineRule="auto"/>
              <w:jc w:val="center"/>
              <w:rPr>
                <w:rFonts w:ascii="Arial" w:eastAsia="Times New Roman" w:hAnsi="Arial" w:cs="Arial"/>
                <w:color w:val="000000"/>
                <w:lang w:eastAsia="en-GB"/>
              </w:rPr>
            </w:pPr>
          </w:p>
        </w:tc>
        <w:tc>
          <w:tcPr>
            <w:tcW w:w="0" w:type="auto"/>
            <w:shd w:val="clear" w:color="auto" w:fill="auto"/>
            <w:noWrap/>
            <w:vAlign w:val="bottom"/>
            <w:hideMark/>
          </w:tcPr>
          <w:p w14:paraId="048079F4"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-11.6%</w:t>
            </w:r>
          </w:p>
        </w:tc>
        <w:tc>
          <w:tcPr>
            <w:tcW w:w="0" w:type="auto"/>
            <w:shd w:val="clear" w:color="auto" w:fill="auto"/>
            <w:noWrap/>
            <w:vAlign w:val="bottom"/>
            <w:hideMark/>
          </w:tcPr>
          <w:p w14:paraId="4FD3349F"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-13.7%</w:t>
            </w:r>
          </w:p>
        </w:tc>
        <w:tc>
          <w:tcPr>
            <w:tcW w:w="0" w:type="auto"/>
            <w:shd w:val="clear" w:color="auto" w:fill="auto"/>
            <w:noWrap/>
            <w:vAlign w:val="bottom"/>
            <w:hideMark/>
          </w:tcPr>
          <w:p w14:paraId="74968D54"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-13.3%</w:t>
            </w:r>
          </w:p>
        </w:tc>
        <w:tc>
          <w:tcPr>
            <w:tcW w:w="0" w:type="auto"/>
            <w:shd w:val="clear" w:color="auto" w:fill="auto"/>
            <w:noWrap/>
            <w:vAlign w:val="bottom"/>
            <w:hideMark/>
          </w:tcPr>
          <w:p w14:paraId="4EB8B9FD"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-13.5%</w:t>
            </w:r>
          </w:p>
        </w:tc>
        <w:tc>
          <w:tcPr>
            <w:tcW w:w="0" w:type="auto"/>
            <w:shd w:val="clear" w:color="auto" w:fill="auto"/>
            <w:noWrap/>
            <w:vAlign w:val="bottom"/>
            <w:hideMark/>
          </w:tcPr>
          <w:p w14:paraId="1FC3FD19"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-13.6%</w:t>
            </w:r>
          </w:p>
        </w:tc>
        <w:tc>
          <w:tcPr>
            <w:tcW w:w="0" w:type="auto"/>
            <w:shd w:val="clear" w:color="auto" w:fill="auto"/>
            <w:noWrap/>
            <w:vAlign w:val="bottom"/>
            <w:hideMark/>
          </w:tcPr>
          <w:p w14:paraId="3CD167EC"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-13.1%</w:t>
            </w:r>
          </w:p>
        </w:tc>
        <w:tc>
          <w:tcPr>
            <w:tcW w:w="0" w:type="auto"/>
            <w:shd w:val="clear" w:color="auto" w:fill="auto"/>
            <w:noWrap/>
            <w:vAlign w:val="bottom"/>
            <w:hideMark/>
          </w:tcPr>
          <w:p w14:paraId="488C9948"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-11.7%</w:t>
            </w:r>
          </w:p>
        </w:tc>
      </w:tr>
      <w:tr w:rsidR="000D53EF" w:rsidRPr="003E64FF" w14:paraId="4433CE92" w14:textId="77777777" w:rsidTr="000D53EF">
        <w:trPr>
          <w:trHeight w:val="367"/>
          <w:jc w:val="center"/>
        </w:trPr>
        <w:tc>
          <w:tcPr>
            <w:tcW w:w="0" w:type="auto"/>
            <w:shd w:val="clear" w:color="auto" w:fill="auto"/>
            <w:noWrap/>
            <w:vAlign w:val="bottom"/>
            <w:hideMark/>
          </w:tcPr>
          <w:p w14:paraId="60D86ED9"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PSV</w:t>
            </w:r>
          </w:p>
        </w:tc>
        <w:tc>
          <w:tcPr>
            <w:tcW w:w="0" w:type="auto"/>
            <w:shd w:val="clear" w:color="auto" w:fill="auto"/>
            <w:noWrap/>
            <w:vAlign w:val="bottom"/>
            <w:hideMark/>
          </w:tcPr>
          <w:p w14:paraId="6A216753"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Principal A</w:t>
            </w:r>
          </w:p>
        </w:tc>
        <w:tc>
          <w:tcPr>
            <w:tcW w:w="0" w:type="auto"/>
            <w:shd w:val="clear" w:color="auto" w:fill="auto"/>
            <w:noWrap/>
            <w:vAlign w:val="bottom"/>
            <w:hideMark/>
          </w:tcPr>
          <w:p w14:paraId="1E85DBF5"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England</w:t>
            </w:r>
          </w:p>
        </w:tc>
        <w:tc>
          <w:tcPr>
            <w:tcW w:w="0" w:type="auto"/>
            <w:shd w:val="clear" w:color="auto" w:fill="auto"/>
            <w:noWrap/>
            <w:vAlign w:val="bottom"/>
            <w:hideMark/>
          </w:tcPr>
          <w:p w14:paraId="73241132" w14:textId="77777777" w:rsidR="000D53EF" w:rsidRPr="00737351" w:rsidRDefault="000D53EF" w:rsidP="000D53EF">
            <w:pPr>
              <w:spacing w:after="0" w:line="240" w:lineRule="auto"/>
              <w:rPr>
                <w:rFonts w:ascii="Arial" w:eastAsia="Times New Roman" w:hAnsi="Arial" w:cs="Arial"/>
                <w:color w:val="000000"/>
                <w:lang w:eastAsia="en-GB"/>
              </w:rPr>
            </w:pPr>
            <w:r w:rsidRPr="00737351">
              <w:rPr>
                <w:rFonts w:ascii="Arial" w:eastAsia="Times New Roman" w:hAnsi="Arial" w:cs="Arial"/>
                <w:color w:val="000000"/>
                <w:lang w:eastAsia="en-GB"/>
              </w:rPr>
              <w:t>Eastern England</w:t>
            </w:r>
          </w:p>
          <w:p w14:paraId="2C8D1E00" w14:textId="76545F20" w:rsidR="000D53EF" w:rsidRPr="00737351" w:rsidRDefault="000D53EF" w:rsidP="000D53EF">
            <w:pPr>
              <w:spacing w:after="0" w:line="240" w:lineRule="auto"/>
              <w:jc w:val="center"/>
              <w:rPr>
                <w:rFonts w:ascii="Arial" w:eastAsia="Times New Roman" w:hAnsi="Arial" w:cs="Arial"/>
                <w:color w:val="000000"/>
                <w:lang w:eastAsia="en-GB"/>
              </w:rPr>
            </w:pPr>
          </w:p>
        </w:tc>
        <w:tc>
          <w:tcPr>
            <w:tcW w:w="0" w:type="auto"/>
            <w:shd w:val="clear" w:color="auto" w:fill="auto"/>
            <w:noWrap/>
            <w:vAlign w:val="bottom"/>
            <w:hideMark/>
          </w:tcPr>
          <w:p w14:paraId="3CC4BBF2"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-19.3%</w:t>
            </w:r>
          </w:p>
        </w:tc>
        <w:tc>
          <w:tcPr>
            <w:tcW w:w="0" w:type="auto"/>
            <w:shd w:val="clear" w:color="auto" w:fill="auto"/>
            <w:noWrap/>
            <w:vAlign w:val="bottom"/>
            <w:hideMark/>
          </w:tcPr>
          <w:p w14:paraId="626B0A81"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-29.2%</w:t>
            </w:r>
          </w:p>
        </w:tc>
        <w:tc>
          <w:tcPr>
            <w:tcW w:w="0" w:type="auto"/>
            <w:shd w:val="clear" w:color="auto" w:fill="auto"/>
            <w:noWrap/>
            <w:vAlign w:val="bottom"/>
            <w:hideMark/>
          </w:tcPr>
          <w:p w14:paraId="3F7EDDAA"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-41.5%</w:t>
            </w:r>
          </w:p>
        </w:tc>
        <w:tc>
          <w:tcPr>
            <w:tcW w:w="0" w:type="auto"/>
            <w:shd w:val="clear" w:color="auto" w:fill="auto"/>
            <w:noWrap/>
            <w:vAlign w:val="bottom"/>
            <w:hideMark/>
          </w:tcPr>
          <w:p w14:paraId="010AA4B1"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-48.1%</w:t>
            </w:r>
          </w:p>
        </w:tc>
        <w:tc>
          <w:tcPr>
            <w:tcW w:w="0" w:type="auto"/>
            <w:shd w:val="clear" w:color="auto" w:fill="auto"/>
            <w:noWrap/>
            <w:vAlign w:val="bottom"/>
            <w:hideMark/>
          </w:tcPr>
          <w:p w14:paraId="105CDD4A"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-51.7%</w:t>
            </w:r>
          </w:p>
        </w:tc>
        <w:tc>
          <w:tcPr>
            <w:tcW w:w="0" w:type="auto"/>
            <w:shd w:val="clear" w:color="auto" w:fill="auto"/>
            <w:noWrap/>
            <w:vAlign w:val="bottom"/>
            <w:hideMark/>
          </w:tcPr>
          <w:p w14:paraId="55A22232"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-52.7%</w:t>
            </w:r>
          </w:p>
        </w:tc>
        <w:tc>
          <w:tcPr>
            <w:tcW w:w="0" w:type="auto"/>
            <w:shd w:val="clear" w:color="auto" w:fill="auto"/>
            <w:noWrap/>
            <w:vAlign w:val="bottom"/>
            <w:hideMark/>
          </w:tcPr>
          <w:p w14:paraId="4806B3FD"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-53.4%</w:t>
            </w:r>
          </w:p>
        </w:tc>
      </w:tr>
      <w:tr w:rsidR="000D53EF" w:rsidRPr="003E64FF" w14:paraId="70D36561" w14:textId="77777777" w:rsidTr="00A906FC">
        <w:trPr>
          <w:trHeight w:val="300"/>
          <w:jc w:val="center"/>
        </w:trPr>
        <w:tc>
          <w:tcPr>
            <w:tcW w:w="0" w:type="auto"/>
            <w:shd w:val="clear" w:color="auto" w:fill="auto"/>
            <w:noWrap/>
            <w:vAlign w:val="bottom"/>
            <w:hideMark/>
          </w:tcPr>
          <w:p w14:paraId="128892D4"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Total</w:t>
            </w:r>
          </w:p>
        </w:tc>
        <w:tc>
          <w:tcPr>
            <w:tcW w:w="0" w:type="auto"/>
            <w:shd w:val="clear" w:color="auto" w:fill="auto"/>
            <w:noWrap/>
            <w:vAlign w:val="bottom"/>
            <w:hideMark/>
          </w:tcPr>
          <w:p w14:paraId="1C75960D"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Principal A</w:t>
            </w:r>
          </w:p>
        </w:tc>
        <w:tc>
          <w:tcPr>
            <w:tcW w:w="0" w:type="auto"/>
            <w:shd w:val="clear" w:color="auto" w:fill="auto"/>
            <w:noWrap/>
            <w:vAlign w:val="bottom"/>
            <w:hideMark/>
          </w:tcPr>
          <w:p w14:paraId="660A2BB0"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England</w:t>
            </w:r>
          </w:p>
        </w:tc>
        <w:tc>
          <w:tcPr>
            <w:tcW w:w="0" w:type="auto"/>
            <w:shd w:val="clear" w:color="auto" w:fill="auto"/>
            <w:noWrap/>
            <w:vAlign w:val="bottom"/>
            <w:hideMark/>
          </w:tcPr>
          <w:p w14:paraId="6DCA3D89" w14:textId="77777777" w:rsidR="000D53EF" w:rsidRPr="00737351" w:rsidRDefault="000D53EF" w:rsidP="000D53EF">
            <w:pPr>
              <w:spacing w:after="0" w:line="240" w:lineRule="auto"/>
              <w:jc w:val="center"/>
              <w:rPr>
                <w:rFonts w:ascii="Arial" w:eastAsia="Times New Roman" w:hAnsi="Arial" w:cs="Arial"/>
                <w:color w:val="000000"/>
                <w:lang w:eastAsia="en-GB"/>
              </w:rPr>
            </w:pPr>
            <w:r w:rsidRPr="00737351">
              <w:rPr>
                <w:rFonts w:ascii="Arial" w:eastAsia="Times New Roman" w:hAnsi="Arial" w:cs="Arial"/>
                <w:color w:val="000000"/>
                <w:lang w:eastAsia="en-GB"/>
              </w:rPr>
              <w:t>Eastern England</w:t>
            </w:r>
          </w:p>
          <w:p w14:paraId="44801CDF" w14:textId="1DD24B88" w:rsidR="000D53EF" w:rsidRPr="00737351" w:rsidRDefault="000D53EF" w:rsidP="000D53EF">
            <w:pPr>
              <w:spacing w:after="0" w:line="240" w:lineRule="auto"/>
              <w:jc w:val="center"/>
              <w:rPr>
                <w:rFonts w:ascii="Arial" w:eastAsia="Times New Roman" w:hAnsi="Arial" w:cs="Arial"/>
                <w:color w:val="000000"/>
                <w:lang w:eastAsia="en-GB"/>
              </w:rPr>
            </w:pPr>
          </w:p>
        </w:tc>
        <w:tc>
          <w:tcPr>
            <w:tcW w:w="0" w:type="auto"/>
            <w:shd w:val="clear" w:color="auto" w:fill="auto"/>
            <w:noWrap/>
            <w:vAlign w:val="bottom"/>
            <w:hideMark/>
          </w:tcPr>
          <w:p w14:paraId="01E0823D"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-7.8%</w:t>
            </w:r>
          </w:p>
        </w:tc>
        <w:tc>
          <w:tcPr>
            <w:tcW w:w="0" w:type="auto"/>
            <w:shd w:val="clear" w:color="auto" w:fill="auto"/>
            <w:noWrap/>
            <w:vAlign w:val="bottom"/>
            <w:hideMark/>
          </w:tcPr>
          <w:p w14:paraId="1CF10EDE"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-17.6%</w:t>
            </w:r>
          </w:p>
        </w:tc>
        <w:tc>
          <w:tcPr>
            <w:tcW w:w="0" w:type="auto"/>
            <w:shd w:val="clear" w:color="auto" w:fill="auto"/>
            <w:noWrap/>
            <w:vAlign w:val="bottom"/>
            <w:hideMark/>
          </w:tcPr>
          <w:p w14:paraId="66D410AC"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-31.1%</w:t>
            </w:r>
          </w:p>
        </w:tc>
        <w:tc>
          <w:tcPr>
            <w:tcW w:w="0" w:type="auto"/>
            <w:shd w:val="clear" w:color="auto" w:fill="auto"/>
            <w:noWrap/>
            <w:vAlign w:val="bottom"/>
            <w:hideMark/>
          </w:tcPr>
          <w:p w14:paraId="709085E6"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-50.3%</w:t>
            </w:r>
          </w:p>
        </w:tc>
        <w:tc>
          <w:tcPr>
            <w:tcW w:w="0" w:type="auto"/>
            <w:shd w:val="clear" w:color="auto" w:fill="auto"/>
            <w:noWrap/>
            <w:vAlign w:val="bottom"/>
            <w:hideMark/>
          </w:tcPr>
          <w:p w14:paraId="736DCC93"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-67.9%</w:t>
            </w:r>
          </w:p>
        </w:tc>
        <w:tc>
          <w:tcPr>
            <w:tcW w:w="0" w:type="auto"/>
            <w:shd w:val="clear" w:color="auto" w:fill="auto"/>
            <w:noWrap/>
            <w:vAlign w:val="bottom"/>
            <w:hideMark/>
          </w:tcPr>
          <w:p w14:paraId="564E25B4"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-78.4%</w:t>
            </w:r>
          </w:p>
        </w:tc>
        <w:tc>
          <w:tcPr>
            <w:tcW w:w="0" w:type="auto"/>
            <w:shd w:val="clear" w:color="auto" w:fill="auto"/>
            <w:noWrap/>
            <w:vAlign w:val="bottom"/>
            <w:hideMark/>
          </w:tcPr>
          <w:p w14:paraId="0F093F70" w14:textId="77777777" w:rsidR="000D53EF" w:rsidRPr="00737351" w:rsidRDefault="000D53EF" w:rsidP="00A906FC">
            <w:pPr>
              <w:spacing w:after="0" w:line="240" w:lineRule="auto"/>
              <w:jc w:val="right"/>
              <w:rPr>
                <w:rFonts w:ascii="Arial" w:eastAsia="Times New Roman" w:hAnsi="Arial" w:cs="Arial"/>
                <w:color w:val="000000"/>
                <w:lang w:eastAsia="en-GB"/>
              </w:rPr>
            </w:pPr>
            <w:r w:rsidRPr="00737351">
              <w:rPr>
                <w:rFonts w:ascii="Arial" w:eastAsia="Times New Roman" w:hAnsi="Arial" w:cs="Arial"/>
                <w:color w:val="000000"/>
                <w:lang w:eastAsia="en-GB"/>
              </w:rPr>
              <w:t>-81.8%</w:t>
            </w:r>
          </w:p>
        </w:tc>
      </w:tr>
    </w:tbl>
    <w:p w14:paraId="4703D3FB" w14:textId="2CA69EA0" w:rsidR="001C75DF" w:rsidRDefault="00574EAF" w:rsidP="007E69C5">
      <w:pPr>
        <w:pStyle w:val="Caption"/>
        <w:jc w:val="center"/>
        <w:rPr>
          <w:rFonts w:ascii="Arial" w:hAnsi="Arial" w:cs="Arial"/>
          <w:sz w:val="22"/>
          <w:szCs w:val="22"/>
        </w:rPr>
      </w:pPr>
      <w:bookmarkStart w:id="114" w:name="_Toc66868997"/>
      <w:r w:rsidRPr="00574EAF">
        <w:rPr>
          <w:rFonts w:ascii="Arial" w:hAnsi="Arial" w:cs="Arial"/>
          <w:sz w:val="22"/>
          <w:szCs w:val="22"/>
        </w:rPr>
        <w:t xml:space="preserve">Table </w:t>
      </w:r>
      <w:r w:rsidRPr="00574EAF">
        <w:rPr>
          <w:rFonts w:ascii="Arial" w:hAnsi="Arial" w:cs="Arial"/>
          <w:sz w:val="22"/>
          <w:szCs w:val="22"/>
        </w:rPr>
        <w:fldChar w:fldCharType="begin"/>
      </w:r>
      <w:r w:rsidRPr="00574EAF">
        <w:rPr>
          <w:rFonts w:ascii="Arial" w:hAnsi="Arial" w:cs="Arial"/>
          <w:sz w:val="22"/>
          <w:szCs w:val="22"/>
        </w:rPr>
        <w:instrText xml:space="preserve"> SEQ Table \* ARABIC </w:instrText>
      </w:r>
      <w:r w:rsidRPr="00574EAF">
        <w:rPr>
          <w:rFonts w:ascii="Arial" w:hAnsi="Arial" w:cs="Arial"/>
          <w:sz w:val="22"/>
          <w:szCs w:val="22"/>
        </w:rPr>
        <w:fldChar w:fldCharType="separate"/>
      </w:r>
      <w:r w:rsidR="00B97B5D">
        <w:rPr>
          <w:rFonts w:ascii="Arial" w:hAnsi="Arial" w:cs="Arial"/>
          <w:noProof/>
          <w:sz w:val="22"/>
          <w:szCs w:val="22"/>
        </w:rPr>
        <w:t>13</w:t>
      </w:r>
      <w:r w:rsidRPr="00574EAF">
        <w:rPr>
          <w:rFonts w:ascii="Arial" w:hAnsi="Arial" w:cs="Arial"/>
          <w:sz w:val="22"/>
          <w:szCs w:val="22"/>
        </w:rPr>
        <w:fldChar w:fldCharType="end"/>
      </w:r>
      <w:r w:rsidRPr="00574EAF">
        <w:rPr>
          <w:rFonts w:ascii="Arial" w:hAnsi="Arial" w:cs="Arial"/>
          <w:sz w:val="22"/>
          <w:szCs w:val="22"/>
        </w:rPr>
        <w:t xml:space="preserve"> - Road Traffic Forecast</w:t>
      </w:r>
      <w:bookmarkEnd w:id="114"/>
    </w:p>
    <w:p w14:paraId="52E748B8" w14:textId="364ED42D" w:rsidR="007972FF" w:rsidRPr="009D1EDB" w:rsidRDefault="007972FF" w:rsidP="00F21C7A">
      <w:pPr>
        <w:spacing w:line="360" w:lineRule="auto"/>
        <w:jc w:val="both"/>
        <w:rPr>
          <w:rFonts w:ascii="Arial" w:hAnsi="Arial" w:cs="Arial"/>
        </w:rPr>
      </w:pPr>
      <w:r>
        <w:rPr>
          <w:rFonts w:ascii="Arial" w:hAnsi="Arial" w:cs="Arial"/>
        </w:rPr>
        <w:t>Note: R</w:t>
      </w:r>
      <w:r w:rsidRPr="009D1EDB">
        <w:rPr>
          <w:rFonts w:ascii="Arial" w:hAnsi="Arial" w:cs="Arial"/>
        </w:rPr>
        <w:t xml:space="preserve">egional traffic growth rates and reductions in tailpipe emissions </w:t>
      </w:r>
      <w:r>
        <w:rPr>
          <w:rFonts w:ascii="Arial" w:hAnsi="Arial" w:cs="Arial"/>
        </w:rPr>
        <w:t xml:space="preserve">were available between </w:t>
      </w:r>
      <w:r w:rsidRPr="009D1EDB">
        <w:rPr>
          <w:rFonts w:ascii="Arial" w:hAnsi="Arial" w:cs="Arial"/>
        </w:rPr>
        <w:t xml:space="preserve">2015 </w:t>
      </w:r>
      <w:r>
        <w:rPr>
          <w:rFonts w:ascii="Arial" w:hAnsi="Arial" w:cs="Arial"/>
        </w:rPr>
        <w:t xml:space="preserve">and 2050 </w:t>
      </w:r>
      <w:r w:rsidR="00380FD4">
        <w:rPr>
          <w:rFonts w:ascii="Arial" w:hAnsi="Arial" w:cs="Arial"/>
        </w:rPr>
        <w:t xml:space="preserve">at </w:t>
      </w:r>
      <w:r w:rsidR="002F289B">
        <w:rPr>
          <w:rFonts w:ascii="Arial" w:hAnsi="Arial" w:cs="Arial"/>
        </w:rPr>
        <w:t>5-year</w:t>
      </w:r>
      <w:r w:rsidR="00380FD4">
        <w:rPr>
          <w:rFonts w:ascii="Arial" w:hAnsi="Arial" w:cs="Arial"/>
        </w:rPr>
        <w:t xml:space="preserve"> intervals</w:t>
      </w:r>
      <w:r w:rsidR="00A16851">
        <w:rPr>
          <w:rFonts w:ascii="Arial" w:hAnsi="Arial" w:cs="Arial"/>
        </w:rPr>
        <w:t xml:space="preserve">. </w:t>
      </w:r>
      <w:r w:rsidR="0066217C">
        <w:rPr>
          <w:rFonts w:ascii="Arial" w:hAnsi="Arial" w:cs="Arial"/>
        </w:rPr>
        <w:t xml:space="preserve">The carbon calculator </w:t>
      </w:r>
      <w:r w:rsidR="00B7045C">
        <w:rPr>
          <w:rFonts w:ascii="Arial" w:hAnsi="Arial" w:cs="Arial"/>
        </w:rPr>
        <w:t xml:space="preserve">design tool </w:t>
      </w:r>
      <w:r w:rsidR="0066217C">
        <w:rPr>
          <w:rFonts w:ascii="Arial" w:hAnsi="Arial" w:cs="Arial"/>
        </w:rPr>
        <w:t xml:space="preserve">was developed in </w:t>
      </w:r>
      <w:r w:rsidR="009E64E8">
        <w:rPr>
          <w:rFonts w:ascii="Arial" w:hAnsi="Arial" w:cs="Arial"/>
        </w:rPr>
        <w:t>2013</w:t>
      </w:r>
      <w:r w:rsidR="008E4569">
        <w:rPr>
          <w:rFonts w:ascii="Arial" w:hAnsi="Arial" w:cs="Arial"/>
        </w:rPr>
        <w:t>,</w:t>
      </w:r>
      <w:r w:rsidR="009E64E8">
        <w:rPr>
          <w:rFonts w:ascii="Arial" w:hAnsi="Arial" w:cs="Arial"/>
        </w:rPr>
        <w:t xml:space="preserve"> therefore emissions from lane and road closures would have been based on</w:t>
      </w:r>
      <w:r w:rsidR="00B7045C">
        <w:rPr>
          <w:rFonts w:ascii="Arial" w:hAnsi="Arial" w:cs="Arial"/>
        </w:rPr>
        <w:t xml:space="preserve"> traffic volumes and tail pipe emissions from 2013. </w:t>
      </w:r>
      <w:r w:rsidR="00A16851">
        <w:rPr>
          <w:rFonts w:ascii="Arial" w:hAnsi="Arial" w:cs="Arial"/>
        </w:rPr>
        <w:t>T</w:t>
      </w:r>
      <w:r w:rsidRPr="009D1EDB">
        <w:rPr>
          <w:rFonts w:ascii="Arial" w:hAnsi="Arial" w:cs="Arial"/>
        </w:rPr>
        <w:t>he traffic growth rate and percentage reduction in vehicle emissions between 2013 and 2015 was not available</w:t>
      </w:r>
      <w:r>
        <w:rPr>
          <w:rFonts w:ascii="Arial" w:hAnsi="Arial" w:cs="Arial"/>
        </w:rPr>
        <w:t xml:space="preserve"> and subsequently not applied</w:t>
      </w:r>
      <w:r w:rsidRPr="009D1EDB">
        <w:rPr>
          <w:rFonts w:ascii="Arial" w:hAnsi="Arial" w:cs="Arial"/>
        </w:rPr>
        <w:t>.</w:t>
      </w:r>
    </w:p>
    <w:p w14:paraId="16E202FC" w14:textId="5B68DB8F" w:rsidR="00E31B47" w:rsidRPr="00E6059A" w:rsidRDefault="00E31B47" w:rsidP="00E6059A">
      <w:pPr>
        <w:sectPr w:rsidR="00E31B47" w:rsidRPr="00E6059A" w:rsidSect="009C5C56">
          <w:pgSz w:w="16838" w:h="11906" w:orient="landscape"/>
          <w:pgMar w:top="1440" w:right="1440" w:bottom="1440" w:left="1440" w:header="708" w:footer="708" w:gutter="0"/>
          <w:cols w:space="708"/>
          <w:titlePg/>
          <w:docGrid w:linePitch="360"/>
        </w:sectPr>
      </w:pPr>
    </w:p>
    <w:p w14:paraId="224CB822" w14:textId="1E7C27E0" w:rsidR="00A33756" w:rsidRDefault="00A33756" w:rsidP="00A33756">
      <w:pPr>
        <w:pStyle w:val="Heading2"/>
        <w:spacing w:after="240"/>
        <w:rPr>
          <w:rFonts w:ascii="Arial" w:eastAsia="Times New Roman" w:hAnsi="Arial" w:cs="Arial"/>
          <w:b/>
          <w:bCs/>
          <w:color w:val="auto"/>
          <w:sz w:val="24"/>
          <w:szCs w:val="24"/>
          <w:lang w:eastAsia="en-GB"/>
        </w:rPr>
      </w:pPr>
      <w:bookmarkStart w:id="115" w:name="_Toc66868911"/>
      <w:r>
        <w:rPr>
          <w:rFonts w:ascii="Arial" w:eastAsia="Times New Roman" w:hAnsi="Arial" w:cs="Arial"/>
          <w:b/>
          <w:bCs/>
          <w:color w:val="auto"/>
          <w:sz w:val="24"/>
          <w:szCs w:val="24"/>
          <w:lang w:eastAsia="en-GB"/>
        </w:rPr>
        <w:t>Carbon Values</w:t>
      </w:r>
      <w:bookmarkEnd w:id="115"/>
    </w:p>
    <w:p w14:paraId="5B63421F" w14:textId="47680A92" w:rsidR="00227B45" w:rsidRPr="009D1EDB" w:rsidRDefault="00227B45" w:rsidP="00F21C7A">
      <w:pPr>
        <w:spacing w:line="360" w:lineRule="auto"/>
        <w:jc w:val="both"/>
        <w:rPr>
          <w:rFonts w:ascii="Arial" w:hAnsi="Arial" w:cs="Arial"/>
        </w:rPr>
      </w:pPr>
      <w:r w:rsidRPr="009D1EDB">
        <w:rPr>
          <w:rFonts w:ascii="Arial" w:hAnsi="Arial" w:cs="Arial"/>
        </w:rPr>
        <w:t xml:space="preserve">The </w:t>
      </w:r>
      <w:r>
        <w:rPr>
          <w:rFonts w:ascii="Arial" w:hAnsi="Arial" w:cs="Arial"/>
        </w:rPr>
        <w:t xml:space="preserve">total </w:t>
      </w:r>
      <w:r w:rsidRPr="009D1EDB">
        <w:rPr>
          <w:rFonts w:ascii="Arial" w:hAnsi="Arial" w:cs="Arial"/>
        </w:rPr>
        <w:t xml:space="preserve">carbon emissions </w:t>
      </w:r>
      <w:r>
        <w:rPr>
          <w:rFonts w:ascii="Arial" w:hAnsi="Arial" w:cs="Arial"/>
        </w:rPr>
        <w:t xml:space="preserve">arising </w:t>
      </w:r>
      <w:r w:rsidRPr="009D1EDB">
        <w:rPr>
          <w:rFonts w:ascii="Arial" w:hAnsi="Arial" w:cs="Arial"/>
        </w:rPr>
        <w:t xml:space="preserve">from maintenance </w:t>
      </w:r>
      <w:r>
        <w:rPr>
          <w:rFonts w:ascii="Arial" w:hAnsi="Arial" w:cs="Arial"/>
        </w:rPr>
        <w:t xml:space="preserve">activities in each year of the analysis period for both strategies </w:t>
      </w:r>
      <w:r w:rsidRPr="009D1EDB">
        <w:rPr>
          <w:rFonts w:ascii="Arial" w:hAnsi="Arial" w:cs="Arial"/>
        </w:rPr>
        <w:t>w</w:t>
      </w:r>
      <w:r>
        <w:rPr>
          <w:rFonts w:ascii="Arial" w:hAnsi="Arial" w:cs="Arial"/>
        </w:rPr>
        <w:t>as then</w:t>
      </w:r>
      <w:r w:rsidRPr="009D1EDB">
        <w:rPr>
          <w:rFonts w:ascii="Arial" w:hAnsi="Arial" w:cs="Arial"/>
        </w:rPr>
        <w:t xml:space="preserve"> monetised using the UK social values of carbon for sectors not covered by EU ETS </w:t>
      </w:r>
      <w:r>
        <w:rPr>
          <w:rFonts w:ascii="Arial" w:hAnsi="Arial" w:cs="Arial"/>
        </w:rPr>
        <w:t>(</w:t>
      </w:r>
      <w:r w:rsidRPr="009D1EDB">
        <w:rPr>
          <w:rFonts w:ascii="Arial" w:hAnsi="Arial" w:cs="Arial"/>
        </w:rPr>
        <w:t>central price of carbon</w:t>
      </w:r>
      <w:r>
        <w:rPr>
          <w:rFonts w:ascii="Arial" w:hAnsi="Arial" w:cs="Arial"/>
        </w:rPr>
        <w:t>)</w:t>
      </w:r>
      <w:r w:rsidRPr="009D1EDB">
        <w:rPr>
          <w:rFonts w:ascii="Arial" w:hAnsi="Arial" w:cs="Arial"/>
        </w:rPr>
        <w:t>. The values were inflated to the base year (2020)</w:t>
      </w:r>
      <w:r w:rsidRPr="00227B45">
        <w:rPr>
          <w:rFonts w:ascii="Arial" w:hAnsi="Arial" w:cs="Arial"/>
          <w:lang w:eastAsia="en-GB"/>
        </w:rPr>
        <w:t xml:space="preserve"> </w:t>
      </w:r>
      <w:r>
        <w:rPr>
          <w:rFonts w:ascii="Arial" w:hAnsi="Arial" w:cs="Arial"/>
          <w:lang w:eastAsia="en-GB"/>
        </w:rPr>
        <w:t xml:space="preserve">using the Bank of England’s inflation calculator. </w:t>
      </w:r>
      <w:r w:rsidRPr="005A2351">
        <w:rPr>
          <w:rFonts w:ascii="Arial" w:hAnsi="Arial" w:cs="Arial"/>
          <w:lang w:eastAsia="en-GB"/>
        </w:rPr>
        <w:t>However, the inflation calculator only went as far as 2019, so 0% inflation was assumed between 2019-2020.</w:t>
      </w:r>
      <w:r>
        <w:rPr>
          <w:rFonts w:ascii="Arial" w:hAnsi="Arial" w:cs="Arial"/>
          <w:lang w:eastAsia="en-GB"/>
        </w:rPr>
        <w:t xml:space="preserve"> </w:t>
      </w:r>
      <w:r w:rsidR="00CD1AE9">
        <w:rPr>
          <w:rFonts w:ascii="Arial" w:hAnsi="Arial" w:cs="Arial"/>
          <w:lang w:eastAsia="en-GB"/>
        </w:rPr>
        <w:t xml:space="preserve">Discounted </w:t>
      </w:r>
      <w:r w:rsidR="0061394F">
        <w:rPr>
          <w:rFonts w:ascii="Arial" w:hAnsi="Arial" w:cs="Arial"/>
          <w:lang w:eastAsia="en-GB"/>
        </w:rPr>
        <w:t xml:space="preserve">carbon values used in this study are shown in Table 14. </w:t>
      </w:r>
      <w:r w:rsidRPr="009D1EDB">
        <w:rPr>
          <w:rFonts w:ascii="Arial" w:hAnsi="Arial" w:cs="Arial"/>
        </w:rPr>
        <w:t xml:space="preserve">As </w:t>
      </w:r>
      <w:r>
        <w:rPr>
          <w:rFonts w:ascii="Arial" w:hAnsi="Arial" w:cs="Arial"/>
        </w:rPr>
        <w:t xml:space="preserve">carbon </w:t>
      </w:r>
      <w:r w:rsidRPr="009D1EDB">
        <w:rPr>
          <w:rFonts w:ascii="Arial" w:hAnsi="Arial" w:cs="Arial"/>
        </w:rPr>
        <w:t xml:space="preserve">prices were only provided at 10-year intervals, interpolation was used to determine the price of carbon for each year in the analysis period. </w:t>
      </w:r>
    </w:p>
    <w:p w14:paraId="74361F7F" w14:textId="77777777" w:rsidR="00227B45" w:rsidRDefault="00227B45" w:rsidP="00F36E29">
      <w:pPr>
        <w:spacing w:line="360" w:lineRule="auto"/>
        <w:jc w:val="center"/>
        <w:rPr>
          <w:rFonts w:ascii="Arial" w:hAnsi="Arial" w:cs="Arial"/>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984"/>
        <w:gridCol w:w="1984"/>
        <w:gridCol w:w="1984"/>
      </w:tblGrid>
      <w:tr w:rsidR="005D3EAA" w14:paraId="6BC24713" w14:textId="77777777" w:rsidTr="00574EAF">
        <w:trPr>
          <w:jc w:val="center"/>
        </w:trPr>
        <w:tc>
          <w:tcPr>
            <w:tcW w:w="6940" w:type="dxa"/>
            <w:gridSpan w:val="4"/>
            <w:shd w:val="clear" w:color="auto" w:fill="000099"/>
          </w:tcPr>
          <w:p w14:paraId="6E5270E7" w14:textId="4A2F0608" w:rsidR="005D3EAA" w:rsidRPr="00AE1665" w:rsidRDefault="005D3EAA" w:rsidP="00F36E29">
            <w:pPr>
              <w:jc w:val="center"/>
              <w:rPr>
                <w:rFonts w:ascii="Arial" w:eastAsia="Times New Roman" w:hAnsi="Arial" w:cs="Arial"/>
                <w:b/>
                <w:bCs/>
                <w:lang w:eastAsia="en-GB"/>
              </w:rPr>
            </w:pPr>
            <w:r w:rsidRPr="00AE1665">
              <w:rPr>
                <w:rFonts w:ascii="Arial" w:hAnsi="Arial" w:cs="Arial"/>
                <w:b/>
                <w:bCs/>
              </w:rPr>
              <w:t xml:space="preserve">UK social values of carbon (£/tCO2e at 2009 prices </w:t>
            </w:r>
            <w:r w:rsidRPr="004C6E96">
              <w:rPr>
                <w:rFonts w:ascii="Arial" w:hAnsi="Arial" w:cs="Arial"/>
                <w:b/>
                <w:bCs/>
                <w:color w:val="FFFFFF" w:themeColor="background1"/>
              </w:rPr>
              <w:t xml:space="preserve">+ 35% </w:t>
            </w:r>
            <w:r w:rsidRPr="00AE1665">
              <w:rPr>
                <w:rFonts w:ascii="Arial" w:hAnsi="Arial" w:cs="Arial"/>
                <w:b/>
                <w:bCs/>
              </w:rPr>
              <w:t>inflation)</w:t>
            </w:r>
          </w:p>
        </w:tc>
      </w:tr>
      <w:tr w:rsidR="00106D93" w14:paraId="4DD1D0E8" w14:textId="77777777" w:rsidTr="00574EAF">
        <w:trPr>
          <w:jc w:val="center"/>
        </w:trPr>
        <w:tc>
          <w:tcPr>
            <w:tcW w:w="988" w:type="dxa"/>
            <w:shd w:val="clear" w:color="auto" w:fill="99CCFF"/>
          </w:tcPr>
          <w:p w14:paraId="172D992B" w14:textId="4924FF1D" w:rsidR="00106D93" w:rsidRPr="00AE1665" w:rsidRDefault="00106D93" w:rsidP="00AE1665">
            <w:pPr>
              <w:rPr>
                <w:rFonts w:ascii="Arial" w:eastAsia="Times New Roman" w:hAnsi="Arial" w:cs="Arial"/>
                <w:b/>
                <w:bCs/>
                <w:color w:val="000099"/>
                <w:lang w:eastAsia="en-GB"/>
              </w:rPr>
            </w:pPr>
            <w:r w:rsidRPr="00AE1665">
              <w:rPr>
                <w:rFonts w:ascii="Arial" w:eastAsia="Times New Roman" w:hAnsi="Arial" w:cs="Arial"/>
                <w:b/>
                <w:bCs/>
                <w:color w:val="000099"/>
                <w:lang w:eastAsia="en-GB"/>
              </w:rPr>
              <w:t>Year</w:t>
            </w:r>
          </w:p>
        </w:tc>
        <w:tc>
          <w:tcPr>
            <w:tcW w:w="1984" w:type="dxa"/>
            <w:shd w:val="clear" w:color="auto" w:fill="99CCFF"/>
          </w:tcPr>
          <w:p w14:paraId="46D4AF18" w14:textId="63F2AFA7" w:rsidR="00106D93" w:rsidRPr="00AE1665" w:rsidRDefault="00107D1A" w:rsidP="00AE1665">
            <w:pPr>
              <w:rPr>
                <w:rFonts w:ascii="Arial" w:eastAsia="Times New Roman" w:hAnsi="Arial" w:cs="Arial"/>
                <w:b/>
                <w:bCs/>
                <w:color w:val="000099"/>
                <w:lang w:eastAsia="en-GB"/>
              </w:rPr>
            </w:pPr>
            <w:r w:rsidRPr="00AE1665">
              <w:rPr>
                <w:rFonts w:ascii="Arial" w:eastAsia="Times New Roman" w:hAnsi="Arial" w:cs="Arial"/>
                <w:b/>
                <w:bCs/>
                <w:color w:val="000099"/>
                <w:lang w:eastAsia="en-GB"/>
              </w:rPr>
              <w:t>(</w:t>
            </w:r>
            <w:r w:rsidR="006D1BBE" w:rsidRPr="00AE1665">
              <w:rPr>
                <w:rFonts w:ascii="Arial" w:eastAsia="Times New Roman" w:hAnsi="Arial" w:cs="Arial"/>
                <w:b/>
                <w:bCs/>
                <w:color w:val="000099"/>
                <w:lang w:eastAsia="en-GB"/>
              </w:rPr>
              <w:t xml:space="preserve">Sectors </w:t>
            </w:r>
            <w:r w:rsidR="00DE7C60" w:rsidRPr="00AE1665">
              <w:rPr>
                <w:rFonts w:ascii="Arial" w:eastAsia="Times New Roman" w:hAnsi="Arial" w:cs="Arial"/>
                <w:b/>
                <w:bCs/>
                <w:color w:val="000099"/>
                <w:lang w:eastAsia="en-GB"/>
              </w:rPr>
              <w:t>not covered by EU ETS – Central Price  (</w:t>
            </w:r>
            <w:r w:rsidRPr="00AE1665">
              <w:rPr>
                <w:rFonts w:ascii="Arial" w:eastAsia="Times New Roman" w:hAnsi="Arial" w:cs="Arial"/>
                <w:b/>
                <w:bCs/>
                <w:color w:val="000099"/>
                <w:lang w:eastAsia="en-GB"/>
              </w:rPr>
              <w:t>£/tCO2e at 2009 prices</w:t>
            </w:r>
            <w:r w:rsidR="00DE7C60" w:rsidRPr="00AE1665">
              <w:rPr>
                <w:rFonts w:ascii="Arial" w:eastAsia="Times New Roman" w:hAnsi="Arial" w:cs="Arial"/>
                <w:b/>
                <w:bCs/>
                <w:color w:val="000099"/>
                <w:lang w:eastAsia="en-GB"/>
              </w:rPr>
              <w:t>)</w:t>
            </w:r>
          </w:p>
        </w:tc>
        <w:tc>
          <w:tcPr>
            <w:tcW w:w="1984" w:type="dxa"/>
            <w:shd w:val="clear" w:color="auto" w:fill="99CCFF"/>
          </w:tcPr>
          <w:p w14:paraId="73CC62EC" w14:textId="72A7C1CA" w:rsidR="00106D93" w:rsidRPr="00AE1665" w:rsidRDefault="00107D1A" w:rsidP="00AE1665">
            <w:pPr>
              <w:rPr>
                <w:rFonts w:ascii="Arial" w:eastAsia="Times New Roman" w:hAnsi="Arial" w:cs="Arial"/>
                <w:b/>
                <w:bCs/>
                <w:color w:val="000099"/>
                <w:lang w:eastAsia="en-GB"/>
              </w:rPr>
            </w:pPr>
            <w:r w:rsidRPr="00AE1665">
              <w:rPr>
                <w:rFonts w:ascii="Arial" w:eastAsia="Times New Roman" w:hAnsi="Arial" w:cs="Arial"/>
                <w:b/>
                <w:bCs/>
                <w:color w:val="000099"/>
                <w:lang w:eastAsia="en-GB"/>
              </w:rPr>
              <w:t xml:space="preserve">(£/tCO2e at 2009 prices + </w:t>
            </w:r>
            <w:r w:rsidRPr="004C6E96">
              <w:rPr>
                <w:rFonts w:ascii="Arial" w:eastAsia="Times New Roman" w:hAnsi="Arial" w:cs="Arial"/>
                <w:b/>
                <w:bCs/>
                <w:color w:val="1A0FA4" w:themeColor="accent1" w:themeShade="BF"/>
                <w:lang w:eastAsia="en-GB"/>
              </w:rPr>
              <w:t xml:space="preserve">35% </w:t>
            </w:r>
            <w:r w:rsidRPr="00AE1665">
              <w:rPr>
                <w:rFonts w:ascii="Arial" w:eastAsia="Times New Roman" w:hAnsi="Arial" w:cs="Arial"/>
                <w:b/>
                <w:bCs/>
                <w:color w:val="000099"/>
                <w:lang w:eastAsia="en-GB"/>
              </w:rPr>
              <w:t>inflation</w:t>
            </w:r>
          </w:p>
        </w:tc>
        <w:tc>
          <w:tcPr>
            <w:tcW w:w="1984" w:type="dxa"/>
            <w:shd w:val="clear" w:color="auto" w:fill="99CCFF"/>
          </w:tcPr>
          <w:p w14:paraId="4B59C470" w14:textId="3E08D47C" w:rsidR="00106D93" w:rsidRPr="00AE1665" w:rsidRDefault="00106D93" w:rsidP="00AE1665">
            <w:pPr>
              <w:rPr>
                <w:rFonts w:ascii="Arial" w:eastAsia="Times New Roman" w:hAnsi="Arial" w:cs="Arial"/>
                <w:b/>
                <w:bCs/>
                <w:color w:val="000099"/>
                <w:lang w:eastAsia="en-GB"/>
              </w:rPr>
            </w:pPr>
            <w:r w:rsidRPr="00AE1665">
              <w:rPr>
                <w:rFonts w:ascii="Arial" w:eastAsia="Times New Roman" w:hAnsi="Arial" w:cs="Arial"/>
                <w:b/>
                <w:bCs/>
                <w:color w:val="000099"/>
                <w:lang w:eastAsia="en-GB"/>
              </w:rPr>
              <w:t xml:space="preserve">Discounted Price </w:t>
            </w:r>
          </w:p>
        </w:tc>
      </w:tr>
      <w:tr w:rsidR="005D3EAA" w14:paraId="78C96507" w14:textId="77777777" w:rsidTr="00574EAF">
        <w:trPr>
          <w:jc w:val="center"/>
        </w:trPr>
        <w:tc>
          <w:tcPr>
            <w:tcW w:w="988" w:type="dxa"/>
          </w:tcPr>
          <w:p w14:paraId="0548346B" w14:textId="13869D50" w:rsidR="005D3EAA" w:rsidRPr="00AE1665" w:rsidRDefault="005D3EAA" w:rsidP="00AE1665">
            <w:pPr>
              <w:rPr>
                <w:rFonts w:ascii="Arial" w:eastAsia="Times New Roman" w:hAnsi="Arial" w:cs="Arial"/>
                <w:lang w:eastAsia="en-GB"/>
              </w:rPr>
            </w:pPr>
            <w:r w:rsidRPr="00AE1665">
              <w:rPr>
                <w:rFonts w:ascii="Arial" w:eastAsia="Times New Roman" w:hAnsi="Arial" w:cs="Arial"/>
                <w:lang w:eastAsia="en-GB"/>
              </w:rPr>
              <w:t>2020</w:t>
            </w:r>
          </w:p>
        </w:tc>
        <w:tc>
          <w:tcPr>
            <w:tcW w:w="1984" w:type="dxa"/>
            <w:vAlign w:val="bottom"/>
          </w:tcPr>
          <w:p w14:paraId="3F23A13D" w14:textId="1A6EFAF8" w:rsidR="005D3EAA" w:rsidRPr="00AE1665" w:rsidRDefault="005D3EAA" w:rsidP="00AE1665">
            <w:pPr>
              <w:rPr>
                <w:rFonts w:ascii="Arial" w:eastAsia="Times New Roman" w:hAnsi="Arial" w:cs="Arial"/>
                <w:lang w:eastAsia="en-GB"/>
              </w:rPr>
            </w:pPr>
            <w:r w:rsidRPr="00AE1665">
              <w:rPr>
                <w:rFonts w:ascii="Arial" w:hAnsi="Arial" w:cs="Arial"/>
                <w:color w:val="000000"/>
              </w:rPr>
              <w:t>£60.00</w:t>
            </w:r>
          </w:p>
        </w:tc>
        <w:tc>
          <w:tcPr>
            <w:tcW w:w="1984" w:type="dxa"/>
            <w:vAlign w:val="bottom"/>
          </w:tcPr>
          <w:p w14:paraId="6CCABE51" w14:textId="1829EC91" w:rsidR="005D3EAA" w:rsidRPr="00AE1665" w:rsidRDefault="005D3EAA" w:rsidP="00AE1665">
            <w:pPr>
              <w:rPr>
                <w:rFonts w:ascii="Arial" w:eastAsia="Times New Roman" w:hAnsi="Arial" w:cs="Arial"/>
                <w:lang w:eastAsia="en-GB"/>
              </w:rPr>
            </w:pPr>
            <w:r w:rsidRPr="00AE1665">
              <w:rPr>
                <w:rFonts w:ascii="Arial" w:hAnsi="Arial" w:cs="Arial"/>
                <w:color w:val="000000"/>
              </w:rPr>
              <w:t>£81.00</w:t>
            </w:r>
          </w:p>
        </w:tc>
        <w:tc>
          <w:tcPr>
            <w:tcW w:w="1984" w:type="dxa"/>
            <w:vAlign w:val="bottom"/>
          </w:tcPr>
          <w:p w14:paraId="3E0FA212" w14:textId="16FA1EB5" w:rsidR="005D3EAA" w:rsidRPr="00AE1665" w:rsidRDefault="005D3EAA" w:rsidP="00AE1665">
            <w:pPr>
              <w:rPr>
                <w:rFonts w:ascii="Arial" w:eastAsia="Times New Roman" w:hAnsi="Arial" w:cs="Arial"/>
                <w:lang w:eastAsia="en-GB"/>
              </w:rPr>
            </w:pPr>
            <w:r w:rsidRPr="00AE1665">
              <w:rPr>
                <w:rFonts w:ascii="Arial" w:hAnsi="Arial" w:cs="Arial"/>
                <w:color w:val="000000"/>
              </w:rPr>
              <w:t>£81.00</w:t>
            </w:r>
          </w:p>
        </w:tc>
      </w:tr>
      <w:tr w:rsidR="005D3EAA" w14:paraId="3CAD5FD8" w14:textId="77777777" w:rsidTr="00574EAF">
        <w:trPr>
          <w:jc w:val="center"/>
        </w:trPr>
        <w:tc>
          <w:tcPr>
            <w:tcW w:w="988" w:type="dxa"/>
          </w:tcPr>
          <w:p w14:paraId="6135AB3C" w14:textId="225BAEB1" w:rsidR="005D3EAA" w:rsidRPr="00AE1665" w:rsidRDefault="005D3EAA" w:rsidP="00AE1665">
            <w:pPr>
              <w:rPr>
                <w:rFonts w:ascii="Arial" w:eastAsia="Times New Roman" w:hAnsi="Arial" w:cs="Arial"/>
                <w:lang w:eastAsia="en-GB"/>
              </w:rPr>
            </w:pPr>
            <w:r w:rsidRPr="00AE1665">
              <w:rPr>
                <w:rFonts w:ascii="Arial" w:eastAsia="Times New Roman" w:hAnsi="Arial" w:cs="Arial"/>
                <w:lang w:eastAsia="en-GB"/>
              </w:rPr>
              <w:t>2030</w:t>
            </w:r>
          </w:p>
        </w:tc>
        <w:tc>
          <w:tcPr>
            <w:tcW w:w="1984" w:type="dxa"/>
            <w:vAlign w:val="bottom"/>
          </w:tcPr>
          <w:p w14:paraId="77F1345E" w14:textId="7943DD20" w:rsidR="005D3EAA" w:rsidRPr="00AE1665" w:rsidRDefault="005D3EAA" w:rsidP="00AE1665">
            <w:pPr>
              <w:rPr>
                <w:rFonts w:ascii="Arial" w:eastAsia="Times New Roman" w:hAnsi="Arial" w:cs="Arial"/>
                <w:lang w:eastAsia="en-GB"/>
              </w:rPr>
            </w:pPr>
            <w:r w:rsidRPr="00AE1665">
              <w:rPr>
                <w:rFonts w:ascii="Arial" w:hAnsi="Arial" w:cs="Arial"/>
                <w:color w:val="000000"/>
              </w:rPr>
              <w:t>£70.00</w:t>
            </w:r>
          </w:p>
        </w:tc>
        <w:tc>
          <w:tcPr>
            <w:tcW w:w="1984" w:type="dxa"/>
            <w:vAlign w:val="bottom"/>
          </w:tcPr>
          <w:p w14:paraId="476BCA93" w14:textId="45E3D575" w:rsidR="005D3EAA" w:rsidRPr="00AE1665" w:rsidRDefault="005D3EAA" w:rsidP="00AE1665">
            <w:pPr>
              <w:rPr>
                <w:rFonts w:ascii="Arial" w:eastAsia="Times New Roman" w:hAnsi="Arial" w:cs="Arial"/>
                <w:lang w:eastAsia="en-GB"/>
              </w:rPr>
            </w:pPr>
            <w:r w:rsidRPr="00AE1665">
              <w:rPr>
                <w:rFonts w:ascii="Arial" w:hAnsi="Arial" w:cs="Arial"/>
                <w:color w:val="000000"/>
              </w:rPr>
              <w:t>£94.50</w:t>
            </w:r>
          </w:p>
        </w:tc>
        <w:tc>
          <w:tcPr>
            <w:tcW w:w="1984" w:type="dxa"/>
            <w:vAlign w:val="bottom"/>
          </w:tcPr>
          <w:p w14:paraId="62F71A00" w14:textId="781D69C4" w:rsidR="005D3EAA" w:rsidRPr="00AE1665" w:rsidRDefault="005D3EAA" w:rsidP="00AE1665">
            <w:pPr>
              <w:rPr>
                <w:rFonts w:ascii="Arial" w:eastAsia="Times New Roman" w:hAnsi="Arial" w:cs="Arial"/>
                <w:lang w:eastAsia="en-GB"/>
              </w:rPr>
            </w:pPr>
            <w:r w:rsidRPr="00AE1665">
              <w:rPr>
                <w:rFonts w:ascii="Arial" w:hAnsi="Arial" w:cs="Arial"/>
                <w:color w:val="000000"/>
              </w:rPr>
              <w:t>£66.99</w:t>
            </w:r>
          </w:p>
        </w:tc>
      </w:tr>
      <w:tr w:rsidR="005D3EAA" w14:paraId="6F9C54EF" w14:textId="77777777" w:rsidTr="00574EAF">
        <w:trPr>
          <w:jc w:val="center"/>
        </w:trPr>
        <w:tc>
          <w:tcPr>
            <w:tcW w:w="988" w:type="dxa"/>
          </w:tcPr>
          <w:p w14:paraId="6242C63F" w14:textId="60871590" w:rsidR="005D3EAA" w:rsidRPr="00AE1665" w:rsidRDefault="005D3EAA" w:rsidP="00AE1665">
            <w:pPr>
              <w:rPr>
                <w:rFonts w:ascii="Arial" w:eastAsia="Times New Roman" w:hAnsi="Arial" w:cs="Arial"/>
                <w:lang w:eastAsia="en-GB"/>
              </w:rPr>
            </w:pPr>
            <w:r w:rsidRPr="00AE1665">
              <w:rPr>
                <w:rFonts w:ascii="Arial" w:eastAsia="Times New Roman" w:hAnsi="Arial" w:cs="Arial"/>
                <w:lang w:eastAsia="en-GB"/>
              </w:rPr>
              <w:t>2040</w:t>
            </w:r>
          </w:p>
        </w:tc>
        <w:tc>
          <w:tcPr>
            <w:tcW w:w="1984" w:type="dxa"/>
            <w:vAlign w:val="bottom"/>
          </w:tcPr>
          <w:p w14:paraId="2EB38BB4" w14:textId="1E1DD3A4" w:rsidR="005D3EAA" w:rsidRPr="00AE1665" w:rsidRDefault="005D3EAA" w:rsidP="00AE1665">
            <w:pPr>
              <w:rPr>
                <w:rFonts w:ascii="Arial" w:eastAsia="Times New Roman" w:hAnsi="Arial" w:cs="Arial"/>
                <w:color w:val="FF0000"/>
                <w:lang w:eastAsia="en-GB"/>
              </w:rPr>
            </w:pPr>
            <w:r w:rsidRPr="00AE1665">
              <w:rPr>
                <w:rFonts w:ascii="Arial" w:hAnsi="Arial" w:cs="Arial"/>
                <w:color w:val="000000"/>
              </w:rPr>
              <w:t>£135.00</w:t>
            </w:r>
          </w:p>
        </w:tc>
        <w:tc>
          <w:tcPr>
            <w:tcW w:w="1984" w:type="dxa"/>
            <w:vAlign w:val="bottom"/>
          </w:tcPr>
          <w:p w14:paraId="63A387FE" w14:textId="17C57BB8" w:rsidR="005D3EAA" w:rsidRPr="00AE1665" w:rsidRDefault="005D3EAA" w:rsidP="00AE1665">
            <w:pPr>
              <w:rPr>
                <w:rFonts w:ascii="Arial" w:eastAsia="Times New Roman" w:hAnsi="Arial" w:cs="Arial"/>
                <w:color w:val="FF0000"/>
                <w:lang w:eastAsia="en-GB"/>
              </w:rPr>
            </w:pPr>
            <w:r w:rsidRPr="00AE1665">
              <w:rPr>
                <w:rFonts w:ascii="Arial" w:hAnsi="Arial" w:cs="Arial"/>
                <w:color w:val="000000"/>
              </w:rPr>
              <w:t>£182.25</w:t>
            </w:r>
          </w:p>
        </w:tc>
        <w:tc>
          <w:tcPr>
            <w:tcW w:w="1984" w:type="dxa"/>
            <w:vAlign w:val="bottom"/>
          </w:tcPr>
          <w:p w14:paraId="36BC447E" w14:textId="2CD5E9A7" w:rsidR="005D3EAA" w:rsidRPr="00AE1665" w:rsidRDefault="005D3EAA" w:rsidP="00AE1665">
            <w:pPr>
              <w:rPr>
                <w:rFonts w:ascii="Arial" w:eastAsia="Times New Roman" w:hAnsi="Arial" w:cs="Arial"/>
                <w:lang w:eastAsia="en-GB"/>
              </w:rPr>
            </w:pPr>
            <w:r w:rsidRPr="00AE1665">
              <w:rPr>
                <w:rFonts w:ascii="Arial" w:hAnsi="Arial" w:cs="Arial"/>
                <w:color w:val="000000"/>
              </w:rPr>
              <w:t>£91.59</w:t>
            </w:r>
          </w:p>
        </w:tc>
      </w:tr>
      <w:tr w:rsidR="005D3EAA" w14:paraId="7FBB4938" w14:textId="77777777" w:rsidTr="00574EAF">
        <w:trPr>
          <w:jc w:val="center"/>
        </w:trPr>
        <w:tc>
          <w:tcPr>
            <w:tcW w:w="988" w:type="dxa"/>
          </w:tcPr>
          <w:p w14:paraId="5B7359BF" w14:textId="376EFA99" w:rsidR="005D3EAA" w:rsidRPr="00AE1665" w:rsidRDefault="005D3EAA" w:rsidP="00AE1665">
            <w:pPr>
              <w:rPr>
                <w:rFonts w:ascii="Arial" w:eastAsia="Times New Roman" w:hAnsi="Arial" w:cs="Arial"/>
                <w:lang w:eastAsia="en-GB"/>
              </w:rPr>
            </w:pPr>
            <w:r w:rsidRPr="00AE1665">
              <w:rPr>
                <w:rFonts w:ascii="Arial" w:eastAsia="Times New Roman" w:hAnsi="Arial" w:cs="Arial"/>
                <w:lang w:eastAsia="en-GB"/>
              </w:rPr>
              <w:t>2050</w:t>
            </w:r>
          </w:p>
        </w:tc>
        <w:tc>
          <w:tcPr>
            <w:tcW w:w="1984" w:type="dxa"/>
            <w:vAlign w:val="bottom"/>
          </w:tcPr>
          <w:p w14:paraId="16E85F54" w14:textId="0ECB2186" w:rsidR="005D3EAA" w:rsidRPr="00AE1665" w:rsidRDefault="005D3EAA" w:rsidP="00AE1665">
            <w:pPr>
              <w:rPr>
                <w:rFonts w:ascii="Arial" w:eastAsia="Times New Roman" w:hAnsi="Arial" w:cs="Arial"/>
                <w:color w:val="FF0000"/>
                <w:lang w:eastAsia="en-GB"/>
              </w:rPr>
            </w:pPr>
            <w:r w:rsidRPr="00AE1665">
              <w:rPr>
                <w:rFonts w:ascii="Arial" w:hAnsi="Arial" w:cs="Arial"/>
                <w:color w:val="000000"/>
              </w:rPr>
              <w:t>£200.00</w:t>
            </w:r>
          </w:p>
        </w:tc>
        <w:tc>
          <w:tcPr>
            <w:tcW w:w="1984" w:type="dxa"/>
            <w:vAlign w:val="bottom"/>
          </w:tcPr>
          <w:p w14:paraId="3D0BB7CE" w14:textId="077FA177" w:rsidR="005D3EAA" w:rsidRPr="00AE1665" w:rsidRDefault="005D3EAA" w:rsidP="00AE1665">
            <w:pPr>
              <w:rPr>
                <w:rFonts w:ascii="Arial" w:eastAsia="Times New Roman" w:hAnsi="Arial" w:cs="Arial"/>
                <w:color w:val="FF0000"/>
                <w:lang w:eastAsia="en-GB"/>
              </w:rPr>
            </w:pPr>
            <w:r w:rsidRPr="00AE1665">
              <w:rPr>
                <w:rFonts w:ascii="Arial" w:hAnsi="Arial" w:cs="Arial"/>
                <w:color w:val="000000"/>
              </w:rPr>
              <w:t>£270.00</w:t>
            </w:r>
          </w:p>
        </w:tc>
        <w:tc>
          <w:tcPr>
            <w:tcW w:w="1984" w:type="dxa"/>
            <w:vAlign w:val="bottom"/>
          </w:tcPr>
          <w:p w14:paraId="7346D737" w14:textId="3AACB4FA" w:rsidR="005D3EAA" w:rsidRPr="00AE1665" w:rsidRDefault="005D3EAA" w:rsidP="00AE1665">
            <w:pPr>
              <w:rPr>
                <w:rFonts w:ascii="Arial" w:eastAsia="Times New Roman" w:hAnsi="Arial" w:cs="Arial"/>
                <w:lang w:eastAsia="en-GB"/>
              </w:rPr>
            </w:pPr>
            <w:r w:rsidRPr="00AE1665">
              <w:rPr>
                <w:rFonts w:ascii="Arial" w:hAnsi="Arial" w:cs="Arial"/>
                <w:color w:val="000000"/>
              </w:rPr>
              <w:t>£96.20</w:t>
            </w:r>
          </w:p>
        </w:tc>
      </w:tr>
      <w:tr w:rsidR="005D3EAA" w14:paraId="0650A9FC" w14:textId="77777777" w:rsidTr="00574EAF">
        <w:trPr>
          <w:jc w:val="center"/>
        </w:trPr>
        <w:tc>
          <w:tcPr>
            <w:tcW w:w="988" w:type="dxa"/>
          </w:tcPr>
          <w:p w14:paraId="4EF4ED71" w14:textId="4EB72E98" w:rsidR="005D3EAA" w:rsidRPr="00AE1665" w:rsidRDefault="005D3EAA" w:rsidP="00AE1665">
            <w:pPr>
              <w:rPr>
                <w:rFonts w:ascii="Arial" w:eastAsia="Times New Roman" w:hAnsi="Arial" w:cs="Arial"/>
                <w:lang w:eastAsia="en-GB"/>
              </w:rPr>
            </w:pPr>
            <w:r w:rsidRPr="00AE1665">
              <w:rPr>
                <w:rFonts w:ascii="Arial" w:eastAsia="Times New Roman" w:hAnsi="Arial" w:cs="Arial"/>
                <w:lang w:eastAsia="en-GB"/>
              </w:rPr>
              <w:t>2060</w:t>
            </w:r>
          </w:p>
        </w:tc>
        <w:tc>
          <w:tcPr>
            <w:tcW w:w="1984" w:type="dxa"/>
            <w:vAlign w:val="bottom"/>
          </w:tcPr>
          <w:p w14:paraId="2B9B4E09" w14:textId="51BC5539" w:rsidR="005D3EAA" w:rsidRPr="00AE1665" w:rsidRDefault="005D3EAA" w:rsidP="00AE1665">
            <w:pPr>
              <w:rPr>
                <w:rFonts w:ascii="Arial" w:eastAsia="Times New Roman" w:hAnsi="Arial" w:cs="Arial"/>
                <w:lang w:eastAsia="en-GB"/>
              </w:rPr>
            </w:pPr>
            <w:r w:rsidRPr="00AE1665">
              <w:rPr>
                <w:rFonts w:ascii="Arial" w:hAnsi="Arial" w:cs="Arial"/>
                <w:color w:val="000000"/>
              </w:rPr>
              <w:t>£266.00</w:t>
            </w:r>
          </w:p>
        </w:tc>
        <w:tc>
          <w:tcPr>
            <w:tcW w:w="1984" w:type="dxa"/>
            <w:vAlign w:val="bottom"/>
          </w:tcPr>
          <w:p w14:paraId="21FB2C6A" w14:textId="41DD57D7" w:rsidR="005D3EAA" w:rsidRPr="00AE1665" w:rsidRDefault="005D3EAA" w:rsidP="00AE1665">
            <w:pPr>
              <w:rPr>
                <w:rFonts w:ascii="Arial" w:eastAsia="Times New Roman" w:hAnsi="Arial" w:cs="Arial"/>
                <w:lang w:eastAsia="en-GB"/>
              </w:rPr>
            </w:pPr>
            <w:r w:rsidRPr="00AE1665">
              <w:rPr>
                <w:rFonts w:ascii="Arial" w:hAnsi="Arial" w:cs="Arial"/>
                <w:color w:val="000000"/>
              </w:rPr>
              <w:t>£359.10</w:t>
            </w:r>
          </w:p>
        </w:tc>
        <w:tc>
          <w:tcPr>
            <w:tcW w:w="1984" w:type="dxa"/>
            <w:vAlign w:val="bottom"/>
          </w:tcPr>
          <w:p w14:paraId="2545EAE2" w14:textId="359BC042" w:rsidR="005D3EAA" w:rsidRPr="00AE1665" w:rsidRDefault="005D3EAA" w:rsidP="00AE1665">
            <w:pPr>
              <w:rPr>
                <w:rFonts w:ascii="Arial" w:eastAsia="Times New Roman" w:hAnsi="Arial" w:cs="Arial"/>
                <w:highlight w:val="yellow"/>
                <w:lang w:eastAsia="en-GB"/>
              </w:rPr>
            </w:pPr>
            <w:r w:rsidRPr="00AE1665">
              <w:rPr>
                <w:rFonts w:ascii="Arial" w:hAnsi="Arial" w:cs="Arial"/>
                <w:color w:val="000000"/>
              </w:rPr>
              <w:t>£110.08</w:t>
            </w:r>
          </w:p>
        </w:tc>
      </w:tr>
      <w:tr w:rsidR="005D3EAA" w14:paraId="56296A1E" w14:textId="77777777" w:rsidTr="00574EAF">
        <w:trPr>
          <w:jc w:val="center"/>
        </w:trPr>
        <w:tc>
          <w:tcPr>
            <w:tcW w:w="988" w:type="dxa"/>
          </w:tcPr>
          <w:p w14:paraId="5F95DFC4" w14:textId="12183992" w:rsidR="005D3EAA" w:rsidRPr="00AE1665" w:rsidRDefault="005D3EAA" w:rsidP="00AE1665">
            <w:pPr>
              <w:rPr>
                <w:rFonts w:ascii="Arial" w:eastAsia="Times New Roman" w:hAnsi="Arial" w:cs="Arial"/>
                <w:lang w:eastAsia="en-GB"/>
              </w:rPr>
            </w:pPr>
            <w:r w:rsidRPr="00AE1665">
              <w:rPr>
                <w:rFonts w:ascii="Arial" w:eastAsia="Times New Roman" w:hAnsi="Arial" w:cs="Arial"/>
                <w:lang w:eastAsia="en-GB"/>
              </w:rPr>
              <w:t>2070</w:t>
            </w:r>
          </w:p>
        </w:tc>
        <w:tc>
          <w:tcPr>
            <w:tcW w:w="1984" w:type="dxa"/>
            <w:vAlign w:val="bottom"/>
          </w:tcPr>
          <w:p w14:paraId="0431BB40" w14:textId="2430A780" w:rsidR="005D3EAA" w:rsidRPr="00AE1665" w:rsidRDefault="005D3EAA" w:rsidP="00AE1665">
            <w:pPr>
              <w:rPr>
                <w:rFonts w:ascii="Arial" w:eastAsia="Times New Roman" w:hAnsi="Arial" w:cs="Arial"/>
                <w:lang w:eastAsia="en-GB"/>
              </w:rPr>
            </w:pPr>
            <w:r w:rsidRPr="00AE1665">
              <w:rPr>
                <w:rFonts w:ascii="Arial" w:hAnsi="Arial" w:cs="Arial"/>
                <w:color w:val="000000"/>
              </w:rPr>
              <w:t>£301.00</w:t>
            </w:r>
          </w:p>
        </w:tc>
        <w:tc>
          <w:tcPr>
            <w:tcW w:w="1984" w:type="dxa"/>
            <w:vAlign w:val="bottom"/>
          </w:tcPr>
          <w:p w14:paraId="6B88A490" w14:textId="2193CE82" w:rsidR="005D3EAA" w:rsidRPr="00AE1665" w:rsidRDefault="005D3EAA" w:rsidP="00AE1665">
            <w:pPr>
              <w:rPr>
                <w:rFonts w:ascii="Arial" w:eastAsia="Times New Roman" w:hAnsi="Arial" w:cs="Arial"/>
                <w:lang w:eastAsia="en-GB"/>
              </w:rPr>
            </w:pPr>
            <w:r w:rsidRPr="00AE1665">
              <w:rPr>
                <w:rFonts w:ascii="Arial" w:hAnsi="Arial" w:cs="Arial"/>
                <w:color w:val="000000"/>
              </w:rPr>
              <w:t>£406.35</w:t>
            </w:r>
          </w:p>
        </w:tc>
        <w:tc>
          <w:tcPr>
            <w:tcW w:w="1984" w:type="dxa"/>
            <w:vAlign w:val="bottom"/>
          </w:tcPr>
          <w:p w14:paraId="13B65D63" w14:textId="6EFC8EF3" w:rsidR="005D3EAA" w:rsidRPr="00AE1665" w:rsidRDefault="005D3EAA" w:rsidP="00AE1665">
            <w:pPr>
              <w:rPr>
                <w:rFonts w:ascii="Arial" w:eastAsia="Times New Roman" w:hAnsi="Arial" w:cs="Arial"/>
                <w:highlight w:val="yellow"/>
                <w:lang w:eastAsia="en-GB"/>
              </w:rPr>
            </w:pPr>
            <w:r w:rsidRPr="00AE1665">
              <w:rPr>
                <w:rFonts w:ascii="Arial" w:hAnsi="Arial" w:cs="Arial"/>
                <w:color w:val="000000"/>
              </w:rPr>
              <w:t>£92.69</w:t>
            </w:r>
          </w:p>
        </w:tc>
      </w:tr>
      <w:tr w:rsidR="005D3EAA" w14:paraId="1EBA1FE2" w14:textId="77777777" w:rsidTr="00574EAF">
        <w:trPr>
          <w:jc w:val="center"/>
        </w:trPr>
        <w:tc>
          <w:tcPr>
            <w:tcW w:w="988" w:type="dxa"/>
          </w:tcPr>
          <w:p w14:paraId="0DD8E1DC" w14:textId="328C747D" w:rsidR="005D3EAA" w:rsidRPr="00AE1665" w:rsidRDefault="005D3EAA" w:rsidP="00AE1665">
            <w:pPr>
              <w:rPr>
                <w:rFonts w:ascii="Arial" w:eastAsia="Times New Roman" w:hAnsi="Arial" w:cs="Arial"/>
                <w:lang w:eastAsia="en-GB"/>
              </w:rPr>
            </w:pPr>
            <w:r w:rsidRPr="00AE1665">
              <w:rPr>
                <w:rFonts w:ascii="Arial" w:eastAsia="Times New Roman" w:hAnsi="Arial" w:cs="Arial"/>
                <w:lang w:eastAsia="en-GB"/>
              </w:rPr>
              <w:t>2080</w:t>
            </w:r>
          </w:p>
        </w:tc>
        <w:tc>
          <w:tcPr>
            <w:tcW w:w="1984" w:type="dxa"/>
            <w:vAlign w:val="bottom"/>
          </w:tcPr>
          <w:p w14:paraId="3C0E212C" w14:textId="5D187E9E" w:rsidR="005D3EAA" w:rsidRPr="00AE1665" w:rsidRDefault="005D3EAA" w:rsidP="00AE1665">
            <w:pPr>
              <w:rPr>
                <w:rFonts w:ascii="Arial" w:hAnsi="Arial" w:cs="Arial"/>
                <w:color w:val="FF0000"/>
              </w:rPr>
            </w:pPr>
            <w:r w:rsidRPr="00AE1665">
              <w:rPr>
                <w:rFonts w:ascii="Arial" w:hAnsi="Arial" w:cs="Arial"/>
                <w:color w:val="000000"/>
              </w:rPr>
              <w:t>£306.00</w:t>
            </w:r>
          </w:p>
        </w:tc>
        <w:tc>
          <w:tcPr>
            <w:tcW w:w="1984" w:type="dxa"/>
            <w:vAlign w:val="bottom"/>
          </w:tcPr>
          <w:p w14:paraId="4C25EB00" w14:textId="167A22BC" w:rsidR="005D3EAA" w:rsidRPr="00AE1665" w:rsidRDefault="005D3EAA" w:rsidP="00AE1665">
            <w:pPr>
              <w:rPr>
                <w:rFonts w:ascii="Arial" w:hAnsi="Arial" w:cs="Arial"/>
                <w:color w:val="FF0000"/>
              </w:rPr>
            </w:pPr>
            <w:r w:rsidRPr="00AE1665">
              <w:rPr>
                <w:rFonts w:ascii="Arial" w:hAnsi="Arial" w:cs="Arial"/>
                <w:color w:val="000000"/>
              </w:rPr>
              <w:t>£413.10</w:t>
            </w:r>
          </w:p>
        </w:tc>
        <w:tc>
          <w:tcPr>
            <w:tcW w:w="1984" w:type="dxa"/>
            <w:vAlign w:val="bottom"/>
          </w:tcPr>
          <w:p w14:paraId="545D6A0C" w14:textId="3B2A3AEF" w:rsidR="005D3EAA" w:rsidRPr="00AE1665" w:rsidRDefault="005D3EAA" w:rsidP="00AE1665">
            <w:pPr>
              <w:rPr>
                <w:rFonts w:ascii="Arial" w:eastAsia="Times New Roman" w:hAnsi="Arial" w:cs="Arial"/>
                <w:highlight w:val="yellow"/>
                <w:lang w:eastAsia="en-GB"/>
              </w:rPr>
            </w:pPr>
            <w:r w:rsidRPr="00AE1665">
              <w:rPr>
                <w:rFonts w:ascii="Arial" w:hAnsi="Arial" w:cs="Arial"/>
                <w:color w:val="000000"/>
              </w:rPr>
              <w:t>£70.12</w:t>
            </w:r>
          </w:p>
        </w:tc>
      </w:tr>
      <w:tr w:rsidR="005D3EAA" w14:paraId="772A1616" w14:textId="77777777" w:rsidTr="00574EAF">
        <w:trPr>
          <w:jc w:val="center"/>
        </w:trPr>
        <w:tc>
          <w:tcPr>
            <w:tcW w:w="988" w:type="dxa"/>
          </w:tcPr>
          <w:p w14:paraId="6565EC8D" w14:textId="1AE9A6C6" w:rsidR="005D3EAA" w:rsidRPr="00AE1665" w:rsidRDefault="005D3EAA" w:rsidP="00AE1665">
            <w:pPr>
              <w:rPr>
                <w:rFonts w:ascii="Arial" w:eastAsia="Times New Roman" w:hAnsi="Arial" w:cs="Arial"/>
                <w:lang w:eastAsia="en-GB"/>
              </w:rPr>
            </w:pPr>
            <w:r w:rsidRPr="00AE1665">
              <w:rPr>
                <w:rFonts w:ascii="Arial" w:eastAsia="Times New Roman" w:hAnsi="Arial" w:cs="Arial"/>
                <w:lang w:eastAsia="en-GB"/>
              </w:rPr>
              <w:t>2090</w:t>
            </w:r>
          </w:p>
        </w:tc>
        <w:tc>
          <w:tcPr>
            <w:tcW w:w="1984" w:type="dxa"/>
            <w:vAlign w:val="bottom"/>
          </w:tcPr>
          <w:p w14:paraId="677B1ADD" w14:textId="1DEF6193" w:rsidR="005D3EAA" w:rsidRPr="00AE1665" w:rsidRDefault="005D3EAA" w:rsidP="00AE1665">
            <w:pPr>
              <w:rPr>
                <w:rFonts w:ascii="Arial" w:hAnsi="Arial" w:cs="Arial"/>
                <w:color w:val="FF0000"/>
              </w:rPr>
            </w:pPr>
            <w:r w:rsidRPr="00AE1665">
              <w:rPr>
                <w:rFonts w:ascii="Arial" w:hAnsi="Arial" w:cs="Arial"/>
                <w:color w:val="000000"/>
              </w:rPr>
              <w:t>£292.00</w:t>
            </w:r>
          </w:p>
        </w:tc>
        <w:tc>
          <w:tcPr>
            <w:tcW w:w="1984" w:type="dxa"/>
            <w:vAlign w:val="bottom"/>
          </w:tcPr>
          <w:p w14:paraId="27939584" w14:textId="3DC3AD30" w:rsidR="005D3EAA" w:rsidRPr="00AE1665" w:rsidRDefault="005D3EAA" w:rsidP="00AE1665">
            <w:pPr>
              <w:rPr>
                <w:rFonts w:ascii="Arial" w:hAnsi="Arial" w:cs="Arial"/>
                <w:color w:val="FF0000"/>
              </w:rPr>
            </w:pPr>
            <w:r w:rsidRPr="00AE1665">
              <w:rPr>
                <w:rFonts w:ascii="Arial" w:hAnsi="Arial" w:cs="Arial"/>
                <w:color w:val="000000"/>
              </w:rPr>
              <w:t>£394.20</w:t>
            </w:r>
          </w:p>
        </w:tc>
        <w:tc>
          <w:tcPr>
            <w:tcW w:w="1984" w:type="dxa"/>
            <w:vAlign w:val="bottom"/>
          </w:tcPr>
          <w:p w14:paraId="1230DA0E" w14:textId="740CA193" w:rsidR="005D3EAA" w:rsidRPr="00AE1665" w:rsidRDefault="005D3EAA" w:rsidP="00AE1665">
            <w:pPr>
              <w:rPr>
                <w:rFonts w:ascii="Arial" w:eastAsia="Times New Roman" w:hAnsi="Arial" w:cs="Arial"/>
                <w:highlight w:val="yellow"/>
                <w:lang w:eastAsia="en-GB"/>
              </w:rPr>
            </w:pPr>
            <w:r w:rsidRPr="00AE1665">
              <w:rPr>
                <w:rFonts w:ascii="Arial" w:hAnsi="Arial" w:cs="Arial"/>
                <w:color w:val="000000"/>
              </w:rPr>
              <w:t>£49.79</w:t>
            </w:r>
          </w:p>
        </w:tc>
      </w:tr>
      <w:tr w:rsidR="005D3EAA" w14:paraId="152A1416" w14:textId="77777777" w:rsidTr="00574EAF">
        <w:trPr>
          <w:jc w:val="center"/>
        </w:trPr>
        <w:tc>
          <w:tcPr>
            <w:tcW w:w="988" w:type="dxa"/>
          </w:tcPr>
          <w:p w14:paraId="249E4361" w14:textId="0D35E73A" w:rsidR="005D3EAA" w:rsidRPr="00AE1665" w:rsidRDefault="005D3EAA" w:rsidP="00AE1665">
            <w:pPr>
              <w:rPr>
                <w:rFonts w:ascii="Arial" w:eastAsia="Times New Roman" w:hAnsi="Arial" w:cs="Arial"/>
                <w:lang w:eastAsia="en-GB"/>
              </w:rPr>
            </w:pPr>
            <w:r w:rsidRPr="00AE1665">
              <w:rPr>
                <w:rFonts w:ascii="Arial" w:eastAsia="Times New Roman" w:hAnsi="Arial" w:cs="Arial"/>
                <w:lang w:eastAsia="en-GB"/>
              </w:rPr>
              <w:t>2100</w:t>
            </w:r>
          </w:p>
        </w:tc>
        <w:tc>
          <w:tcPr>
            <w:tcW w:w="1984" w:type="dxa"/>
            <w:vAlign w:val="bottom"/>
          </w:tcPr>
          <w:p w14:paraId="2C346FBD" w14:textId="36704582" w:rsidR="005D3EAA" w:rsidRPr="00AE1665" w:rsidRDefault="005D3EAA" w:rsidP="00AE1665">
            <w:pPr>
              <w:rPr>
                <w:rFonts w:ascii="Arial" w:hAnsi="Arial" w:cs="Arial"/>
                <w:color w:val="000000"/>
              </w:rPr>
            </w:pPr>
            <w:r w:rsidRPr="00AE1665">
              <w:rPr>
                <w:rFonts w:ascii="Arial" w:hAnsi="Arial" w:cs="Arial"/>
                <w:color w:val="000000"/>
              </w:rPr>
              <w:t>£268.00</w:t>
            </w:r>
          </w:p>
        </w:tc>
        <w:tc>
          <w:tcPr>
            <w:tcW w:w="1984" w:type="dxa"/>
            <w:vAlign w:val="bottom"/>
          </w:tcPr>
          <w:p w14:paraId="61833768" w14:textId="5B0B33CF" w:rsidR="005D3EAA" w:rsidRPr="00AE1665" w:rsidRDefault="005D3EAA" w:rsidP="00AE1665">
            <w:pPr>
              <w:rPr>
                <w:rFonts w:ascii="Arial" w:hAnsi="Arial" w:cs="Arial"/>
                <w:color w:val="000000"/>
              </w:rPr>
            </w:pPr>
            <w:r w:rsidRPr="00AE1665">
              <w:rPr>
                <w:rFonts w:ascii="Arial" w:hAnsi="Arial" w:cs="Arial"/>
                <w:color w:val="000000"/>
              </w:rPr>
              <w:t>£361.80</w:t>
            </w:r>
          </w:p>
        </w:tc>
        <w:tc>
          <w:tcPr>
            <w:tcW w:w="1984" w:type="dxa"/>
            <w:vAlign w:val="bottom"/>
          </w:tcPr>
          <w:p w14:paraId="668B9D9A" w14:textId="4B95B347" w:rsidR="005D3EAA" w:rsidRPr="00AE1665" w:rsidRDefault="005D3EAA" w:rsidP="00AE1665">
            <w:pPr>
              <w:rPr>
                <w:rFonts w:ascii="Arial" w:eastAsia="Times New Roman" w:hAnsi="Arial" w:cs="Arial"/>
                <w:highlight w:val="yellow"/>
                <w:lang w:eastAsia="en-GB"/>
              </w:rPr>
            </w:pPr>
            <w:r w:rsidRPr="00AE1665">
              <w:rPr>
                <w:rFonts w:ascii="Arial" w:hAnsi="Arial" w:cs="Arial"/>
                <w:color w:val="000000"/>
              </w:rPr>
              <w:t>£50.18</w:t>
            </w:r>
          </w:p>
        </w:tc>
      </w:tr>
    </w:tbl>
    <w:p w14:paraId="35F031F8" w14:textId="26B11414" w:rsidR="00A33756" w:rsidRDefault="005B22B2" w:rsidP="007E69C5">
      <w:pPr>
        <w:pStyle w:val="Caption"/>
        <w:jc w:val="center"/>
        <w:rPr>
          <w:rFonts w:ascii="Arial" w:hAnsi="Arial" w:cs="Arial"/>
          <w:sz w:val="22"/>
          <w:szCs w:val="22"/>
        </w:rPr>
      </w:pPr>
      <w:bookmarkStart w:id="116" w:name="_Toc66868998"/>
      <w:r w:rsidRPr="005B22B2">
        <w:rPr>
          <w:rFonts w:ascii="Arial" w:hAnsi="Arial" w:cs="Arial"/>
          <w:sz w:val="22"/>
          <w:szCs w:val="22"/>
        </w:rPr>
        <w:t xml:space="preserve">Table </w:t>
      </w:r>
      <w:r w:rsidRPr="005B22B2">
        <w:rPr>
          <w:rFonts w:ascii="Arial" w:hAnsi="Arial" w:cs="Arial"/>
          <w:sz w:val="22"/>
          <w:szCs w:val="22"/>
        </w:rPr>
        <w:fldChar w:fldCharType="begin"/>
      </w:r>
      <w:r w:rsidRPr="005B22B2">
        <w:rPr>
          <w:rFonts w:ascii="Arial" w:hAnsi="Arial" w:cs="Arial"/>
          <w:sz w:val="22"/>
          <w:szCs w:val="22"/>
        </w:rPr>
        <w:instrText xml:space="preserve"> SEQ Table \* ARABIC </w:instrText>
      </w:r>
      <w:r w:rsidRPr="005B22B2">
        <w:rPr>
          <w:rFonts w:ascii="Arial" w:hAnsi="Arial" w:cs="Arial"/>
          <w:sz w:val="22"/>
          <w:szCs w:val="22"/>
        </w:rPr>
        <w:fldChar w:fldCharType="separate"/>
      </w:r>
      <w:r w:rsidR="00B97B5D">
        <w:rPr>
          <w:rFonts w:ascii="Arial" w:hAnsi="Arial" w:cs="Arial"/>
          <w:noProof/>
          <w:sz w:val="22"/>
          <w:szCs w:val="22"/>
        </w:rPr>
        <w:t>14</w:t>
      </w:r>
      <w:r w:rsidRPr="005B22B2">
        <w:rPr>
          <w:rFonts w:ascii="Arial" w:hAnsi="Arial" w:cs="Arial"/>
          <w:sz w:val="22"/>
          <w:szCs w:val="22"/>
        </w:rPr>
        <w:fldChar w:fldCharType="end"/>
      </w:r>
      <w:r w:rsidRPr="005B22B2">
        <w:rPr>
          <w:rFonts w:ascii="Arial" w:hAnsi="Arial" w:cs="Arial"/>
          <w:sz w:val="22"/>
          <w:szCs w:val="22"/>
        </w:rPr>
        <w:t xml:space="preserve"> - UK Carbon Values (£)</w:t>
      </w:r>
      <w:bookmarkEnd w:id="116"/>
    </w:p>
    <w:p w14:paraId="725C11F0" w14:textId="07705EAE" w:rsidR="007972FF" w:rsidRDefault="007972FF" w:rsidP="007972FF"/>
    <w:p w14:paraId="7CECDC93" w14:textId="0943791E" w:rsidR="007972FF" w:rsidRDefault="007972FF" w:rsidP="007972FF"/>
    <w:p w14:paraId="7C8A27AC" w14:textId="77777777" w:rsidR="008C5BCF" w:rsidRDefault="008C5BCF" w:rsidP="007972FF"/>
    <w:p w14:paraId="7184D777" w14:textId="77777777" w:rsidR="007972FF" w:rsidRPr="00E6059A" w:rsidRDefault="007972FF" w:rsidP="00E6059A"/>
    <w:p w14:paraId="5C9DBD89" w14:textId="77777777" w:rsidR="003E16E0" w:rsidRPr="003E16E0" w:rsidRDefault="003E16E0" w:rsidP="003E16E0">
      <w:pPr>
        <w:pStyle w:val="Heading2"/>
        <w:spacing w:after="240"/>
        <w:rPr>
          <w:rFonts w:ascii="Arial" w:eastAsia="Times New Roman" w:hAnsi="Arial" w:cs="Arial"/>
          <w:b/>
          <w:bCs/>
          <w:color w:val="auto"/>
          <w:sz w:val="24"/>
          <w:szCs w:val="24"/>
          <w:lang w:eastAsia="en-GB"/>
        </w:rPr>
      </w:pPr>
      <w:bookmarkStart w:id="117" w:name="_Toc66868912"/>
      <w:r w:rsidRPr="003E16E0">
        <w:rPr>
          <w:rFonts w:ascii="Arial" w:eastAsia="Times New Roman" w:hAnsi="Arial" w:cs="Arial"/>
          <w:b/>
          <w:bCs/>
          <w:color w:val="auto"/>
          <w:sz w:val="24"/>
          <w:szCs w:val="24"/>
          <w:lang w:eastAsia="en-GB"/>
        </w:rPr>
        <w:t>Discount Rates</w:t>
      </w:r>
      <w:bookmarkEnd w:id="117"/>
    </w:p>
    <w:p w14:paraId="2A7D2343" w14:textId="77777777" w:rsidR="003E16E0" w:rsidRPr="00C212BE" w:rsidRDefault="00227B45" w:rsidP="00F21C7A">
      <w:pPr>
        <w:spacing w:line="360" w:lineRule="auto"/>
        <w:jc w:val="both"/>
        <w:rPr>
          <w:rFonts w:ascii="Arial" w:hAnsi="Arial" w:cs="Arial"/>
          <w:lang w:eastAsia="en-GB"/>
        </w:rPr>
      </w:pPr>
      <w:r>
        <w:rPr>
          <w:rFonts w:ascii="Arial" w:hAnsi="Arial" w:cs="Arial"/>
        </w:rPr>
        <w:t>T</w:t>
      </w:r>
      <w:r w:rsidRPr="009D1EDB">
        <w:rPr>
          <w:rFonts w:ascii="Arial" w:hAnsi="Arial" w:cs="Arial"/>
        </w:rPr>
        <w:t>he scheme costs, traffic delay costs and CO</w:t>
      </w:r>
      <w:r w:rsidRPr="009D1EDB">
        <w:rPr>
          <w:rFonts w:ascii="Arial" w:hAnsi="Arial" w:cs="Arial"/>
          <w:vertAlign w:val="subscript"/>
        </w:rPr>
        <w:t>2</w:t>
      </w:r>
      <w:r w:rsidRPr="009D1EDB">
        <w:rPr>
          <w:rFonts w:ascii="Arial" w:hAnsi="Arial" w:cs="Arial"/>
        </w:rPr>
        <w:t xml:space="preserve"> costs for</w:t>
      </w:r>
      <w:r>
        <w:rPr>
          <w:rFonts w:ascii="Arial" w:hAnsi="Arial" w:cs="Arial"/>
        </w:rPr>
        <w:t xml:space="preserve"> both maintenance strategies were then</w:t>
      </w:r>
      <w:r w:rsidRPr="009D1EDB">
        <w:rPr>
          <w:rFonts w:ascii="Arial" w:hAnsi="Arial" w:cs="Arial"/>
        </w:rPr>
        <w:t xml:space="preserve"> discounted to determine the net present value</w:t>
      </w:r>
      <w:r w:rsidR="007972FF">
        <w:rPr>
          <w:rFonts w:ascii="Arial" w:hAnsi="Arial" w:cs="Arial"/>
        </w:rPr>
        <w:t xml:space="preserve"> using t</w:t>
      </w:r>
      <w:r w:rsidRPr="00C212BE">
        <w:rPr>
          <w:rFonts w:ascii="Arial" w:hAnsi="Arial" w:cs="Arial"/>
          <w:lang w:eastAsia="en-GB"/>
        </w:rPr>
        <w:t>he discount rate</w:t>
      </w:r>
      <w:r>
        <w:rPr>
          <w:rFonts w:ascii="Arial" w:hAnsi="Arial" w:cs="Arial"/>
          <w:lang w:eastAsia="en-GB"/>
        </w:rPr>
        <w:t>s</w:t>
      </w:r>
      <w:r w:rsidRPr="00C212BE">
        <w:rPr>
          <w:rFonts w:ascii="Arial" w:hAnsi="Arial" w:cs="Arial"/>
          <w:lang w:eastAsia="en-GB"/>
        </w:rPr>
        <w:t xml:space="preserve"> </w:t>
      </w:r>
      <w:r>
        <w:rPr>
          <w:rFonts w:ascii="Arial" w:hAnsi="Arial" w:cs="Arial"/>
          <w:lang w:eastAsia="en-GB"/>
        </w:rPr>
        <w:t xml:space="preserve">indicated </w:t>
      </w:r>
      <w:r w:rsidRPr="00C212BE">
        <w:rPr>
          <w:rFonts w:ascii="Arial" w:hAnsi="Arial" w:cs="Arial"/>
          <w:lang w:eastAsia="en-GB"/>
        </w:rPr>
        <w:t xml:space="preserve">in </w:t>
      </w:r>
      <w:r>
        <w:rPr>
          <w:rFonts w:ascii="Arial" w:hAnsi="Arial" w:cs="Arial"/>
          <w:lang w:eastAsia="en-GB"/>
        </w:rPr>
        <w:t>T</w:t>
      </w:r>
      <w:r w:rsidRPr="00C212BE">
        <w:rPr>
          <w:rFonts w:ascii="Arial" w:hAnsi="Arial" w:cs="Arial"/>
          <w:lang w:eastAsia="en-GB"/>
        </w:rPr>
        <w:t xml:space="preserve">able </w:t>
      </w:r>
      <w:r>
        <w:rPr>
          <w:rFonts w:ascii="Arial" w:hAnsi="Arial" w:cs="Arial"/>
          <w:lang w:eastAsia="en-GB"/>
        </w:rPr>
        <w:t>15</w:t>
      </w:r>
      <w:r w:rsidRPr="00C212BE">
        <w:rPr>
          <w:rFonts w:ascii="Arial" w:hAnsi="Arial" w:cs="Arial"/>
          <w:lang w:eastAsia="en-GB"/>
        </w:rPr>
        <w:t>.</w:t>
      </w:r>
      <w:r>
        <w:rPr>
          <w:rFonts w:ascii="Arial" w:hAnsi="Arial" w:cs="Arial"/>
        </w:rPr>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134"/>
        <w:gridCol w:w="2134"/>
        <w:gridCol w:w="2134"/>
      </w:tblGrid>
      <w:tr w:rsidR="00F36E29" w14:paraId="6108134A" w14:textId="77777777" w:rsidTr="00F36E29">
        <w:tc>
          <w:tcPr>
            <w:tcW w:w="8584" w:type="dxa"/>
            <w:gridSpan w:val="4"/>
            <w:shd w:val="clear" w:color="auto" w:fill="000099"/>
          </w:tcPr>
          <w:p w14:paraId="4C93E6BF" w14:textId="7DA0D200" w:rsidR="00F36E29" w:rsidRPr="00EC2CBA" w:rsidRDefault="00F36E29" w:rsidP="00F36E29">
            <w:pPr>
              <w:jc w:val="center"/>
              <w:rPr>
                <w:rFonts w:ascii="Arial" w:eastAsia="Times New Roman" w:hAnsi="Arial" w:cs="Arial"/>
                <w:b/>
                <w:bCs/>
                <w:lang w:eastAsia="en-GB"/>
              </w:rPr>
            </w:pPr>
            <w:r>
              <w:rPr>
                <w:rFonts w:ascii="Arial" w:hAnsi="Arial" w:cs="Arial"/>
                <w:b/>
                <w:bCs/>
                <w:lang w:eastAsia="en-GB"/>
              </w:rPr>
              <w:t>Discount Rates</w:t>
            </w:r>
          </w:p>
        </w:tc>
      </w:tr>
      <w:tr w:rsidR="003E16E0" w14:paraId="645D53A5" w14:textId="77777777" w:rsidTr="00F36E29">
        <w:tc>
          <w:tcPr>
            <w:tcW w:w="2182" w:type="dxa"/>
            <w:shd w:val="clear" w:color="auto" w:fill="99CCFF"/>
          </w:tcPr>
          <w:p w14:paraId="1DBE89CC" w14:textId="77777777" w:rsidR="003E16E0" w:rsidRPr="003C6A85" w:rsidRDefault="003E16E0" w:rsidP="00100A5B">
            <w:pPr>
              <w:rPr>
                <w:rFonts w:ascii="Arial" w:hAnsi="Arial" w:cs="Arial"/>
                <w:b/>
                <w:bCs/>
                <w:color w:val="1A0FA4" w:themeColor="accent1" w:themeShade="BF"/>
                <w:lang w:eastAsia="en-GB"/>
              </w:rPr>
            </w:pPr>
            <w:r w:rsidRPr="003C6A85">
              <w:rPr>
                <w:rFonts w:ascii="Arial" w:hAnsi="Arial" w:cs="Arial"/>
                <w:b/>
                <w:bCs/>
                <w:color w:val="1A0FA4" w:themeColor="accent1" w:themeShade="BF"/>
                <w:lang w:eastAsia="en-GB"/>
              </w:rPr>
              <w:t>Year</w:t>
            </w:r>
          </w:p>
        </w:tc>
        <w:tc>
          <w:tcPr>
            <w:tcW w:w="2134" w:type="dxa"/>
            <w:shd w:val="clear" w:color="auto" w:fill="99CCFF"/>
          </w:tcPr>
          <w:p w14:paraId="31B92363" w14:textId="77777777" w:rsidR="003E16E0" w:rsidRPr="003C6A85" w:rsidRDefault="003E16E0" w:rsidP="00100A5B">
            <w:pPr>
              <w:rPr>
                <w:rFonts w:ascii="Arial" w:eastAsia="Times New Roman" w:hAnsi="Arial" w:cs="Arial"/>
                <w:b/>
                <w:bCs/>
                <w:color w:val="1A0FA4" w:themeColor="accent1" w:themeShade="BF"/>
                <w:lang w:eastAsia="en-GB"/>
              </w:rPr>
            </w:pPr>
            <w:r w:rsidRPr="003C6A85">
              <w:rPr>
                <w:rFonts w:ascii="Arial" w:eastAsia="Times New Roman" w:hAnsi="Arial" w:cs="Arial"/>
                <w:b/>
                <w:bCs/>
                <w:color w:val="1A0FA4" w:themeColor="accent1" w:themeShade="BF"/>
                <w:lang w:eastAsia="en-GB"/>
              </w:rPr>
              <w:t>0-30</w:t>
            </w:r>
          </w:p>
        </w:tc>
        <w:tc>
          <w:tcPr>
            <w:tcW w:w="2134" w:type="dxa"/>
            <w:shd w:val="clear" w:color="auto" w:fill="99CCFF"/>
          </w:tcPr>
          <w:p w14:paraId="268F635C" w14:textId="77777777" w:rsidR="003E16E0" w:rsidRPr="003C6A85" w:rsidRDefault="003E16E0" w:rsidP="00100A5B">
            <w:pPr>
              <w:rPr>
                <w:rFonts w:ascii="Arial" w:eastAsia="Times New Roman" w:hAnsi="Arial" w:cs="Arial"/>
                <w:b/>
                <w:bCs/>
                <w:color w:val="1A0FA4" w:themeColor="accent1" w:themeShade="BF"/>
                <w:lang w:eastAsia="en-GB"/>
              </w:rPr>
            </w:pPr>
            <w:r w:rsidRPr="003C6A85">
              <w:rPr>
                <w:rFonts w:ascii="Arial" w:eastAsia="Times New Roman" w:hAnsi="Arial" w:cs="Arial"/>
                <w:b/>
                <w:bCs/>
                <w:color w:val="1A0FA4" w:themeColor="accent1" w:themeShade="BF"/>
                <w:lang w:eastAsia="en-GB"/>
              </w:rPr>
              <w:t>31-75</w:t>
            </w:r>
          </w:p>
        </w:tc>
        <w:tc>
          <w:tcPr>
            <w:tcW w:w="2134" w:type="dxa"/>
            <w:shd w:val="clear" w:color="auto" w:fill="99CCFF"/>
          </w:tcPr>
          <w:p w14:paraId="65E38474" w14:textId="77777777" w:rsidR="003E16E0" w:rsidRPr="003C6A85" w:rsidRDefault="003E16E0" w:rsidP="00100A5B">
            <w:pPr>
              <w:rPr>
                <w:rFonts w:ascii="Arial" w:eastAsia="Times New Roman" w:hAnsi="Arial" w:cs="Arial"/>
                <w:b/>
                <w:bCs/>
                <w:color w:val="1A0FA4" w:themeColor="accent1" w:themeShade="BF"/>
                <w:lang w:eastAsia="en-GB"/>
              </w:rPr>
            </w:pPr>
            <w:r w:rsidRPr="003C6A85">
              <w:rPr>
                <w:rFonts w:ascii="Arial" w:eastAsia="Times New Roman" w:hAnsi="Arial" w:cs="Arial"/>
                <w:b/>
                <w:bCs/>
                <w:color w:val="1A0FA4" w:themeColor="accent1" w:themeShade="BF"/>
                <w:lang w:eastAsia="en-GB"/>
              </w:rPr>
              <w:t>76-125</w:t>
            </w:r>
          </w:p>
        </w:tc>
      </w:tr>
      <w:tr w:rsidR="003E16E0" w14:paraId="1AE285BC" w14:textId="77777777" w:rsidTr="00100A5B">
        <w:tc>
          <w:tcPr>
            <w:tcW w:w="2182" w:type="dxa"/>
          </w:tcPr>
          <w:p w14:paraId="6B5EC44B" w14:textId="77777777" w:rsidR="003E16E0" w:rsidRPr="00EC2CBA" w:rsidRDefault="003E16E0" w:rsidP="00100A5B">
            <w:pPr>
              <w:rPr>
                <w:rFonts w:ascii="Arial" w:eastAsia="Times New Roman" w:hAnsi="Arial" w:cs="Arial"/>
                <w:lang w:eastAsia="en-GB"/>
              </w:rPr>
            </w:pPr>
            <w:r w:rsidRPr="00EC2CBA">
              <w:rPr>
                <w:rFonts w:ascii="Arial" w:eastAsia="Times New Roman" w:hAnsi="Arial" w:cs="Arial"/>
                <w:lang w:eastAsia="en-GB"/>
              </w:rPr>
              <w:t>Discount Rate</w:t>
            </w:r>
          </w:p>
        </w:tc>
        <w:tc>
          <w:tcPr>
            <w:tcW w:w="2134" w:type="dxa"/>
          </w:tcPr>
          <w:p w14:paraId="2D9D6BE8" w14:textId="77777777" w:rsidR="003E16E0" w:rsidRPr="00EC2CBA" w:rsidRDefault="003E16E0" w:rsidP="00100A5B">
            <w:pPr>
              <w:rPr>
                <w:rFonts w:ascii="Arial" w:eastAsia="Times New Roman" w:hAnsi="Arial" w:cs="Arial"/>
                <w:lang w:eastAsia="en-GB"/>
              </w:rPr>
            </w:pPr>
            <w:r w:rsidRPr="00EC2CBA">
              <w:rPr>
                <w:rFonts w:ascii="Arial" w:eastAsia="Times New Roman" w:hAnsi="Arial" w:cs="Arial"/>
                <w:lang w:eastAsia="en-GB"/>
              </w:rPr>
              <w:t>3.50%</w:t>
            </w:r>
          </w:p>
        </w:tc>
        <w:tc>
          <w:tcPr>
            <w:tcW w:w="2134" w:type="dxa"/>
          </w:tcPr>
          <w:p w14:paraId="0B416419" w14:textId="77777777" w:rsidR="003E16E0" w:rsidRPr="00EC2CBA" w:rsidRDefault="003E16E0" w:rsidP="00100A5B">
            <w:pPr>
              <w:rPr>
                <w:rFonts w:ascii="Arial" w:eastAsia="Times New Roman" w:hAnsi="Arial" w:cs="Arial"/>
                <w:lang w:eastAsia="en-GB"/>
              </w:rPr>
            </w:pPr>
            <w:r w:rsidRPr="00EC2CBA">
              <w:rPr>
                <w:rFonts w:ascii="Arial" w:eastAsia="Times New Roman" w:hAnsi="Arial" w:cs="Arial"/>
                <w:lang w:eastAsia="en-GB"/>
              </w:rPr>
              <w:t>3.00%</w:t>
            </w:r>
          </w:p>
        </w:tc>
        <w:tc>
          <w:tcPr>
            <w:tcW w:w="2134" w:type="dxa"/>
          </w:tcPr>
          <w:p w14:paraId="66A9CB20" w14:textId="77777777" w:rsidR="003E16E0" w:rsidRPr="00EC2CBA" w:rsidRDefault="003E16E0" w:rsidP="00100A5B">
            <w:pPr>
              <w:rPr>
                <w:rFonts w:ascii="Arial" w:eastAsia="Times New Roman" w:hAnsi="Arial" w:cs="Arial"/>
                <w:lang w:eastAsia="en-GB"/>
              </w:rPr>
            </w:pPr>
            <w:r w:rsidRPr="00EC2CBA">
              <w:rPr>
                <w:rFonts w:ascii="Arial" w:eastAsia="Times New Roman" w:hAnsi="Arial" w:cs="Arial"/>
                <w:lang w:eastAsia="en-GB"/>
              </w:rPr>
              <w:t>2.50%</w:t>
            </w:r>
          </w:p>
        </w:tc>
      </w:tr>
    </w:tbl>
    <w:p w14:paraId="7F31417A" w14:textId="6000FEA7" w:rsidR="003E16E0" w:rsidRDefault="003E16E0" w:rsidP="007E69C5">
      <w:pPr>
        <w:pStyle w:val="Caption"/>
        <w:jc w:val="center"/>
        <w:rPr>
          <w:rFonts w:ascii="Arial" w:hAnsi="Arial" w:cs="Arial"/>
          <w:sz w:val="22"/>
          <w:szCs w:val="22"/>
        </w:rPr>
      </w:pPr>
      <w:bookmarkStart w:id="118" w:name="_Toc66868999"/>
      <w:r w:rsidRPr="00574EAF">
        <w:rPr>
          <w:rFonts w:ascii="Arial" w:hAnsi="Arial" w:cs="Arial"/>
          <w:sz w:val="22"/>
          <w:szCs w:val="22"/>
        </w:rPr>
        <w:t xml:space="preserve">Table </w:t>
      </w:r>
      <w:r w:rsidRPr="00574EAF">
        <w:rPr>
          <w:rFonts w:ascii="Arial" w:hAnsi="Arial" w:cs="Arial"/>
          <w:sz w:val="22"/>
          <w:szCs w:val="22"/>
        </w:rPr>
        <w:fldChar w:fldCharType="begin"/>
      </w:r>
      <w:r w:rsidRPr="00574EAF">
        <w:rPr>
          <w:rFonts w:ascii="Arial" w:hAnsi="Arial" w:cs="Arial"/>
          <w:sz w:val="22"/>
          <w:szCs w:val="22"/>
        </w:rPr>
        <w:instrText xml:space="preserve"> SEQ Table \* ARABIC </w:instrText>
      </w:r>
      <w:r w:rsidRPr="00574EAF">
        <w:rPr>
          <w:rFonts w:ascii="Arial" w:hAnsi="Arial" w:cs="Arial"/>
          <w:sz w:val="22"/>
          <w:szCs w:val="22"/>
        </w:rPr>
        <w:fldChar w:fldCharType="separate"/>
      </w:r>
      <w:r w:rsidR="00B97B5D">
        <w:rPr>
          <w:rFonts w:ascii="Arial" w:hAnsi="Arial" w:cs="Arial"/>
          <w:noProof/>
          <w:sz w:val="22"/>
          <w:szCs w:val="22"/>
        </w:rPr>
        <w:t>15</w:t>
      </w:r>
      <w:r w:rsidRPr="00574EAF">
        <w:rPr>
          <w:rFonts w:ascii="Arial" w:hAnsi="Arial" w:cs="Arial"/>
          <w:sz w:val="22"/>
          <w:szCs w:val="22"/>
        </w:rPr>
        <w:fldChar w:fldCharType="end"/>
      </w:r>
      <w:r w:rsidRPr="00574EAF">
        <w:rPr>
          <w:rFonts w:ascii="Arial" w:hAnsi="Arial" w:cs="Arial"/>
          <w:sz w:val="22"/>
          <w:szCs w:val="22"/>
        </w:rPr>
        <w:t xml:space="preserve"> - Discount Rates</w:t>
      </w:r>
      <w:bookmarkEnd w:id="118"/>
    </w:p>
    <w:p w14:paraId="798485D5" w14:textId="77777777" w:rsidR="006B76F2" w:rsidRPr="00227B45" w:rsidRDefault="006B76F2" w:rsidP="006B76F2">
      <w:r>
        <w:rPr>
          <w:rFonts w:ascii="Arial" w:hAnsi="Arial" w:cs="Arial"/>
        </w:rPr>
        <w:t>The strategy with the lowest NPV was considered to be the preferred maintenance strategy.</w:t>
      </w:r>
    </w:p>
    <w:p w14:paraId="1B4816EB" w14:textId="77777777" w:rsidR="005A2351" w:rsidRPr="005A2351" w:rsidRDefault="005A2351" w:rsidP="005A2351"/>
    <w:p w14:paraId="03A68BC1" w14:textId="274C0C88" w:rsidR="004C6D5B" w:rsidRDefault="004C6D5B" w:rsidP="004C6D5B">
      <w:pPr>
        <w:rPr>
          <w:lang w:eastAsia="en-GB"/>
        </w:rPr>
      </w:pPr>
    </w:p>
    <w:p w14:paraId="025AB2AC" w14:textId="7D5841E6" w:rsidR="0089438E" w:rsidRDefault="0089438E" w:rsidP="007D42F7">
      <w:pPr>
        <w:spacing w:after="0"/>
        <w:rPr>
          <w:lang w:eastAsia="en-GB"/>
        </w:rPr>
      </w:pPr>
    </w:p>
    <w:p w14:paraId="43FC0D7A" w14:textId="696C89D0" w:rsidR="00CB7B5C" w:rsidRDefault="00727B77" w:rsidP="007D42F7">
      <w:pPr>
        <w:spacing w:after="0"/>
        <w:rPr>
          <w:lang w:eastAsia="en-GB"/>
        </w:rPr>
      </w:pPr>
      <w:r w:rsidRPr="00727B77">
        <w:rPr>
          <w:noProof/>
        </w:rPr>
        <w:t xml:space="preserve"> </w:t>
      </w:r>
      <w:r w:rsidR="007D42F7" w:rsidRPr="007D42F7">
        <w:rPr>
          <w:noProof/>
        </w:rPr>
        <w:t xml:space="preserve"> </w:t>
      </w:r>
      <w:r w:rsidR="00806ADF" w:rsidRPr="00806ADF">
        <w:rPr>
          <w:noProof/>
        </w:rPr>
        <w:t xml:space="preserve"> </w:t>
      </w:r>
    </w:p>
    <w:p w14:paraId="28B3CF9D" w14:textId="77777777" w:rsidR="0009554D" w:rsidRDefault="0009554D" w:rsidP="00980283">
      <w:pPr>
        <w:rPr>
          <w:lang w:eastAsia="en-GB"/>
        </w:rPr>
      </w:pPr>
    </w:p>
    <w:p w14:paraId="403EFB2A" w14:textId="52815AD2" w:rsidR="0009554D" w:rsidRDefault="0009554D" w:rsidP="00980283">
      <w:pPr>
        <w:rPr>
          <w:lang w:eastAsia="en-GB"/>
        </w:rPr>
        <w:sectPr w:rsidR="0009554D" w:rsidSect="009C5C56">
          <w:pgSz w:w="11906" w:h="16838"/>
          <w:pgMar w:top="1440" w:right="1440" w:bottom="1440" w:left="1440" w:header="708" w:footer="708" w:gutter="0"/>
          <w:cols w:space="708"/>
          <w:titlePg/>
          <w:docGrid w:linePitch="360"/>
        </w:sectPr>
      </w:pPr>
    </w:p>
    <w:p w14:paraId="7A20B5FA" w14:textId="0FCE3098" w:rsidR="00A87921" w:rsidRPr="00222E68" w:rsidRDefault="00B37730" w:rsidP="00B37730">
      <w:pPr>
        <w:pStyle w:val="Heading1"/>
        <w:numPr>
          <w:ilvl w:val="0"/>
          <w:numId w:val="0"/>
        </w:numPr>
        <w:spacing w:line="360" w:lineRule="auto"/>
        <w:ind w:left="432" w:hanging="432"/>
        <w:rPr>
          <w:rFonts w:ascii="Arial" w:eastAsia="Times New Roman" w:hAnsi="Arial" w:cs="Arial"/>
          <w:b/>
          <w:bCs/>
          <w:color w:val="auto"/>
          <w:sz w:val="28"/>
          <w:szCs w:val="28"/>
          <w:lang w:eastAsia="en-GB"/>
        </w:rPr>
      </w:pPr>
      <w:bookmarkStart w:id="119" w:name="_Toc66868913"/>
      <w:r w:rsidRPr="00222E68">
        <w:rPr>
          <w:rFonts w:ascii="Arial" w:eastAsia="Times New Roman" w:hAnsi="Arial" w:cs="Arial"/>
          <w:b/>
          <w:bCs/>
          <w:color w:val="auto"/>
          <w:sz w:val="28"/>
          <w:szCs w:val="28"/>
          <w:lang w:eastAsia="en-GB"/>
        </w:rPr>
        <w:t xml:space="preserve">Chapter </w:t>
      </w:r>
      <w:r w:rsidR="0097246A" w:rsidRPr="00222E68">
        <w:rPr>
          <w:rFonts w:ascii="Arial" w:eastAsia="Times New Roman" w:hAnsi="Arial" w:cs="Arial"/>
          <w:b/>
          <w:bCs/>
          <w:color w:val="auto"/>
          <w:sz w:val="28"/>
          <w:szCs w:val="28"/>
          <w:lang w:eastAsia="en-GB"/>
        </w:rPr>
        <w:t>5</w:t>
      </w:r>
      <w:r w:rsidRPr="00222E68">
        <w:rPr>
          <w:rFonts w:ascii="Arial" w:eastAsia="Times New Roman" w:hAnsi="Arial" w:cs="Arial"/>
          <w:b/>
          <w:bCs/>
          <w:color w:val="auto"/>
          <w:sz w:val="28"/>
          <w:szCs w:val="28"/>
          <w:lang w:eastAsia="en-GB"/>
        </w:rPr>
        <w:t>:</w:t>
      </w:r>
      <w:r w:rsidR="00222E68">
        <w:rPr>
          <w:rFonts w:ascii="Arial" w:eastAsia="Times New Roman" w:hAnsi="Arial" w:cs="Arial"/>
          <w:b/>
          <w:bCs/>
          <w:color w:val="auto"/>
          <w:sz w:val="28"/>
          <w:szCs w:val="28"/>
          <w:lang w:eastAsia="en-GB"/>
        </w:rPr>
        <w:t xml:space="preserve"> </w:t>
      </w:r>
      <w:r w:rsidRPr="00222E68">
        <w:rPr>
          <w:rFonts w:ascii="Arial" w:eastAsia="Times New Roman" w:hAnsi="Arial" w:cs="Arial"/>
          <w:b/>
          <w:bCs/>
          <w:color w:val="auto"/>
          <w:sz w:val="28"/>
          <w:szCs w:val="28"/>
          <w:lang w:eastAsia="en-GB"/>
        </w:rPr>
        <w:t>Results</w:t>
      </w:r>
      <w:bookmarkEnd w:id="119"/>
      <w:r w:rsidRPr="00222E68">
        <w:rPr>
          <w:rFonts w:ascii="Arial" w:eastAsia="Times New Roman" w:hAnsi="Arial" w:cs="Arial"/>
          <w:b/>
          <w:bCs/>
          <w:color w:val="auto"/>
          <w:sz w:val="28"/>
          <w:szCs w:val="28"/>
          <w:lang w:eastAsia="en-GB"/>
        </w:rPr>
        <w:t xml:space="preserve"> </w:t>
      </w:r>
    </w:p>
    <w:p w14:paraId="048B0592" w14:textId="77777777" w:rsidR="00616528" w:rsidRPr="00616528" w:rsidRDefault="00616528" w:rsidP="00E6059A">
      <w:pPr>
        <w:pStyle w:val="ListParagraph"/>
        <w:keepNext/>
        <w:keepLines/>
        <w:numPr>
          <w:ilvl w:val="0"/>
          <w:numId w:val="3"/>
        </w:numPr>
        <w:spacing w:before="240" w:after="0" w:line="360" w:lineRule="auto"/>
        <w:contextualSpacing w:val="0"/>
        <w:outlineLvl w:val="0"/>
        <w:rPr>
          <w:rFonts w:asciiTheme="majorHAnsi" w:eastAsiaTheme="majorEastAsia" w:hAnsiTheme="majorHAnsi" w:cstheme="majorBidi"/>
          <w:vanish/>
          <w:color w:val="1A0FA4" w:themeColor="accent1" w:themeShade="BF"/>
          <w:sz w:val="32"/>
          <w:szCs w:val="32"/>
          <w:lang w:eastAsia="en-GB"/>
        </w:rPr>
      </w:pPr>
      <w:bookmarkStart w:id="120" w:name="_Toc65785490"/>
      <w:bookmarkStart w:id="121" w:name="_Toc65785573"/>
      <w:bookmarkStart w:id="122" w:name="_Toc65785491"/>
      <w:bookmarkStart w:id="123" w:name="_Toc65785574"/>
      <w:bookmarkStart w:id="124" w:name="_Toc66002721"/>
      <w:bookmarkStart w:id="125" w:name="_Toc66002998"/>
      <w:bookmarkStart w:id="126" w:name="_Toc66007689"/>
      <w:bookmarkStart w:id="127" w:name="_Toc66007871"/>
      <w:bookmarkStart w:id="128" w:name="_Toc66007976"/>
      <w:bookmarkStart w:id="129" w:name="_Toc66015473"/>
      <w:bookmarkStart w:id="130" w:name="_Toc66034119"/>
      <w:bookmarkStart w:id="131" w:name="_Toc66636384"/>
      <w:bookmarkStart w:id="132" w:name="_Toc66868914"/>
      <w:bookmarkEnd w:id="120"/>
      <w:bookmarkEnd w:id="121"/>
      <w:bookmarkEnd w:id="122"/>
      <w:bookmarkEnd w:id="123"/>
      <w:bookmarkEnd w:id="124"/>
      <w:bookmarkEnd w:id="125"/>
      <w:bookmarkEnd w:id="126"/>
      <w:bookmarkEnd w:id="127"/>
      <w:bookmarkEnd w:id="128"/>
      <w:bookmarkEnd w:id="129"/>
      <w:bookmarkEnd w:id="130"/>
      <w:bookmarkEnd w:id="131"/>
      <w:bookmarkEnd w:id="132"/>
    </w:p>
    <w:p w14:paraId="7D9ABC03" w14:textId="15A86892" w:rsidR="0036436C" w:rsidRPr="00E6059A" w:rsidRDefault="00E23A29" w:rsidP="002B28D3">
      <w:pPr>
        <w:pStyle w:val="Heading2"/>
        <w:spacing w:after="240"/>
        <w:rPr>
          <w:rFonts w:ascii="Arial" w:hAnsi="Arial" w:cs="Arial"/>
          <w:b/>
          <w:bCs/>
          <w:color w:val="auto"/>
          <w:sz w:val="24"/>
          <w:szCs w:val="24"/>
          <w:lang w:eastAsia="en-GB"/>
        </w:rPr>
      </w:pPr>
      <w:bookmarkStart w:id="133" w:name="_Toc66868915"/>
      <w:r>
        <w:rPr>
          <w:rFonts w:ascii="Arial" w:hAnsi="Arial" w:cs="Arial"/>
          <w:b/>
          <w:bCs/>
          <w:color w:val="auto"/>
          <w:sz w:val="24"/>
          <w:szCs w:val="24"/>
          <w:lang w:eastAsia="en-GB"/>
        </w:rPr>
        <w:t>Overview</w:t>
      </w:r>
      <w:bookmarkEnd w:id="133"/>
    </w:p>
    <w:p w14:paraId="6940F0B7" w14:textId="2BDFFA64" w:rsidR="00346A54" w:rsidRDefault="004A5560" w:rsidP="00F21C7A">
      <w:pPr>
        <w:spacing w:after="240" w:line="360" w:lineRule="auto"/>
        <w:jc w:val="both"/>
        <w:rPr>
          <w:rFonts w:ascii="Arial" w:hAnsi="Arial" w:cs="Arial"/>
          <w:lang w:eastAsia="en-GB"/>
        </w:rPr>
      </w:pPr>
      <w:r w:rsidRPr="00CD3D1F">
        <w:rPr>
          <w:rFonts w:ascii="Arial" w:hAnsi="Arial" w:cs="Arial"/>
          <w:lang w:eastAsia="en-GB"/>
        </w:rPr>
        <w:t xml:space="preserve">The </w:t>
      </w:r>
      <w:r w:rsidR="00BA7197" w:rsidRPr="00CD3D1F">
        <w:rPr>
          <w:rFonts w:ascii="Arial" w:hAnsi="Arial" w:cs="Arial"/>
          <w:lang w:eastAsia="en-GB"/>
        </w:rPr>
        <w:t xml:space="preserve">planned </w:t>
      </w:r>
      <w:r w:rsidR="00E339D2" w:rsidRPr="00CD3D1F">
        <w:rPr>
          <w:rFonts w:ascii="Arial" w:hAnsi="Arial" w:cs="Arial"/>
          <w:lang w:eastAsia="en-GB"/>
        </w:rPr>
        <w:t xml:space="preserve">preventative </w:t>
      </w:r>
      <w:r w:rsidR="00C91E52">
        <w:rPr>
          <w:rFonts w:ascii="Arial" w:hAnsi="Arial" w:cs="Arial"/>
          <w:lang w:eastAsia="en-GB"/>
        </w:rPr>
        <w:t xml:space="preserve">maintenance </w:t>
      </w:r>
      <w:r w:rsidR="00E339D2" w:rsidRPr="00CD3D1F">
        <w:rPr>
          <w:rFonts w:ascii="Arial" w:hAnsi="Arial" w:cs="Arial"/>
          <w:lang w:eastAsia="en-GB"/>
        </w:rPr>
        <w:t xml:space="preserve">strategy </w:t>
      </w:r>
      <w:r w:rsidR="00AA3779" w:rsidRPr="00CD3D1F">
        <w:rPr>
          <w:rFonts w:ascii="Arial" w:hAnsi="Arial" w:cs="Arial"/>
          <w:lang w:eastAsia="en-GB"/>
        </w:rPr>
        <w:t xml:space="preserve">has </w:t>
      </w:r>
      <w:r w:rsidR="00906964">
        <w:rPr>
          <w:rFonts w:ascii="Arial" w:hAnsi="Arial" w:cs="Arial"/>
          <w:lang w:eastAsia="en-GB"/>
        </w:rPr>
        <w:t>7.7% lower discounted maintenance costs, 83% lower traffic delay costs, 5% lower discounted CO</w:t>
      </w:r>
      <w:r w:rsidR="00906964">
        <w:rPr>
          <w:rFonts w:ascii="Arial" w:hAnsi="Arial" w:cs="Arial"/>
          <w:vertAlign w:val="subscript"/>
          <w:lang w:eastAsia="en-GB"/>
        </w:rPr>
        <w:t>2</w:t>
      </w:r>
      <w:r w:rsidR="00906964">
        <w:rPr>
          <w:rFonts w:ascii="Arial" w:hAnsi="Arial" w:cs="Arial"/>
          <w:lang w:eastAsia="en-GB"/>
        </w:rPr>
        <w:t xml:space="preserve"> costs, and overall, 30% lower NPV. Additionally, the planned preventive strategy had 7% less CO</w:t>
      </w:r>
      <w:r w:rsidR="00906964">
        <w:rPr>
          <w:rFonts w:ascii="Arial" w:hAnsi="Arial" w:cs="Arial"/>
          <w:vertAlign w:val="subscript"/>
          <w:lang w:eastAsia="en-GB"/>
        </w:rPr>
        <w:t>2</w:t>
      </w:r>
      <w:r w:rsidR="00941BD5">
        <w:rPr>
          <w:rFonts w:ascii="Arial" w:hAnsi="Arial" w:cs="Arial"/>
          <w:vertAlign w:val="subscript"/>
          <w:lang w:eastAsia="en-GB"/>
        </w:rPr>
        <w:t xml:space="preserve"> </w:t>
      </w:r>
      <w:r w:rsidR="00941BD5">
        <w:rPr>
          <w:rFonts w:ascii="Arial" w:hAnsi="Arial" w:cs="Arial"/>
          <w:lang w:eastAsia="en-GB"/>
        </w:rPr>
        <w:t>emissions</w:t>
      </w:r>
      <w:r w:rsidR="00346A54">
        <w:rPr>
          <w:rFonts w:ascii="Arial" w:hAnsi="Arial" w:cs="Arial"/>
          <w:vertAlign w:val="subscript"/>
          <w:lang w:eastAsia="en-GB"/>
        </w:rPr>
        <w:t xml:space="preserve">, </w:t>
      </w:r>
      <w:r w:rsidR="00346A54">
        <w:rPr>
          <w:rFonts w:ascii="Arial" w:hAnsi="Arial" w:cs="Arial"/>
          <w:lang w:eastAsia="en-GB"/>
        </w:rPr>
        <w:t xml:space="preserve"> and the discounted workbank at the end of the analysis period is 98% lower. </w:t>
      </w:r>
      <w:r w:rsidR="00331DCB">
        <w:rPr>
          <w:rFonts w:ascii="Arial" w:hAnsi="Arial" w:cs="Arial"/>
          <w:lang w:eastAsia="en-GB"/>
        </w:rPr>
        <w:t>The workbank represents the back log of maintenance work.</w:t>
      </w:r>
      <w:r w:rsidR="00941BD5">
        <w:rPr>
          <w:rFonts w:ascii="Arial" w:hAnsi="Arial" w:cs="Arial"/>
          <w:lang w:eastAsia="en-GB"/>
        </w:rPr>
        <w:t xml:space="preserve"> </w:t>
      </w:r>
      <w:r w:rsidR="009F220D">
        <w:rPr>
          <w:rFonts w:ascii="Arial" w:hAnsi="Arial" w:cs="Arial"/>
          <w:lang w:eastAsia="en-GB"/>
        </w:rPr>
        <w:t>A summary of t</w:t>
      </w:r>
      <w:r w:rsidR="00941BD5">
        <w:rPr>
          <w:rFonts w:ascii="Arial" w:hAnsi="Arial" w:cs="Arial"/>
          <w:lang w:eastAsia="en-GB"/>
        </w:rPr>
        <w:t xml:space="preserve">he results </w:t>
      </w:r>
      <w:r w:rsidR="009F220D">
        <w:rPr>
          <w:rFonts w:ascii="Arial" w:hAnsi="Arial" w:cs="Arial"/>
          <w:lang w:eastAsia="en-GB"/>
        </w:rPr>
        <w:t>is</w:t>
      </w:r>
      <w:r w:rsidR="00941BD5">
        <w:rPr>
          <w:rFonts w:ascii="Arial" w:hAnsi="Arial" w:cs="Arial"/>
          <w:lang w:eastAsia="en-GB"/>
        </w:rPr>
        <w:t xml:space="preserve"> shown in Table 17.</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5A1153" w14:paraId="50BEA915" w14:textId="77777777" w:rsidTr="00C02C8F">
        <w:tc>
          <w:tcPr>
            <w:tcW w:w="9016" w:type="dxa"/>
            <w:gridSpan w:val="3"/>
            <w:shd w:val="clear" w:color="auto" w:fill="000099"/>
          </w:tcPr>
          <w:p w14:paraId="09C11E93" w14:textId="77777777" w:rsidR="005A1153" w:rsidRPr="00826067" w:rsidRDefault="005A1153" w:rsidP="00C02C8F">
            <w:pPr>
              <w:spacing w:after="0"/>
              <w:jc w:val="center"/>
              <w:rPr>
                <w:rFonts w:ascii="Arial" w:hAnsi="Arial" w:cs="Arial"/>
                <w:b/>
                <w:bCs/>
                <w:lang w:eastAsia="en-GB"/>
              </w:rPr>
            </w:pPr>
            <w:r w:rsidRPr="00826067">
              <w:rPr>
                <w:rFonts w:ascii="Arial" w:hAnsi="Arial" w:cs="Arial"/>
                <w:b/>
                <w:bCs/>
                <w:lang w:eastAsia="en-GB"/>
              </w:rPr>
              <w:t xml:space="preserve">Results </w:t>
            </w:r>
          </w:p>
        </w:tc>
      </w:tr>
      <w:tr w:rsidR="005A1153" w14:paraId="741C5372" w14:textId="77777777" w:rsidTr="00C02C8F">
        <w:tc>
          <w:tcPr>
            <w:tcW w:w="3005" w:type="dxa"/>
            <w:shd w:val="clear" w:color="auto" w:fill="99CCFF"/>
          </w:tcPr>
          <w:p w14:paraId="3D696B40" w14:textId="77777777" w:rsidR="005A1153" w:rsidRPr="00826067" w:rsidRDefault="005A1153" w:rsidP="00C02C8F">
            <w:pPr>
              <w:spacing w:after="0"/>
              <w:jc w:val="center"/>
              <w:rPr>
                <w:rFonts w:ascii="Arial" w:hAnsi="Arial" w:cs="Arial"/>
                <w:color w:val="000099"/>
                <w:lang w:eastAsia="en-GB"/>
              </w:rPr>
            </w:pPr>
          </w:p>
        </w:tc>
        <w:tc>
          <w:tcPr>
            <w:tcW w:w="3005" w:type="dxa"/>
            <w:shd w:val="clear" w:color="auto" w:fill="99CCFF"/>
          </w:tcPr>
          <w:p w14:paraId="262C0644" w14:textId="4EFEAB2C" w:rsidR="005A1153" w:rsidRPr="00826067" w:rsidRDefault="005A1153" w:rsidP="00C02C8F">
            <w:pPr>
              <w:spacing w:after="0"/>
              <w:jc w:val="center"/>
              <w:rPr>
                <w:rFonts w:ascii="Arial" w:hAnsi="Arial" w:cs="Arial"/>
                <w:b/>
                <w:bCs/>
                <w:color w:val="000099"/>
                <w:lang w:eastAsia="en-GB"/>
              </w:rPr>
            </w:pPr>
            <w:r w:rsidRPr="00826067">
              <w:rPr>
                <w:rFonts w:ascii="Arial" w:hAnsi="Arial" w:cs="Arial"/>
                <w:b/>
                <w:bCs/>
                <w:color w:val="000099"/>
                <w:lang w:eastAsia="en-GB"/>
              </w:rPr>
              <w:t>Unplanned re-active</w:t>
            </w:r>
          </w:p>
        </w:tc>
        <w:tc>
          <w:tcPr>
            <w:tcW w:w="3006" w:type="dxa"/>
            <w:shd w:val="clear" w:color="auto" w:fill="99CCFF"/>
          </w:tcPr>
          <w:p w14:paraId="4C019775" w14:textId="118D3498" w:rsidR="005A1153" w:rsidRPr="00826067" w:rsidRDefault="005A1153" w:rsidP="00C02C8F">
            <w:pPr>
              <w:spacing w:after="0"/>
              <w:jc w:val="center"/>
              <w:rPr>
                <w:rFonts w:ascii="Arial" w:hAnsi="Arial" w:cs="Arial"/>
                <w:b/>
                <w:bCs/>
                <w:color w:val="000099"/>
                <w:lang w:eastAsia="en-GB"/>
              </w:rPr>
            </w:pPr>
            <w:r w:rsidRPr="00826067">
              <w:rPr>
                <w:rFonts w:ascii="Arial" w:hAnsi="Arial" w:cs="Arial"/>
                <w:b/>
                <w:bCs/>
                <w:color w:val="000099"/>
                <w:lang w:eastAsia="en-GB"/>
              </w:rPr>
              <w:t>Planned Preventive</w:t>
            </w:r>
          </w:p>
        </w:tc>
      </w:tr>
      <w:tr w:rsidR="005A1153" w14:paraId="716008EA" w14:textId="77777777" w:rsidTr="00C02C8F">
        <w:tc>
          <w:tcPr>
            <w:tcW w:w="3005" w:type="dxa"/>
          </w:tcPr>
          <w:p w14:paraId="7DBA3B7D" w14:textId="77777777" w:rsidR="005A1153" w:rsidRPr="00826067" w:rsidRDefault="005A1153" w:rsidP="00C02C8F">
            <w:pPr>
              <w:spacing w:after="0"/>
              <w:rPr>
                <w:rFonts w:ascii="Arial" w:hAnsi="Arial" w:cs="Arial"/>
                <w:b/>
                <w:bCs/>
                <w:lang w:eastAsia="en-GB"/>
              </w:rPr>
            </w:pPr>
            <w:r w:rsidRPr="00826067">
              <w:rPr>
                <w:rFonts w:ascii="Arial" w:hAnsi="Arial" w:cs="Arial"/>
                <w:b/>
                <w:bCs/>
                <w:lang w:eastAsia="en-GB"/>
              </w:rPr>
              <w:t>Discounted Maintenance Costs</w:t>
            </w:r>
          </w:p>
        </w:tc>
        <w:tc>
          <w:tcPr>
            <w:tcW w:w="3005" w:type="dxa"/>
          </w:tcPr>
          <w:p w14:paraId="6C892D02" w14:textId="77777777" w:rsidR="005A1153" w:rsidRPr="00826067" w:rsidRDefault="005A1153" w:rsidP="00C02C8F">
            <w:pPr>
              <w:spacing w:after="0"/>
              <w:rPr>
                <w:rFonts w:ascii="Arial" w:hAnsi="Arial" w:cs="Arial"/>
                <w:lang w:eastAsia="en-GB"/>
              </w:rPr>
            </w:pPr>
            <w:r w:rsidRPr="00826067">
              <w:rPr>
                <w:rFonts w:ascii="Arial" w:hAnsi="Arial" w:cs="Arial"/>
                <w:lang w:eastAsia="en-GB"/>
              </w:rPr>
              <w:t>£876,040.97</w:t>
            </w:r>
          </w:p>
        </w:tc>
        <w:tc>
          <w:tcPr>
            <w:tcW w:w="3006" w:type="dxa"/>
          </w:tcPr>
          <w:p w14:paraId="659096A4" w14:textId="77777777" w:rsidR="005A1153" w:rsidRPr="00826067" w:rsidRDefault="005A1153" w:rsidP="00C02C8F">
            <w:pPr>
              <w:spacing w:after="0"/>
              <w:rPr>
                <w:rFonts w:ascii="Arial" w:hAnsi="Arial" w:cs="Arial"/>
                <w:lang w:eastAsia="en-GB"/>
              </w:rPr>
            </w:pPr>
            <w:r w:rsidRPr="00826067">
              <w:rPr>
                <w:rFonts w:ascii="Arial" w:hAnsi="Arial" w:cs="Arial"/>
                <w:lang w:eastAsia="en-GB"/>
              </w:rPr>
              <w:t>£808,495.16</w:t>
            </w:r>
          </w:p>
          <w:p w14:paraId="76F00796" w14:textId="77777777" w:rsidR="005A1153" w:rsidRPr="00826067" w:rsidRDefault="005A1153" w:rsidP="00C02C8F">
            <w:pPr>
              <w:spacing w:after="0"/>
              <w:rPr>
                <w:rFonts w:ascii="Arial" w:hAnsi="Arial" w:cs="Arial"/>
                <w:lang w:eastAsia="en-GB"/>
              </w:rPr>
            </w:pPr>
          </w:p>
        </w:tc>
      </w:tr>
      <w:tr w:rsidR="005A1153" w14:paraId="2326CA55" w14:textId="77777777" w:rsidTr="00C02C8F">
        <w:tc>
          <w:tcPr>
            <w:tcW w:w="3005" w:type="dxa"/>
          </w:tcPr>
          <w:p w14:paraId="0C42E9EE" w14:textId="77777777" w:rsidR="005A1153" w:rsidRPr="00826067" w:rsidRDefault="005A1153" w:rsidP="00C02C8F">
            <w:pPr>
              <w:spacing w:after="0"/>
              <w:rPr>
                <w:rFonts w:ascii="Arial" w:hAnsi="Arial" w:cs="Arial"/>
                <w:b/>
                <w:bCs/>
                <w:lang w:eastAsia="en-GB"/>
              </w:rPr>
            </w:pPr>
            <w:r w:rsidRPr="00826067">
              <w:rPr>
                <w:rFonts w:ascii="Arial" w:hAnsi="Arial" w:cs="Arial"/>
                <w:b/>
                <w:bCs/>
                <w:lang w:eastAsia="en-GB"/>
              </w:rPr>
              <w:t>Discounted Traffic Delay Cost</w:t>
            </w:r>
          </w:p>
        </w:tc>
        <w:tc>
          <w:tcPr>
            <w:tcW w:w="3005" w:type="dxa"/>
          </w:tcPr>
          <w:p w14:paraId="7E14F8BE" w14:textId="77777777" w:rsidR="005A1153" w:rsidRPr="00826067" w:rsidRDefault="005A1153" w:rsidP="00C02C8F">
            <w:pPr>
              <w:spacing w:after="0"/>
              <w:rPr>
                <w:rFonts w:ascii="Arial" w:hAnsi="Arial" w:cs="Arial"/>
                <w:lang w:eastAsia="en-GB"/>
              </w:rPr>
            </w:pPr>
            <w:r w:rsidRPr="00826067">
              <w:rPr>
                <w:rFonts w:ascii="Arial" w:hAnsi="Arial" w:cs="Arial"/>
                <w:lang w:eastAsia="en-GB"/>
              </w:rPr>
              <w:t>£389,293.88</w:t>
            </w:r>
          </w:p>
        </w:tc>
        <w:tc>
          <w:tcPr>
            <w:tcW w:w="3006" w:type="dxa"/>
          </w:tcPr>
          <w:p w14:paraId="05979474" w14:textId="77777777" w:rsidR="005A1153" w:rsidRPr="00826067" w:rsidRDefault="005A1153" w:rsidP="00C02C8F">
            <w:pPr>
              <w:spacing w:after="0"/>
              <w:rPr>
                <w:rFonts w:ascii="Arial" w:hAnsi="Arial" w:cs="Arial"/>
                <w:lang w:eastAsia="en-GB"/>
              </w:rPr>
            </w:pPr>
            <w:r w:rsidRPr="00826067">
              <w:rPr>
                <w:rFonts w:ascii="Arial" w:hAnsi="Arial" w:cs="Arial"/>
                <w:lang w:eastAsia="en-GB"/>
              </w:rPr>
              <w:t>£65,231.67</w:t>
            </w:r>
          </w:p>
        </w:tc>
      </w:tr>
      <w:tr w:rsidR="005A1153" w14:paraId="7F2EEB69" w14:textId="77777777" w:rsidTr="00C02C8F">
        <w:tc>
          <w:tcPr>
            <w:tcW w:w="3005" w:type="dxa"/>
          </w:tcPr>
          <w:p w14:paraId="222CEE74" w14:textId="77777777" w:rsidR="005A1153" w:rsidRPr="00826067" w:rsidRDefault="005A1153" w:rsidP="00C02C8F">
            <w:pPr>
              <w:spacing w:after="0"/>
              <w:rPr>
                <w:rFonts w:ascii="Arial" w:hAnsi="Arial" w:cs="Arial"/>
                <w:b/>
                <w:bCs/>
                <w:lang w:eastAsia="en-GB"/>
              </w:rPr>
            </w:pPr>
            <w:r w:rsidRPr="00826067">
              <w:rPr>
                <w:rFonts w:ascii="Arial" w:hAnsi="Arial" w:cs="Arial"/>
                <w:b/>
                <w:bCs/>
                <w:lang w:eastAsia="en-GB"/>
              </w:rPr>
              <w:t>Discounted Price of Carbon</w:t>
            </w:r>
          </w:p>
        </w:tc>
        <w:tc>
          <w:tcPr>
            <w:tcW w:w="3005" w:type="dxa"/>
          </w:tcPr>
          <w:p w14:paraId="30C4AE3C" w14:textId="77777777" w:rsidR="005A1153" w:rsidRPr="00826067" w:rsidRDefault="005A1153" w:rsidP="00C02C8F">
            <w:pPr>
              <w:spacing w:after="0"/>
              <w:rPr>
                <w:rFonts w:ascii="Arial" w:hAnsi="Arial" w:cs="Arial"/>
                <w:lang w:eastAsia="en-GB"/>
              </w:rPr>
            </w:pPr>
            <w:r w:rsidRPr="00826067">
              <w:rPr>
                <w:rFonts w:ascii="Arial" w:hAnsi="Arial" w:cs="Arial"/>
                <w:lang w:eastAsia="en-GB"/>
              </w:rPr>
              <w:t>£24,122.72</w:t>
            </w:r>
          </w:p>
        </w:tc>
        <w:tc>
          <w:tcPr>
            <w:tcW w:w="3006" w:type="dxa"/>
          </w:tcPr>
          <w:p w14:paraId="045D0253" w14:textId="77777777" w:rsidR="005A1153" w:rsidRPr="00826067" w:rsidRDefault="005A1153" w:rsidP="00C02C8F">
            <w:pPr>
              <w:spacing w:after="0"/>
              <w:rPr>
                <w:rFonts w:ascii="Arial" w:hAnsi="Arial" w:cs="Arial"/>
                <w:lang w:eastAsia="en-GB"/>
              </w:rPr>
            </w:pPr>
            <w:r w:rsidRPr="00826067">
              <w:rPr>
                <w:rFonts w:ascii="Arial" w:hAnsi="Arial" w:cs="Arial"/>
                <w:lang w:eastAsia="en-GB"/>
              </w:rPr>
              <w:t>£22,954.76</w:t>
            </w:r>
          </w:p>
        </w:tc>
      </w:tr>
      <w:tr w:rsidR="005A1153" w14:paraId="0D8AA5D2" w14:textId="77777777" w:rsidTr="00C02C8F">
        <w:tc>
          <w:tcPr>
            <w:tcW w:w="3005" w:type="dxa"/>
          </w:tcPr>
          <w:p w14:paraId="460A235D" w14:textId="77777777" w:rsidR="005A1153" w:rsidRPr="00826067" w:rsidRDefault="005A1153" w:rsidP="00C02C8F">
            <w:pPr>
              <w:spacing w:after="0"/>
              <w:rPr>
                <w:rFonts w:ascii="Arial" w:hAnsi="Arial" w:cs="Arial"/>
                <w:lang w:eastAsia="en-GB"/>
              </w:rPr>
            </w:pPr>
            <w:r w:rsidRPr="00826067">
              <w:rPr>
                <w:rFonts w:ascii="Arial" w:hAnsi="Arial" w:cs="Arial"/>
                <w:b/>
                <w:bCs/>
                <w:lang w:eastAsia="en-GB"/>
              </w:rPr>
              <w:t>Net Present Value</w:t>
            </w:r>
          </w:p>
        </w:tc>
        <w:tc>
          <w:tcPr>
            <w:tcW w:w="3005" w:type="dxa"/>
          </w:tcPr>
          <w:p w14:paraId="0DFB8952" w14:textId="02BC23AD" w:rsidR="005A1153" w:rsidRPr="00826067" w:rsidRDefault="005A1153" w:rsidP="00C02C8F">
            <w:pPr>
              <w:spacing w:after="0"/>
              <w:rPr>
                <w:rFonts w:ascii="Arial" w:hAnsi="Arial" w:cs="Arial"/>
                <w:lang w:eastAsia="en-GB"/>
              </w:rPr>
            </w:pPr>
            <w:r w:rsidRPr="00826067">
              <w:rPr>
                <w:rFonts w:ascii="Arial" w:hAnsi="Arial" w:cs="Arial"/>
                <w:lang w:eastAsia="en-GB"/>
              </w:rPr>
              <w:t>£1,289,457.5</w:t>
            </w:r>
          </w:p>
        </w:tc>
        <w:tc>
          <w:tcPr>
            <w:tcW w:w="3006" w:type="dxa"/>
          </w:tcPr>
          <w:p w14:paraId="05CFBCCD" w14:textId="77777777" w:rsidR="005A1153" w:rsidRPr="00826067" w:rsidRDefault="005A1153" w:rsidP="00C02C8F">
            <w:pPr>
              <w:spacing w:after="0"/>
              <w:rPr>
                <w:rFonts w:ascii="Arial" w:hAnsi="Arial" w:cs="Arial"/>
                <w:lang w:eastAsia="en-GB"/>
              </w:rPr>
            </w:pPr>
            <w:r w:rsidRPr="00826067">
              <w:rPr>
                <w:rFonts w:ascii="Arial" w:hAnsi="Arial" w:cs="Arial"/>
                <w:lang w:eastAsia="en-GB"/>
              </w:rPr>
              <w:t>£896,495.16</w:t>
            </w:r>
          </w:p>
        </w:tc>
      </w:tr>
      <w:tr w:rsidR="005A1153" w14:paraId="7A6BA9C9" w14:textId="77777777" w:rsidTr="00C02C8F">
        <w:tc>
          <w:tcPr>
            <w:tcW w:w="3005" w:type="dxa"/>
          </w:tcPr>
          <w:p w14:paraId="1B081640" w14:textId="77777777" w:rsidR="005A1153" w:rsidRPr="00826067" w:rsidRDefault="005A1153" w:rsidP="00C02C8F">
            <w:pPr>
              <w:spacing w:after="0"/>
              <w:rPr>
                <w:rFonts w:ascii="Arial" w:hAnsi="Arial" w:cs="Arial"/>
                <w:lang w:eastAsia="en-GB"/>
              </w:rPr>
            </w:pPr>
            <w:r w:rsidRPr="00826067">
              <w:rPr>
                <w:rFonts w:ascii="Arial" w:hAnsi="Arial" w:cs="Arial"/>
                <w:b/>
                <w:bCs/>
                <w:lang w:eastAsia="en-GB"/>
              </w:rPr>
              <w:t>Discounted workbank after year 100</w:t>
            </w:r>
          </w:p>
        </w:tc>
        <w:tc>
          <w:tcPr>
            <w:tcW w:w="3005" w:type="dxa"/>
          </w:tcPr>
          <w:p w14:paraId="204A4821" w14:textId="77777777" w:rsidR="005A1153" w:rsidRPr="00826067" w:rsidRDefault="005A1153" w:rsidP="00C02C8F">
            <w:pPr>
              <w:spacing w:after="0"/>
              <w:rPr>
                <w:rFonts w:ascii="Arial" w:hAnsi="Arial" w:cs="Arial"/>
                <w:lang w:eastAsia="en-GB"/>
              </w:rPr>
            </w:pPr>
            <w:r w:rsidRPr="00826067">
              <w:rPr>
                <w:rFonts w:ascii="Arial" w:hAnsi="Arial" w:cs="Arial"/>
                <w:lang w:eastAsia="en-GB"/>
              </w:rPr>
              <w:t>£7,379.73</w:t>
            </w:r>
          </w:p>
        </w:tc>
        <w:tc>
          <w:tcPr>
            <w:tcW w:w="3006" w:type="dxa"/>
          </w:tcPr>
          <w:p w14:paraId="5CBDDA46" w14:textId="77777777" w:rsidR="005A1153" w:rsidRPr="00826067" w:rsidRDefault="005A1153" w:rsidP="00C02C8F">
            <w:pPr>
              <w:spacing w:after="0"/>
              <w:rPr>
                <w:rFonts w:ascii="Arial" w:hAnsi="Arial" w:cs="Arial"/>
                <w:lang w:eastAsia="en-GB"/>
              </w:rPr>
            </w:pPr>
            <w:r w:rsidRPr="00826067">
              <w:rPr>
                <w:rFonts w:ascii="Arial" w:hAnsi="Arial" w:cs="Arial"/>
                <w:lang w:eastAsia="en-GB"/>
              </w:rPr>
              <w:t>£163.20</w:t>
            </w:r>
          </w:p>
        </w:tc>
      </w:tr>
      <w:tr w:rsidR="005A1153" w14:paraId="5627412C" w14:textId="77777777" w:rsidTr="00C02C8F">
        <w:tc>
          <w:tcPr>
            <w:tcW w:w="3005" w:type="dxa"/>
          </w:tcPr>
          <w:p w14:paraId="0F5D759D" w14:textId="77777777" w:rsidR="005A1153" w:rsidRPr="00826067" w:rsidRDefault="005A1153" w:rsidP="00C02C8F">
            <w:pPr>
              <w:spacing w:after="0"/>
              <w:rPr>
                <w:rFonts w:ascii="Arial" w:hAnsi="Arial" w:cs="Arial"/>
                <w:lang w:eastAsia="en-GB"/>
              </w:rPr>
            </w:pPr>
            <w:r w:rsidRPr="00826067">
              <w:rPr>
                <w:rFonts w:ascii="Arial" w:hAnsi="Arial" w:cs="Arial"/>
                <w:b/>
                <w:bCs/>
                <w:lang w:eastAsia="en-GB"/>
              </w:rPr>
              <w:t>Total tCO</w:t>
            </w:r>
            <w:r w:rsidRPr="00826067">
              <w:rPr>
                <w:rFonts w:ascii="Arial" w:hAnsi="Arial" w:cs="Arial"/>
                <w:b/>
                <w:bCs/>
                <w:vertAlign w:val="subscript"/>
                <w:lang w:eastAsia="en-GB"/>
              </w:rPr>
              <w:t>2</w:t>
            </w:r>
          </w:p>
        </w:tc>
        <w:tc>
          <w:tcPr>
            <w:tcW w:w="3005" w:type="dxa"/>
          </w:tcPr>
          <w:p w14:paraId="0F75C99A" w14:textId="77777777" w:rsidR="005A1153" w:rsidRPr="00826067" w:rsidRDefault="005A1153" w:rsidP="00C02C8F">
            <w:pPr>
              <w:spacing w:after="0"/>
              <w:rPr>
                <w:rFonts w:ascii="Arial" w:hAnsi="Arial" w:cs="Arial"/>
                <w:lang w:eastAsia="en-GB"/>
              </w:rPr>
            </w:pPr>
            <w:r w:rsidRPr="00826067">
              <w:rPr>
                <w:rFonts w:ascii="Arial" w:hAnsi="Arial" w:cs="Arial"/>
                <w:lang w:eastAsia="en-GB"/>
              </w:rPr>
              <w:t>394</w:t>
            </w:r>
          </w:p>
        </w:tc>
        <w:tc>
          <w:tcPr>
            <w:tcW w:w="3006" w:type="dxa"/>
          </w:tcPr>
          <w:p w14:paraId="34C3C9F3" w14:textId="77777777" w:rsidR="005A1153" w:rsidRPr="00826067" w:rsidRDefault="005A1153" w:rsidP="00C02C8F">
            <w:pPr>
              <w:spacing w:after="0"/>
              <w:rPr>
                <w:rFonts w:ascii="Arial" w:hAnsi="Arial" w:cs="Arial"/>
                <w:lang w:eastAsia="en-GB"/>
              </w:rPr>
            </w:pPr>
            <w:r w:rsidRPr="00826067">
              <w:rPr>
                <w:rFonts w:ascii="Arial" w:hAnsi="Arial" w:cs="Arial"/>
                <w:lang w:eastAsia="en-GB"/>
              </w:rPr>
              <w:t>366</w:t>
            </w:r>
          </w:p>
        </w:tc>
      </w:tr>
    </w:tbl>
    <w:p w14:paraId="30995486" w14:textId="533EF27A" w:rsidR="005A1153" w:rsidRPr="00D8730C" w:rsidRDefault="005A1153" w:rsidP="00C02C8F">
      <w:pPr>
        <w:pStyle w:val="Caption"/>
        <w:spacing w:before="240"/>
        <w:jc w:val="center"/>
        <w:rPr>
          <w:rFonts w:ascii="Arial" w:hAnsi="Arial" w:cs="Arial"/>
          <w:sz w:val="22"/>
          <w:szCs w:val="22"/>
          <w:lang w:eastAsia="en-GB"/>
        </w:rPr>
      </w:pPr>
      <w:bookmarkStart w:id="134" w:name="_Toc66869000"/>
      <w:r w:rsidRPr="00D8730C">
        <w:rPr>
          <w:rFonts w:ascii="Arial" w:hAnsi="Arial" w:cs="Arial"/>
          <w:sz w:val="22"/>
          <w:szCs w:val="22"/>
        </w:rPr>
        <w:t xml:space="preserve">Table </w:t>
      </w:r>
      <w:r w:rsidRPr="00D8730C">
        <w:rPr>
          <w:rFonts w:ascii="Arial" w:hAnsi="Arial" w:cs="Arial"/>
          <w:sz w:val="22"/>
          <w:szCs w:val="22"/>
        </w:rPr>
        <w:fldChar w:fldCharType="begin"/>
      </w:r>
      <w:r w:rsidRPr="00D8730C">
        <w:rPr>
          <w:rFonts w:ascii="Arial" w:hAnsi="Arial" w:cs="Arial"/>
          <w:sz w:val="22"/>
          <w:szCs w:val="22"/>
        </w:rPr>
        <w:instrText xml:space="preserve"> SEQ Table \* ARABIC </w:instrText>
      </w:r>
      <w:r w:rsidRPr="00D8730C">
        <w:rPr>
          <w:rFonts w:ascii="Arial" w:hAnsi="Arial" w:cs="Arial"/>
          <w:sz w:val="22"/>
          <w:szCs w:val="22"/>
        </w:rPr>
        <w:fldChar w:fldCharType="separate"/>
      </w:r>
      <w:r w:rsidR="00B97B5D">
        <w:rPr>
          <w:rFonts w:ascii="Arial" w:hAnsi="Arial" w:cs="Arial"/>
          <w:noProof/>
          <w:sz w:val="22"/>
          <w:szCs w:val="22"/>
        </w:rPr>
        <w:t>17</w:t>
      </w:r>
      <w:r w:rsidRPr="00D8730C">
        <w:rPr>
          <w:rFonts w:ascii="Arial" w:hAnsi="Arial" w:cs="Arial"/>
          <w:sz w:val="22"/>
          <w:szCs w:val="22"/>
        </w:rPr>
        <w:fldChar w:fldCharType="end"/>
      </w:r>
      <w:r w:rsidRPr="00D8730C">
        <w:rPr>
          <w:rFonts w:ascii="Arial" w:hAnsi="Arial" w:cs="Arial"/>
          <w:sz w:val="22"/>
          <w:szCs w:val="22"/>
        </w:rPr>
        <w:t xml:space="preserve"> - Results Summary</w:t>
      </w:r>
      <w:bookmarkEnd w:id="134"/>
    </w:p>
    <w:p w14:paraId="23F8EB1B" w14:textId="02A305B0" w:rsidR="004A5196" w:rsidRPr="00BC190C" w:rsidRDefault="00844F22">
      <w:pPr>
        <w:spacing w:line="360" w:lineRule="auto"/>
        <w:rPr>
          <w:rFonts w:ascii="Arial" w:hAnsi="Arial" w:cs="Arial"/>
          <w:lang w:eastAsia="en-GB"/>
        </w:rPr>
      </w:pPr>
      <w:r>
        <w:rPr>
          <w:rFonts w:ascii="Arial" w:hAnsi="Arial" w:cs="Arial"/>
        </w:rPr>
        <w:t>Details of the individual maintenance schemes are tabulated in Appendix H. Discounted scheme costs</w:t>
      </w:r>
      <w:r w:rsidR="00396881">
        <w:rPr>
          <w:rFonts w:ascii="Arial" w:hAnsi="Arial" w:cs="Arial"/>
        </w:rPr>
        <w:t>, traffic delay</w:t>
      </w:r>
      <w:r w:rsidR="00A71527">
        <w:rPr>
          <w:rFonts w:ascii="Arial" w:hAnsi="Arial" w:cs="Arial"/>
        </w:rPr>
        <w:t xml:space="preserve"> costs and CO</w:t>
      </w:r>
      <w:r w:rsidR="00A71527" w:rsidRPr="00C02C8F">
        <w:rPr>
          <w:rFonts w:ascii="Arial" w:hAnsi="Arial" w:cs="Arial"/>
          <w:vertAlign w:val="subscript"/>
        </w:rPr>
        <w:t>2</w:t>
      </w:r>
      <w:r w:rsidRPr="00C02C8F">
        <w:rPr>
          <w:rFonts w:ascii="Arial" w:hAnsi="Arial" w:cs="Arial"/>
          <w:vertAlign w:val="superscript"/>
        </w:rPr>
        <w:t xml:space="preserve"> </w:t>
      </w:r>
      <w:r w:rsidR="00A71527">
        <w:rPr>
          <w:rFonts w:ascii="Arial" w:hAnsi="Arial" w:cs="Arial"/>
        </w:rPr>
        <w:t xml:space="preserve">costs </w:t>
      </w:r>
      <w:r>
        <w:rPr>
          <w:rFonts w:ascii="Arial" w:hAnsi="Arial" w:cs="Arial"/>
        </w:rPr>
        <w:t xml:space="preserve">throughout the analysis period are illustrated in Figures 2 </w:t>
      </w:r>
      <w:r w:rsidR="00165BBA">
        <w:rPr>
          <w:rFonts w:ascii="Arial" w:hAnsi="Arial" w:cs="Arial"/>
        </w:rPr>
        <w:t>to 7</w:t>
      </w:r>
      <w:r>
        <w:rPr>
          <w:rFonts w:ascii="Arial" w:hAnsi="Arial" w:cs="Arial"/>
        </w:rPr>
        <w:t>.</w:t>
      </w:r>
      <w:r w:rsidR="00BC190C">
        <w:rPr>
          <w:rFonts w:ascii="Arial" w:hAnsi="Arial" w:cs="Arial"/>
        </w:rPr>
        <w:t xml:space="preserve"> CO</w:t>
      </w:r>
      <w:r w:rsidR="00BC190C" w:rsidRPr="00C02C8F">
        <w:rPr>
          <w:rFonts w:ascii="Arial" w:hAnsi="Arial" w:cs="Arial"/>
          <w:vertAlign w:val="subscript"/>
        </w:rPr>
        <w:t>2</w:t>
      </w:r>
      <w:r w:rsidR="00BC190C">
        <w:rPr>
          <w:rFonts w:ascii="Arial" w:hAnsi="Arial" w:cs="Arial"/>
        </w:rPr>
        <w:t xml:space="preserve"> emissions throughout the analysis period are shown in Figures 8 &amp; 9.</w:t>
      </w:r>
    </w:p>
    <w:p w14:paraId="5394908E" w14:textId="057A80B7" w:rsidR="004A5196" w:rsidRPr="00E516B0" w:rsidRDefault="004A5196" w:rsidP="00C02C8F">
      <w:pPr>
        <w:rPr>
          <w:rFonts w:ascii="Arial" w:hAnsi="Arial" w:cs="Arial"/>
          <w:lang w:eastAsia="en-GB"/>
        </w:rPr>
      </w:pPr>
    </w:p>
    <w:p w14:paraId="47A899E3" w14:textId="2A247627" w:rsidR="004A5196" w:rsidRPr="00F54879" w:rsidRDefault="004A5196" w:rsidP="00C02C8F">
      <w:pPr>
        <w:rPr>
          <w:rFonts w:ascii="Arial" w:hAnsi="Arial" w:cs="Arial"/>
          <w:lang w:eastAsia="en-GB"/>
        </w:rPr>
      </w:pPr>
    </w:p>
    <w:p w14:paraId="53D58418" w14:textId="221D2142" w:rsidR="004A5196" w:rsidRDefault="004A5196" w:rsidP="004A5196">
      <w:pPr>
        <w:rPr>
          <w:rFonts w:ascii="Arial" w:hAnsi="Arial" w:cs="Arial"/>
          <w:lang w:eastAsia="en-GB"/>
        </w:rPr>
      </w:pPr>
    </w:p>
    <w:p w14:paraId="52919979" w14:textId="36B98F26" w:rsidR="004A5196" w:rsidRDefault="004A5196" w:rsidP="004A5196">
      <w:pPr>
        <w:rPr>
          <w:rFonts w:ascii="Arial" w:hAnsi="Arial" w:cs="Arial"/>
          <w:lang w:eastAsia="en-GB"/>
        </w:rPr>
      </w:pPr>
    </w:p>
    <w:p w14:paraId="07B576A1" w14:textId="5794BF73" w:rsidR="004A5196" w:rsidRDefault="004A5196" w:rsidP="004A5196">
      <w:pPr>
        <w:rPr>
          <w:rFonts w:ascii="Arial" w:hAnsi="Arial" w:cs="Arial"/>
          <w:lang w:eastAsia="en-GB"/>
        </w:rPr>
      </w:pPr>
    </w:p>
    <w:p w14:paraId="00818B21" w14:textId="77777777" w:rsidR="004A5196" w:rsidRPr="004A5196" w:rsidRDefault="004A5196" w:rsidP="00C02C8F">
      <w:pPr>
        <w:rPr>
          <w:rFonts w:ascii="Arial" w:hAnsi="Arial" w:cs="Arial"/>
          <w:lang w:eastAsia="en-GB"/>
        </w:rPr>
      </w:pPr>
    </w:p>
    <w:p w14:paraId="519653D4" w14:textId="283568AD" w:rsidR="004A5196" w:rsidRDefault="004A5196" w:rsidP="004A5196">
      <w:pPr>
        <w:rPr>
          <w:rFonts w:ascii="Arial" w:hAnsi="Arial" w:cs="Arial"/>
          <w:lang w:eastAsia="en-GB"/>
        </w:rPr>
      </w:pPr>
    </w:p>
    <w:p w14:paraId="23FD6F4B" w14:textId="16C34015" w:rsidR="0045022E" w:rsidRDefault="0045022E" w:rsidP="004A5196">
      <w:pPr>
        <w:rPr>
          <w:rFonts w:ascii="Arial" w:hAnsi="Arial" w:cs="Arial"/>
          <w:lang w:eastAsia="en-GB"/>
        </w:rPr>
      </w:pPr>
    </w:p>
    <w:p w14:paraId="5B7E1CC6" w14:textId="1022CC26" w:rsidR="0045022E" w:rsidRDefault="0045022E" w:rsidP="004A5196">
      <w:pPr>
        <w:rPr>
          <w:rFonts w:ascii="Arial" w:hAnsi="Arial" w:cs="Arial"/>
          <w:lang w:eastAsia="en-GB"/>
        </w:rPr>
      </w:pPr>
    </w:p>
    <w:p w14:paraId="37D805D0" w14:textId="77777777" w:rsidR="00165634" w:rsidRDefault="00165634" w:rsidP="004A5196">
      <w:pPr>
        <w:rPr>
          <w:rFonts w:ascii="Arial" w:hAnsi="Arial" w:cs="Arial"/>
          <w:lang w:eastAsia="en-GB"/>
        </w:rPr>
        <w:sectPr w:rsidR="00165634" w:rsidSect="00C02C8F">
          <w:pgSz w:w="11906" w:h="16838"/>
          <w:pgMar w:top="1440" w:right="1440" w:bottom="1440" w:left="1440" w:header="708" w:footer="708" w:gutter="0"/>
          <w:cols w:space="708"/>
          <w:titlePg/>
          <w:docGrid w:linePitch="360"/>
        </w:sectPr>
      </w:pPr>
    </w:p>
    <w:p w14:paraId="562934CC" w14:textId="3BD92C27" w:rsidR="004A5196" w:rsidRPr="00C02C8F" w:rsidRDefault="00A07AF7" w:rsidP="00C02C8F">
      <w:pPr>
        <w:pStyle w:val="Heading2"/>
        <w:spacing w:line="360" w:lineRule="auto"/>
        <w:rPr>
          <w:rFonts w:ascii="Arial" w:hAnsi="Arial" w:cs="Arial"/>
          <w:b/>
          <w:bCs/>
          <w:color w:val="auto"/>
          <w:sz w:val="24"/>
          <w:szCs w:val="24"/>
          <w:lang w:eastAsia="en-GB"/>
        </w:rPr>
      </w:pPr>
      <w:bookmarkStart w:id="135" w:name="_Toc66868916"/>
      <w:r w:rsidRPr="00C02C8F">
        <w:rPr>
          <w:rFonts w:ascii="Arial" w:hAnsi="Arial" w:cs="Arial"/>
          <w:b/>
          <w:bCs/>
          <w:color w:val="auto"/>
          <w:sz w:val="24"/>
          <w:szCs w:val="24"/>
          <w:lang w:eastAsia="en-GB"/>
        </w:rPr>
        <w:t>Discounted</w:t>
      </w:r>
      <w:r w:rsidR="00D12EB4" w:rsidRPr="00C02C8F">
        <w:rPr>
          <w:rFonts w:ascii="Arial" w:hAnsi="Arial" w:cs="Arial"/>
          <w:b/>
          <w:bCs/>
          <w:color w:val="auto"/>
          <w:sz w:val="24"/>
          <w:szCs w:val="24"/>
          <w:lang w:eastAsia="en-GB"/>
        </w:rPr>
        <w:t xml:space="preserve"> </w:t>
      </w:r>
      <w:r w:rsidR="004A5196" w:rsidRPr="00C02C8F">
        <w:rPr>
          <w:rFonts w:ascii="Arial" w:hAnsi="Arial" w:cs="Arial"/>
          <w:b/>
          <w:bCs/>
          <w:color w:val="auto"/>
          <w:sz w:val="24"/>
          <w:szCs w:val="24"/>
          <w:lang w:eastAsia="en-GB"/>
        </w:rPr>
        <w:t>Scheme Costs</w:t>
      </w:r>
      <w:bookmarkEnd w:id="135"/>
      <w:r w:rsidR="0071319C" w:rsidRPr="00C02C8F">
        <w:rPr>
          <w:rFonts w:ascii="Arial" w:hAnsi="Arial" w:cs="Arial"/>
          <w:b/>
          <w:bCs/>
          <w:color w:val="auto"/>
          <w:sz w:val="24"/>
          <w:szCs w:val="24"/>
          <w:lang w:eastAsia="en-GB"/>
        </w:rPr>
        <w:t xml:space="preserve"> </w:t>
      </w:r>
    </w:p>
    <w:p w14:paraId="27E2C867" w14:textId="77777777" w:rsidR="00B6527E" w:rsidRDefault="00D65321" w:rsidP="00C02C8F">
      <w:pPr>
        <w:keepNext/>
        <w:spacing w:after="0" w:line="360" w:lineRule="auto"/>
        <w:ind w:left="-567"/>
        <w:jc w:val="center"/>
      </w:pPr>
      <w:r>
        <w:rPr>
          <w:noProof/>
        </w:rPr>
        <w:drawing>
          <wp:inline distT="0" distB="0" distL="0" distR="0" wp14:anchorId="29B72C04" wp14:editId="3B8A2BA7">
            <wp:extent cx="9590405" cy="2456121"/>
            <wp:effectExtent l="0" t="0" r="10795" b="1905"/>
            <wp:docPr id="2" name="Chart 2">
              <a:extLst xmlns:a="http://schemas.openxmlformats.org/drawingml/2006/main">
                <a:ext uri="{FF2B5EF4-FFF2-40B4-BE49-F238E27FC236}">
                  <a16:creationId xmlns:a16="http://schemas.microsoft.com/office/drawing/2014/main" id="{C7E19CED-3ADC-4DBF-A52A-AD7B6219AD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4F41FB" w14:textId="57ABF6FF" w:rsidR="00CC135A" w:rsidRDefault="00B6527E" w:rsidP="001E714D">
      <w:pPr>
        <w:pStyle w:val="Caption"/>
        <w:ind w:left="-567"/>
        <w:jc w:val="center"/>
        <w:rPr>
          <w:rFonts w:ascii="Arial" w:hAnsi="Arial" w:cs="Arial"/>
          <w:sz w:val="22"/>
          <w:szCs w:val="22"/>
        </w:rPr>
      </w:pPr>
      <w:bookmarkStart w:id="136" w:name="_Toc66868954"/>
      <w:r w:rsidRPr="00C02C8F">
        <w:rPr>
          <w:rFonts w:ascii="Arial" w:hAnsi="Arial" w:cs="Arial"/>
          <w:sz w:val="22"/>
          <w:szCs w:val="22"/>
        </w:rPr>
        <w:t xml:space="preserve">Figure </w:t>
      </w:r>
      <w:r w:rsidRPr="00C02C8F">
        <w:rPr>
          <w:rFonts w:ascii="Arial" w:hAnsi="Arial" w:cs="Arial"/>
          <w:sz w:val="22"/>
          <w:szCs w:val="22"/>
        </w:rPr>
        <w:fldChar w:fldCharType="begin"/>
      </w:r>
      <w:r w:rsidRPr="00C02C8F">
        <w:rPr>
          <w:rFonts w:ascii="Arial" w:hAnsi="Arial" w:cs="Arial"/>
          <w:sz w:val="22"/>
          <w:szCs w:val="22"/>
        </w:rPr>
        <w:instrText xml:space="preserve"> SEQ Figure \* ARABIC </w:instrText>
      </w:r>
      <w:r w:rsidRPr="00C02C8F">
        <w:rPr>
          <w:rFonts w:ascii="Arial" w:hAnsi="Arial" w:cs="Arial"/>
          <w:sz w:val="22"/>
          <w:szCs w:val="22"/>
        </w:rPr>
        <w:fldChar w:fldCharType="separate"/>
      </w:r>
      <w:r w:rsidR="0063178E">
        <w:rPr>
          <w:rFonts w:ascii="Arial" w:hAnsi="Arial" w:cs="Arial"/>
          <w:noProof/>
          <w:sz w:val="22"/>
          <w:szCs w:val="22"/>
        </w:rPr>
        <w:t>2</w:t>
      </w:r>
      <w:r w:rsidRPr="00C02C8F">
        <w:rPr>
          <w:rFonts w:ascii="Arial" w:hAnsi="Arial" w:cs="Arial"/>
          <w:sz w:val="22"/>
          <w:szCs w:val="22"/>
        </w:rPr>
        <w:fldChar w:fldCharType="end"/>
      </w:r>
      <w:r w:rsidR="00652556" w:rsidRPr="00C02C8F">
        <w:rPr>
          <w:rFonts w:ascii="Arial" w:hAnsi="Arial" w:cs="Arial"/>
          <w:sz w:val="22"/>
          <w:szCs w:val="22"/>
        </w:rPr>
        <w:t xml:space="preserve"> – Discounted Scheme Costs for the Planned Preventive Maintenance Strategy</w:t>
      </w:r>
      <w:bookmarkEnd w:id="136"/>
    </w:p>
    <w:p w14:paraId="70979D15" w14:textId="2602FA76" w:rsidR="00B6527E" w:rsidRDefault="00B83B15" w:rsidP="00C02C8F">
      <w:pPr>
        <w:pStyle w:val="Caption"/>
        <w:ind w:left="-567"/>
        <w:jc w:val="center"/>
      </w:pPr>
      <w:r>
        <w:rPr>
          <w:noProof/>
        </w:rPr>
        <w:drawing>
          <wp:inline distT="0" distB="0" distL="0" distR="0" wp14:anchorId="37C59EDC" wp14:editId="0C00CFAB">
            <wp:extent cx="9590405" cy="2253615"/>
            <wp:effectExtent l="0" t="0" r="10795" b="13335"/>
            <wp:docPr id="6" name="Chart 6">
              <a:extLst xmlns:a="http://schemas.openxmlformats.org/drawingml/2006/main">
                <a:ext uri="{FF2B5EF4-FFF2-40B4-BE49-F238E27FC236}">
                  <a16:creationId xmlns:a16="http://schemas.microsoft.com/office/drawing/2014/main" id="{057FDD84-1571-4900-B83E-92CC48A04B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65B1BF" w14:textId="5B53DE6B" w:rsidR="000154CF" w:rsidRPr="006717B3" w:rsidRDefault="00B6527E" w:rsidP="00C02C8F">
      <w:pPr>
        <w:spacing w:line="360" w:lineRule="auto"/>
        <w:jc w:val="center"/>
        <w:rPr>
          <w:i/>
          <w:iCs/>
        </w:rPr>
      </w:pPr>
      <w:bookmarkStart w:id="137" w:name="_Toc66868955"/>
      <w:r w:rsidRPr="006717B3">
        <w:rPr>
          <w:rFonts w:ascii="Arial" w:hAnsi="Arial" w:cs="Arial"/>
          <w:i/>
          <w:iCs/>
        </w:rPr>
        <w:t xml:space="preserve">Figure </w:t>
      </w:r>
      <w:r w:rsidRPr="006717B3">
        <w:rPr>
          <w:rFonts w:ascii="Arial" w:hAnsi="Arial" w:cs="Arial"/>
          <w:i/>
          <w:iCs/>
        </w:rPr>
        <w:fldChar w:fldCharType="begin"/>
      </w:r>
      <w:r w:rsidRPr="006717B3">
        <w:rPr>
          <w:rFonts w:ascii="Arial" w:hAnsi="Arial" w:cs="Arial"/>
          <w:i/>
          <w:iCs/>
        </w:rPr>
        <w:instrText xml:space="preserve"> SEQ Figure \* ARABIC </w:instrText>
      </w:r>
      <w:r w:rsidRPr="006717B3">
        <w:rPr>
          <w:rFonts w:ascii="Arial" w:hAnsi="Arial" w:cs="Arial"/>
          <w:i/>
          <w:iCs/>
        </w:rPr>
        <w:fldChar w:fldCharType="separate"/>
      </w:r>
      <w:r w:rsidR="0063178E" w:rsidRPr="006717B3">
        <w:rPr>
          <w:rFonts w:ascii="Arial" w:hAnsi="Arial" w:cs="Arial"/>
          <w:i/>
          <w:iCs/>
          <w:noProof/>
        </w:rPr>
        <w:t>3</w:t>
      </w:r>
      <w:r w:rsidRPr="006717B3">
        <w:rPr>
          <w:rFonts w:ascii="Arial" w:hAnsi="Arial" w:cs="Arial"/>
          <w:i/>
          <w:iCs/>
        </w:rPr>
        <w:fldChar w:fldCharType="end"/>
      </w:r>
      <w:r w:rsidR="00F90FEE" w:rsidRPr="006717B3">
        <w:rPr>
          <w:rFonts w:ascii="Arial" w:hAnsi="Arial" w:cs="Arial"/>
          <w:i/>
          <w:iCs/>
        </w:rPr>
        <w:t xml:space="preserve"> – Discounted Scheme Costs for the Unplanned Re-active Maintenance Strategy</w:t>
      </w:r>
      <w:bookmarkEnd w:id="137"/>
    </w:p>
    <w:p w14:paraId="7448DA2B" w14:textId="4CC1FFB9" w:rsidR="009B40FA" w:rsidRPr="00C02C8F" w:rsidRDefault="009B40FA" w:rsidP="00C02C8F">
      <w:pPr>
        <w:pStyle w:val="Heading2"/>
        <w:spacing w:line="360" w:lineRule="auto"/>
        <w:rPr>
          <w:rFonts w:ascii="Arial" w:hAnsi="Arial" w:cs="Arial"/>
          <w:b/>
          <w:bCs/>
          <w:color w:val="auto"/>
          <w:sz w:val="24"/>
          <w:szCs w:val="24"/>
          <w:lang w:eastAsia="en-GB"/>
        </w:rPr>
      </w:pPr>
      <w:bookmarkStart w:id="138" w:name="_Toc66868917"/>
      <w:r w:rsidRPr="00C02C8F">
        <w:rPr>
          <w:rFonts w:ascii="Arial" w:hAnsi="Arial" w:cs="Arial"/>
          <w:b/>
          <w:bCs/>
          <w:color w:val="auto"/>
          <w:sz w:val="24"/>
          <w:szCs w:val="24"/>
          <w:lang w:eastAsia="en-GB"/>
        </w:rPr>
        <w:t xml:space="preserve">Discounted </w:t>
      </w:r>
      <w:r w:rsidR="00205417" w:rsidRPr="00C02C8F">
        <w:rPr>
          <w:rFonts w:ascii="Arial" w:hAnsi="Arial" w:cs="Arial"/>
          <w:b/>
          <w:bCs/>
          <w:color w:val="auto"/>
          <w:sz w:val="24"/>
          <w:szCs w:val="24"/>
          <w:lang w:eastAsia="en-GB"/>
        </w:rPr>
        <w:t>Traffic Delay</w:t>
      </w:r>
      <w:r w:rsidRPr="00C02C8F">
        <w:rPr>
          <w:rFonts w:ascii="Arial" w:hAnsi="Arial" w:cs="Arial"/>
          <w:b/>
          <w:bCs/>
          <w:color w:val="auto"/>
          <w:sz w:val="24"/>
          <w:szCs w:val="24"/>
          <w:lang w:eastAsia="en-GB"/>
        </w:rPr>
        <w:t xml:space="preserve"> Costs</w:t>
      </w:r>
      <w:bookmarkEnd w:id="138"/>
      <w:r w:rsidRPr="00C02C8F">
        <w:rPr>
          <w:rFonts w:ascii="Arial" w:hAnsi="Arial" w:cs="Arial"/>
          <w:b/>
          <w:bCs/>
          <w:color w:val="auto"/>
          <w:sz w:val="24"/>
          <w:szCs w:val="24"/>
          <w:lang w:eastAsia="en-GB"/>
        </w:rPr>
        <w:t xml:space="preserve"> </w:t>
      </w:r>
    </w:p>
    <w:p w14:paraId="43497636" w14:textId="32250C7D" w:rsidR="009B40FA" w:rsidRDefault="00462AC7" w:rsidP="00C02C8F">
      <w:pPr>
        <w:pStyle w:val="Heading2"/>
        <w:numPr>
          <w:ilvl w:val="0"/>
          <w:numId w:val="0"/>
        </w:numPr>
        <w:spacing w:line="360" w:lineRule="auto"/>
        <w:ind w:left="142" w:hanging="576"/>
        <w:rPr>
          <w:rFonts w:ascii="Arial" w:hAnsi="Arial" w:cs="Arial"/>
          <w:b/>
          <w:bCs/>
          <w:color w:val="auto"/>
          <w:sz w:val="24"/>
          <w:szCs w:val="24"/>
          <w:lang w:eastAsia="en-GB"/>
        </w:rPr>
      </w:pPr>
      <w:bookmarkStart w:id="139" w:name="_Toc66636474"/>
      <w:bookmarkStart w:id="140" w:name="_Toc66868918"/>
      <w:r w:rsidRPr="00C02C8F">
        <w:rPr>
          <w:rFonts w:ascii="Arial" w:hAnsi="Arial" w:cs="Arial"/>
          <w:noProof/>
          <w:sz w:val="24"/>
          <w:szCs w:val="24"/>
        </w:rPr>
        <w:drawing>
          <wp:inline distT="0" distB="0" distL="0" distR="0" wp14:anchorId="01754B63" wp14:editId="7F204212">
            <wp:extent cx="9377680" cy="2353586"/>
            <wp:effectExtent l="0" t="0" r="13970" b="8890"/>
            <wp:docPr id="7" name="Chart 7">
              <a:extLst xmlns:a="http://schemas.openxmlformats.org/drawingml/2006/main">
                <a:ext uri="{FF2B5EF4-FFF2-40B4-BE49-F238E27FC236}">
                  <a16:creationId xmlns:a16="http://schemas.microsoft.com/office/drawing/2014/main" id="{C8396255-11D2-47B4-BA9C-E857435810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End w:id="139"/>
      <w:bookmarkEnd w:id="140"/>
    </w:p>
    <w:p w14:paraId="5886ABCE" w14:textId="082301A3" w:rsidR="00297201" w:rsidRPr="006717B3" w:rsidRDefault="00F903DF" w:rsidP="00C02C8F">
      <w:pPr>
        <w:pStyle w:val="Caption"/>
        <w:spacing w:after="0" w:line="360" w:lineRule="auto"/>
        <w:ind w:left="-426"/>
        <w:jc w:val="center"/>
        <w:rPr>
          <w:rFonts w:ascii="Arial" w:hAnsi="Arial" w:cs="Arial"/>
          <w:color w:val="auto"/>
          <w:sz w:val="22"/>
          <w:szCs w:val="22"/>
        </w:rPr>
      </w:pPr>
      <w:bookmarkStart w:id="141" w:name="_Toc66868956"/>
      <w:r w:rsidRPr="006717B3">
        <w:rPr>
          <w:rFonts w:ascii="Arial" w:hAnsi="Arial" w:cs="Arial"/>
          <w:color w:val="auto"/>
          <w:sz w:val="22"/>
          <w:szCs w:val="22"/>
        </w:rPr>
        <w:t xml:space="preserve">Figure </w:t>
      </w:r>
      <w:r w:rsidRPr="006717B3">
        <w:rPr>
          <w:rFonts w:ascii="Arial" w:hAnsi="Arial" w:cs="Arial"/>
          <w:color w:val="auto"/>
          <w:sz w:val="22"/>
          <w:szCs w:val="22"/>
        </w:rPr>
        <w:fldChar w:fldCharType="begin"/>
      </w:r>
      <w:r w:rsidRPr="006717B3">
        <w:rPr>
          <w:rFonts w:ascii="Arial" w:hAnsi="Arial" w:cs="Arial"/>
          <w:color w:val="auto"/>
          <w:sz w:val="22"/>
          <w:szCs w:val="22"/>
        </w:rPr>
        <w:instrText xml:space="preserve"> SEQ Figure \* ARABIC </w:instrText>
      </w:r>
      <w:r w:rsidRPr="006717B3">
        <w:rPr>
          <w:rFonts w:ascii="Arial" w:hAnsi="Arial" w:cs="Arial"/>
          <w:color w:val="auto"/>
          <w:sz w:val="22"/>
          <w:szCs w:val="22"/>
        </w:rPr>
        <w:fldChar w:fldCharType="separate"/>
      </w:r>
      <w:r w:rsidR="0063178E" w:rsidRPr="006717B3">
        <w:rPr>
          <w:rFonts w:ascii="Arial" w:hAnsi="Arial" w:cs="Arial"/>
          <w:noProof/>
          <w:color w:val="auto"/>
          <w:sz w:val="22"/>
          <w:szCs w:val="22"/>
        </w:rPr>
        <w:t>4</w:t>
      </w:r>
      <w:r w:rsidRPr="006717B3">
        <w:rPr>
          <w:rFonts w:ascii="Arial" w:hAnsi="Arial" w:cs="Arial"/>
          <w:color w:val="auto"/>
          <w:sz w:val="22"/>
          <w:szCs w:val="22"/>
        </w:rPr>
        <w:fldChar w:fldCharType="end"/>
      </w:r>
      <w:r w:rsidR="00525588" w:rsidRPr="006717B3">
        <w:rPr>
          <w:rFonts w:ascii="Arial" w:hAnsi="Arial" w:cs="Arial"/>
          <w:color w:val="auto"/>
          <w:sz w:val="22"/>
          <w:szCs w:val="22"/>
        </w:rPr>
        <w:t xml:space="preserve"> – Discounted </w:t>
      </w:r>
      <w:r w:rsidR="000252B3" w:rsidRPr="006717B3">
        <w:rPr>
          <w:rFonts w:ascii="Arial" w:hAnsi="Arial" w:cs="Arial"/>
          <w:color w:val="auto"/>
          <w:sz w:val="22"/>
          <w:szCs w:val="22"/>
        </w:rPr>
        <w:t>Traffic Delay</w:t>
      </w:r>
      <w:r w:rsidR="00525588" w:rsidRPr="006717B3">
        <w:rPr>
          <w:rFonts w:ascii="Arial" w:hAnsi="Arial" w:cs="Arial"/>
          <w:color w:val="auto"/>
          <w:sz w:val="22"/>
          <w:szCs w:val="22"/>
        </w:rPr>
        <w:t xml:space="preserve"> Costs for the Planned Preventive Maintenance Strategy</w:t>
      </w:r>
      <w:bookmarkEnd w:id="141"/>
    </w:p>
    <w:p w14:paraId="6894812E" w14:textId="6ED76691" w:rsidR="00E17E9A" w:rsidRDefault="00E17E9A" w:rsidP="00C02C8F">
      <w:pPr>
        <w:pStyle w:val="Caption"/>
        <w:spacing w:after="0" w:line="360" w:lineRule="auto"/>
        <w:ind w:left="-426"/>
        <w:rPr>
          <w:lang w:eastAsia="en-GB"/>
        </w:rPr>
      </w:pPr>
      <w:r>
        <w:rPr>
          <w:noProof/>
        </w:rPr>
        <w:drawing>
          <wp:inline distT="0" distB="0" distL="0" distR="0" wp14:anchorId="61889D2A" wp14:editId="4673F5C8">
            <wp:extent cx="9366885" cy="2477386"/>
            <wp:effectExtent l="0" t="0" r="5715" b="18415"/>
            <wp:docPr id="9" name="Chart 9">
              <a:extLst xmlns:a="http://schemas.openxmlformats.org/drawingml/2006/main">
                <a:ext uri="{FF2B5EF4-FFF2-40B4-BE49-F238E27FC236}">
                  <a16:creationId xmlns:a16="http://schemas.microsoft.com/office/drawing/2014/main" id="{C8396255-11D2-47B4-BA9C-E857435810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212DF1" w14:textId="5398A240" w:rsidR="00413731" w:rsidRPr="006717B3" w:rsidRDefault="00F903DF" w:rsidP="00C02C8F">
      <w:pPr>
        <w:pStyle w:val="Caption"/>
        <w:spacing w:line="360" w:lineRule="auto"/>
        <w:jc w:val="center"/>
        <w:rPr>
          <w:rFonts w:ascii="Arial" w:hAnsi="Arial" w:cs="Arial"/>
          <w:color w:val="auto"/>
          <w:sz w:val="22"/>
          <w:szCs w:val="22"/>
        </w:rPr>
      </w:pPr>
      <w:bookmarkStart w:id="142" w:name="_Toc66868957"/>
      <w:r w:rsidRPr="006717B3">
        <w:rPr>
          <w:rFonts w:ascii="Arial" w:hAnsi="Arial" w:cs="Arial"/>
          <w:color w:val="auto"/>
          <w:sz w:val="22"/>
          <w:szCs w:val="22"/>
        </w:rPr>
        <w:t xml:space="preserve">Figure </w:t>
      </w:r>
      <w:r w:rsidRPr="006717B3">
        <w:rPr>
          <w:rFonts w:ascii="Arial" w:hAnsi="Arial" w:cs="Arial"/>
          <w:color w:val="auto"/>
          <w:sz w:val="22"/>
          <w:szCs w:val="22"/>
        </w:rPr>
        <w:fldChar w:fldCharType="begin"/>
      </w:r>
      <w:r w:rsidRPr="006717B3">
        <w:rPr>
          <w:rFonts w:ascii="Arial" w:hAnsi="Arial" w:cs="Arial"/>
          <w:color w:val="auto"/>
          <w:sz w:val="22"/>
          <w:szCs w:val="22"/>
        </w:rPr>
        <w:instrText xml:space="preserve"> SEQ Figure \* ARABIC </w:instrText>
      </w:r>
      <w:r w:rsidRPr="006717B3">
        <w:rPr>
          <w:rFonts w:ascii="Arial" w:hAnsi="Arial" w:cs="Arial"/>
          <w:color w:val="auto"/>
          <w:sz w:val="22"/>
          <w:szCs w:val="22"/>
        </w:rPr>
        <w:fldChar w:fldCharType="separate"/>
      </w:r>
      <w:r w:rsidR="0063178E" w:rsidRPr="006717B3">
        <w:rPr>
          <w:rFonts w:ascii="Arial" w:hAnsi="Arial" w:cs="Arial"/>
          <w:noProof/>
          <w:color w:val="auto"/>
          <w:sz w:val="22"/>
          <w:szCs w:val="22"/>
        </w:rPr>
        <w:t>5</w:t>
      </w:r>
      <w:r w:rsidRPr="006717B3">
        <w:rPr>
          <w:rFonts w:ascii="Arial" w:hAnsi="Arial" w:cs="Arial"/>
          <w:color w:val="auto"/>
          <w:sz w:val="22"/>
          <w:szCs w:val="22"/>
        </w:rPr>
        <w:fldChar w:fldCharType="end"/>
      </w:r>
      <w:r w:rsidRPr="006717B3">
        <w:rPr>
          <w:rFonts w:ascii="Arial" w:hAnsi="Arial" w:cs="Arial"/>
          <w:color w:val="auto"/>
          <w:sz w:val="22"/>
          <w:szCs w:val="22"/>
        </w:rPr>
        <w:t xml:space="preserve"> - Discounted Traffic Delay Costs for the Unplanned Re-active Maintenance Strategy</w:t>
      </w:r>
      <w:bookmarkEnd w:id="142"/>
    </w:p>
    <w:p w14:paraId="1A61B9F4" w14:textId="720143BF" w:rsidR="00897C37" w:rsidRPr="00C02C8F" w:rsidRDefault="00897C37" w:rsidP="00C02C8F">
      <w:pPr>
        <w:pStyle w:val="Heading2"/>
        <w:spacing w:line="360" w:lineRule="auto"/>
        <w:rPr>
          <w:rFonts w:ascii="Arial" w:hAnsi="Arial" w:cs="Arial"/>
          <w:b/>
          <w:bCs/>
          <w:color w:val="auto"/>
          <w:sz w:val="24"/>
          <w:szCs w:val="24"/>
          <w:lang w:eastAsia="en-GB"/>
        </w:rPr>
      </w:pPr>
      <w:bookmarkStart w:id="143" w:name="_Toc66868919"/>
      <w:r w:rsidRPr="00C02C8F">
        <w:rPr>
          <w:rFonts w:ascii="Arial" w:hAnsi="Arial" w:cs="Arial"/>
          <w:b/>
          <w:bCs/>
          <w:color w:val="auto"/>
          <w:sz w:val="24"/>
          <w:szCs w:val="24"/>
          <w:lang w:eastAsia="en-GB"/>
        </w:rPr>
        <w:t>Discounted CO</w:t>
      </w:r>
      <w:r w:rsidRPr="00C02C8F">
        <w:rPr>
          <w:rFonts w:ascii="Arial" w:hAnsi="Arial" w:cs="Arial"/>
          <w:b/>
          <w:bCs/>
          <w:color w:val="auto"/>
          <w:sz w:val="24"/>
          <w:szCs w:val="24"/>
          <w:vertAlign w:val="subscript"/>
          <w:lang w:eastAsia="en-GB"/>
        </w:rPr>
        <w:t>2</w:t>
      </w:r>
      <w:r w:rsidRPr="00C02C8F">
        <w:rPr>
          <w:rFonts w:ascii="Arial" w:hAnsi="Arial" w:cs="Arial"/>
          <w:b/>
          <w:bCs/>
          <w:color w:val="auto"/>
          <w:sz w:val="24"/>
          <w:szCs w:val="24"/>
          <w:lang w:eastAsia="en-GB"/>
        </w:rPr>
        <w:t xml:space="preserve"> Costs</w:t>
      </w:r>
      <w:bookmarkEnd w:id="143"/>
      <w:r w:rsidRPr="00C02C8F">
        <w:rPr>
          <w:rFonts w:ascii="Arial" w:hAnsi="Arial" w:cs="Arial"/>
          <w:b/>
          <w:bCs/>
          <w:color w:val="auto"/>
          <w:sz w:val="24"/>
          <w:szCs w:val="24"/>
          <w:lang w:eastAsia="en-GB"/>
        </w:rPr>
        <w:t xml:space="preserve"> </w:t>
      </w:r>
    </w:p>
    <w:p w14:paraId="59F31314" w14:textId="62BAB088" w:rsidR="00B50DF2" w:rsidRPr="00C02C8F" w:rsidRDefault="00B50DF2" w:rsidP="00C02C8F">
      <w:pPr>
        <w:ind w:left="-426"/>
      </w:pPr>
      <w:r>
        <w:rPr>
          <w:noProof/>
        </w:rPr>
        <w:drawing>
          <wp:inline distT="0" distB="0" distL="0" distR="0" wp14:anchorId="2F133FA1" wp14:editId="6A685CB7">
            <wp:extent cx="9368287" cy="2164715"/>
            <wp:effectExtent l="0" t="0" r="4445" b="6985"/>
            <wp:docPr id="20" name="Chart 20">
              <a:extLst xmlns:a="http://schemas.openxmlformats.org/drawingml/2006/main">
                <a:ext uri="{FF2B5EF4-FFF2-40B4-BE49-F238E27FC236}">
                  <a16:creationId xmlns:a16="http://schemas.microsoft.com/office/drawing/2014/main" id="{7B5771A4-8541-4B61-AE8C-3FDFD9C90A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12D6C5" w14:textId="5554BE97" w:rsidR="00D030E4" w:rsidRPr="006717B3" w:rsidRDefault="00E66A72" w:rsidP="00D030E4">
      <w:pPr>
        <w:pStyle w:val="Caption"/>
        <w:spacing w:after="0"/>
        <w:ind w:left="-426"/>
        <w:jc w:val="center"/>
        <w:rPr>
          <w:rFonts w:ascii="Arial" w:hAnsi="Arial" w:cs="Arial"/>
          <w:color w:val="auto"/>
          <w:sz w:val="22"/>
          <w:szCs w:val="22"/>
        </w:rPr>
      </w:pPr>
      <w:bookmarkStart w:id="144" w:name="_Toc66868958"/>
      <w:r w:rsidRPr="006717B3">
        <w:rPr>
          <w:rFonts w:ascii="Arial" w:hAnsi="Arial" w:cs="Arial"/>
          <w:color w:val="auto"/>
          <w:sz w:val="22"/>
          <w:szCs w:val="22"/>
        </w:rPr>
        <w:t xml:space="preserve">Figure </w:t>
      </w:r>
      <w:r w:rsidRPr="006717B3">
        <w:rPr>
          <w:rFonts w:ascii="Arial" w:hAnsi="Arial" w:cs="Arial"/>
          <w:color w:val="auto"/>
          <w:sz w:val="22"/>
          <w:szCs w:val="22"/>
        </w:rPr>
        <w:fldChar w:fldCharType="begin"/>
      </w:r>
      <w:r w:rsidRPr="006717B3">
        <w:rPr>
          <w:rFonts w:ascii="Arial" w:hAnsi="Arial" w:cs="Arial"/>
          <w:color w:val="auto"/>
          <w:sz w:val="22"/>
          <w:szCs w:val="22"/>
        </w:rPr>
        <w:instrText xml:space="preserve"> SEQ Figure \* ARABIC </w:instrText>
      </w:r>
      <w:r w:rsidRPr="006717B3">
        <w:rPr>
          <w:rFonts w:ascii="Arial" w:hAnsi="Arial" w:cs="Arial"/>
          <w:color w:val="auto"/>
          <w:sz w:val="22"/>
          <w:szCs w:val="22"/>
        </w:rPr>
        <w:fldChar w:fldCharType="separate"/>
      </w:r>
      <w:r w:rsidR="0063178E" w:rsidRPr="006717B3">
        <w:rPr>
          <w:rFonts w:ascii="Arial" w:hAnsi="Arial" w:cs="Arial"/>
          <w:noProof/>
          <w:color w:val="auto"/>
          <w:sz w:val="22"/>
          <w:szCs w:val="22"/>
        </w:rPr>
        <w:t>6</w:t>
      </w:r>
      <w:r w:rsidRPr="006717B3">
        <w:rPr>
          <w:rFonts w:ascii="Arial" w:hAnsi="Arial" w:cs="Arial"/>
          <w:color w:val="auto"/>
          <w:sz w:val="22"/>
          <w:szCs w:val="22"/>
        </w:rPr>
        <w:fldChar w:fldCharType="end"/>
      </w:r>
      <w:r w:rsidRPr="006717B3">
        <w:rPr>
          <w:rFonts w:ascii="Arial" w:hAnsi="Arial" w:cs="Arial"/>
          <w:color w:val="auto"/>
          <w:sz w:val="22"/>
          <w:szCs w:val="22"/>
        </w:rPr>
        <w:t xml:space="preserve"> </w:t>
      </w:r>
      <w:r w:rsidR="00D030E4" w:rsidRPr="006717B3">
        <w:rPr>
          <w:rFonts w:ascii="Arial" w:hAnsi="Arial" w:cs="Arial"/>
          <w:color w:val="auto"/>
          <w:sz w:val="22"/>
          <w:szCs w:val="22"/>
        </w:rPr>
        <w:t>– Discounted CO</w:t>
      </w:r>
      <w:r w:rsidR="00D030E4" w:rsidRPr="006717B3">
        <w:rPr>
          <w:rFonts w:ascii="Arial" w:hAnsi="Arial" w:cs="Arial"/>
          <w:color w:val="auto"/>
          <w:sz w:val="22"/>
          <w:szCs w:val="22"/>
          <w:vertAlign w:val="subscript"/>
        </w:rPr>
        <w:t xml:space="preserve">2 </w:t>
      </w:r>
      <w:r w:rsidR="00D030E4" w:rsidRPr="006717B3">
        <w:rPr>
          <w:rFonts w:ascii="Arial" w:hAnsi="Arial" w:cs="Arial"/>
          <w:color w:val="auto"/>
          <w:sz w:val="22"/>
          <w:szCs w:val="22"/>
        </w:rPr>
        <w:t>Costs for the Planned Preventive Maintenance Strategy</w:t>
      </w:r>
      <w:bookmarkEnd w:id="144"/>
    </w:p>
    <w:p w14:paraId="2B774689" w14:textId="28C6287F" w:rsidR="00413731" w:rsidRDefault="00413731" w:rsidP="00C02C8F">
      <w:pPr>
        <w:pStyle w:val="Caption"/>
        <w:rPr>
          <w:lang w:eastAsia="en-GB"/>
        </w:rPr>
      </w:pPr>
    </w:p>
    <w:p w14:paraId="6DA8AF72" w14:textId="16F80F79" w:rsidR="00B00403" w:rsidRDefault="00913B6E" w:rsidP="009B4F32">
      <w:pPr>
        <w:ind w:left="-426"/>
        <w:rPr>
          <w:lang w:eastAsia="en-GB"/>
        </w:rPr>
      </w:pPr>
      <w:r>
        <w:rPr>
          <w:noProof/>
        </w:rPr>
        <w:drawing>
          <wp:inline distT="0" distB="0" distL="0" distR="0" wp14:anchorId="566DCBF6" wp14:editId="3A34B9D7">
            <wp:extent cx="9368155" cy="2354580"/>
            <wp:effectExtent l="0" t="0" r="4445" b="7620"/>
            <wp:docPr id="22" name="Chart 22">
              <a:extLst xmlns:a="http://schemas.openxmlformats.org/drawingml/2006/main">
                <a:ext uri="{FF2B5EF4-FFF2-40B4-BE49-F238E27FC236}">
                  <a16:creationId xmlns:a16="http://schemas.microsoft.com/office/drawing/2014/main" id="{EE18FAFC-333E-4A08-A141-9DE122635C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5765A0A" w14:textId="145D1F48" w:rsidR="00E66A72" w:rsidRPr="006717B3" w:rsidRDefault="00C4418D" w:rsidP="00C02C8F">
      <w:pPr>
        <w:pStyle w:val="Caption"/>
        <w:jc w:val="center"/>
        <w:rPr>
          <w:color w:val="auto"/>
          <w:lang w:eastAsia="en-GB"/>
        </w:rPr>
      </w:pPr>
      <w:bookmarkStart w:id="145" w:name="_Toc66868959"/>
      <w:r w:rsidRPr="006717B3">
        <w:rPr>
          <w:rFonts w:ascii="Arial" w:hAnsi="Arial" w:cs="Arial"/>
          <w:color w:val="auto"/>
          <w:sz w:val="22"/>
          <w:szCs w:val="22"/>
        </w:rPr>
        <w:t xml:space="preserve">Figure </w:t>
      </w:r>
      <w:r w:rsidRPr="006717B3">
        <w:rPr>
          <w:rFonts w:ascii="Arial" w:hAnsi="Arial" w:cs="Arial"/>
          <w:color w:val="auto"/>
          <w:sz w:val="22"/>
          <w:szCs w:val="22"/>
        </w:rPr>
        <w:fldChar w:fldCharType="begin"/>
      </w:r>
      <w:r w:rsidRPr="006717B3">
        <w:rPr>
          <w:rFonts w:ascii="Arial" w:hAnsi="Arial" w:cs="Arial"/>
          <w:color w:val="auto"/>
          <w:sz w:val="22"/>
          <w:szCs w:val="22"/>
        </w:rPr>
        <w:instrText xml:space="preserve"> SEQ Figure \* ARABIC </w:instrText>
      </w:r>
      <w:r w:rsidRPr="006717B3">
        <w:rPr>
          <w:rFonts w:ascii="Arial" w:hAnsi="Arial" w:cs="Arial"/>
          <w:color w:val="auto"/>
          <w:sz w:val="22"/>
          <w:szCs w:val="22"/>
        </w:rPr>
        <w:fldChar w:fldCharType="separate"/>
      </w:r>
      <w:r w:rsidR="0063178E" w:rsidRPr="006717B3">
        <w:rPr>
          <w:rFonts w:ascii="Arial" w:hAnsi="Arial" w:cs="Arial"/>
          <w:noProof/>
          <w:color w:val="auto"/>
          <w:sz w:val="22"/>
          <w:szCs w:val="22"/>
        </w:rPr>
        <w:t>7</w:t>
      </w:r>
      <w:r w:rsidRPr="006717B3">
        <w:rPr>
          <w:rFonts w:ascii="Arial" w:hAnsi="Arial" w:cs="Arial"/>
          <w:color w:val="auto"/>
          <w:sz w:val="22"/>
          <w:szCs w:val="22"/>
        </w:rPr>
        <w:fldChar w:fldCharType="end"/>
      </w:r>
      <w:r w:rsidRPr="006717B3">
        <w:rPr>
          <w:rFonts w:ascii="Arial" w:hAnsi="Arial" w:cs="Arial"/>
          <w:color w:val="auto"/>
          <w:sz w:val="22"/>
          <w:szCs w:val="22"/>
        </w:rPr>
        <w:t xml:space="preserve"> - Discounted CO</w:t>
      </w:r>
      <w:r w:rsidRPr="006717B3">
        <w:rPr>
          <w:rFonts w:ascii="Arial" w:hAnsi="Arial" w:cs="Arial"/>
          <w:color w:val="auto"/>
          <w:sz w:val="22"/>
          <w:szCs w:val="22"/>
          <w:vertAlign w:val="subscript"/>
        </w:rPr>
        <w:t>2</w:t>
      </w:r>
      <w:r w:rsidRPr="006717B3">
        <w:rPr>
          <w:rFonts w:ascii="Arial" w:hAnsi="Arial" w:cs="Arial"/>
          <w:color w:val="auto"/>
          <w:sz w:val="22"/>
          <w:szCs w:val="22"/>
        </w:rPr>
        <w:t xml:space="preserve"> Costs for the </w:t>
      </w:r>
      <w:r w:rsidR="00F90D8B" w:rsidRPr="006717B3">
        <w:rPr>
          <w:rFonts w:ascii="Arial" w:hAnsi="Arial" w:cs="Arial"/>
          <w:color w:val="auto"/>
          <w:sz w:val="22"/>
          <w:szCs w:val="22"/>
        </w:rPr>
        <w:t xml:space="preserve">Unplanned Re-active </w:t>
      </w:r>
      <w:r w:rsidRPr="006717B3">
        <w:rPr>
          <w:rFonts w:ascii="Arial" w:hAnsi="Arial" w:cs="Arial"/>
          <w:color w:val="auto"/>
          <w:sz w:val="22"/>
          <w:szCs w:val="22"/>
        </w:rPr>
        <w:t>Maintenance Strategy</w:t>
      </w:r>
      <w:bookmarkEnd w:id="145"/>
    </w:p>
    <w:p w14:paraId="6753B50A" w14:textId="73A10460" w:rsidR="00B54E38" w:rsidRPr="00C02C8F" w:rsidRDefault="00B54E38" w:rsidP="00C02C8F">
      <w:pPr>
        <w:pStyle w:val="Heading2"/>
        <w:spacing w:line="360" w:lineRule="auto"/>
        <w:rPr>
          <w:rFonts w:ascii="Arial" w:hAnsi="Arial" w:cs="Arial"/>
          <w:b/>
          <w:bCs/>
          <w:color w:val="auto"/>
          <w:sz w:val="24"/>
          <w:szCs w:val="24"/>
          <w:lang w:eastAsia="en-GB"/>
        </w:rPr>
      </w:pPr>
      <w:bookmarkStart w:id="146" w:name="_Toc66868920"/>
      <w:r w:rsidRPr="00C02C8F">
        <w:rPr>
          <w:rFonts w:ascii="Arial" w:hAnsi="Arial" w:cs="Arial"/>
          <w:b/>
          <w:bCs/>
          <w:color w:val="auto"/>
          <w:sz w:val="24"/>
          <w:szCs w:val="24"/>
          <w:lang w:eastAsia="en-GB"/>
        </w:rPr>
        <w:t>CO</w:t>
      </w:r>
      <w:r w:rsidRPr="00C02C8F">
        <w:rPr>
          <w:rFonts w:ascii="Arial" w:hAnsi="Arial" w:cs="Arial"/>
          <w:b/>
          <w:bCs/>
          <w:color w:val="auto"/>
          <w:sz w:val="24"/>
          <w:szCs w:val="24"/>
          <w:vertAlign w:val="subscript"/>
          <w:lang w:eastAsia="en-GB"/>
        </w:rPr>
        <w:t>2</w:t>
      </w:r>
      <w:r w:rsidRPr="00C02C8F">
        <w:rPr>
          <w:rFonts w:ascii="Arial" w:hAnsi="Arial" w:cs="Arial"/>
          <w:b/>
          <w:bCs/>
          <w:color w:val="auto"/>
          <w:sz w:val="24"/>
          <w:szCs w:val="24"/>
          <w:lang w:eastAsia="en-GB"/>
        </w:rPr>
        <w:t xml:space="preserve"> Emissions</w:t>
      </w:r>
      <w:bookmarkEnd w:id="146"/>
      <w:r w:rsidRPr="00C02C8F">
        <w:rPr>
          <w:rFonts w:ascii="Arial" w:hAnsi="Arial" w:cs="Arial"/>
          <w:b/>
          <w:bCs/>
          <w:color w:val="auto"/>
          <w:sz w:val="24"/>
          <w:szCs w:val="24"/>
          <w:lang w:eastAsia="en-GB"/>
        </w:rPr>
        <w:t xml:space="preserve"> </w:t>
      </w:r>
    </w:p>
    <w:p w14:paraId="71B47C9E" w14:textId="10F880B2" w:rsidR="00413731" w:rsidRDefault="00DB4F32" w:rsidP="00C02C8F">
      <w:pPr>
        <w:ind w:left="-426"/>
        <w:rPr>
          <w:lang w:eastAsia="en-GB"/>
        </w:rPr>
      </w:pPr>
      <w:r w:rsidRPr="00C02C8F">
        <w:rPr>
          <w:rFonts w:ascii="Arial" w:hAnsi="Arial" w:cs="Arial"/>
          <w:noProof/>
        </w:rPr>
        <w:drawing>
          <wp:inline distT="0" distB="0" distL="0" distR="0" wp14:anchorId="3849888F" wp14:editId="0AD9E686">
            <wp:extent cx="9333230" cy="2313830"/>
            <wp:effectExtent l="0" t="0" r="1270" b="10795"/>
            <wp:docPr id="18" name="Chart 18">
              <a:extLst xmlns:a="http://schemas.openxmlformats.org/drawingml/2006/main">
                <a:ext uri="{FF2B5EF4-FFF2-40B4-BE49-F238E27FC236}">
                  <a16:creationId xmlns:a16="http://schemas.microsoft.com/office/drawing/2014/main" id="{F1E6A90C-3A38-4F83-928E-A44DBD19E8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86DD667" w14:textId="637DAE31" w:rsidR="00D30C76" w:rsidRPr="006717B3" w:rsidRDefault="00B23C12" w:rsidP="00C02C8F">
      <w:pPr>
        <w:pStyle w:val="Caption"/>
        <w:jc w:val="center"/>
        <w:rPr>
          <w:color w:val="auto"/>
          <w:lang w:eastAsia="en-GB"/>
        </w:rPr>
      </w:pPr>
      <w:bookmarkStart w:id="147" w:name="_Toc66868960"/>
      <w:r w:rsidRPr="006717B3">
        <w:rPr>
          <w:rFonts w:ascii="Arial" w:hAnsi="Arial" w:cs="Arial"/>
          <w:color w:val="auto"/>
          <w:sz w:val="22"/>
          <w:szCs w:val="22"/>
        </w:rPr>
        <w:t xml:space="preserve">Figure </w:t>
      </w:r>
      <w:r w:rsidRPr="006717B3">
        <w:rPr>
          <w:rFonts w:ascii="Arial" w:hAnsi="Arial" w:cs="Arial"/>
          <w:color w:val="auto"/>
          <w:sz w:val="22"/>
          <w:szCs w:val="22"/>
        </w:rPr>
        <w:fldChar w:fldCharType="begin"/>
      </w:r>
      <w:r w:rsidRPr="006717B3">
        <w:rPr>
          <w:rFonts w:ascii="Arial" w:hAnsi="Arial" w:cs="Arial"/>
          <w:color w:val="auto"/>
          <w:sz w:val="22"/>
          <w:szCs w:val="22"/>
        </w:rPr>
        <w:instrText xml:space="preserve"> SEQ Figure \* ARABIC </w:instrText>
      </w:r>
      <w:r w:rsidRPr="006717B3">
        <w:rPr>
          <w:rFonts w:ascii="Arial" w:hAnsi="Arial" w:cs="Arial"/>
          <w:color w:val="auto"/>
          <w:sz w:val="22"/>
          <w:szCs w:val="22"/>
        </w:rPr>
        <w:fldChar w:fldCharType="separate"/>
      </w:r>
      <w:r w:rsidR="0063178E" w:rsidRPr="006717B3">
        <w:rPr>
          <w:rFonts w:ascii="Arial" w:hAnsi="Arial" w:cs="Arial"/>
          <w:noProof/>
          <w:color w:val="auto"/>
          <w:sz w:val="22"/>
          <w:szCs w:val="22"/>
        </w:rPr>
        <w:t>8</w:t>
      </w:r>
      <w:r w:rsidRPr="006717B3">
        <w:rPr>
          <w:rFonts w:ascii="Arial" w:hAnsi="Arial" w:cs="Arial"/>
          <w:color w:val="auto"/>
          <w:sz w:val="22"/>
          <w:szCs w:val="22"/>
        </w:rPr>
        <w:fldChar w:fldCharType="end"/>
      </w:r>
      <w:r w:rsidRPr="006717B3">
        <w:rPr>
          <w:rFonts w:ascii="Arial" w:hAnsi="Arial" w:cs="Arial"/>
          <w:color w:val="auto"/>
          <w:sz w:val="22"/>
          <w:szCs w:val="22"/>
        </w:rPr>
        <w:t xml:space="preserve"> - </w:t>
      </w:r>
      <w:r w:rsidR="004349F4" w:rsidRPr="006717B3">
        <w:rPr>
          <w:rFonts w:ascii="Arial" w:hAnsi="Arial" w:cs="Arial"/>
          <w:color w:val="auto"/>
          <w:sz w:val="22"/>
          <w:szCs w:val="22"/>
        </w:rPr>
        <w:t>t</w:t>
      </w:r>
      <w:r w:rsidRPr="006717B3">
        <w:rPr>
          <w:rFonts w:ascii="Arial" w:hAnsi="Arial" w:cs="Arial"/>
          <w:color w:val="auto"/>
          <w:sz w:val="22"/>
          <w:szCs w:val="22"/>
        </w:rPr>
        <w:t>CO</w:t>
      </w:r>
      <w:r w:rsidRPr="006717B3">
        <w:rPr>
          <w:rFonts w:ascii="Arial" w:hAnsi="Arial" w:cs="Arial"/>
          <w:color w:val="auto"/>
          <w:sz w:val="22"/>
          <w:szCs w:val="22"/>
          <w:vertAlign w:val="subscript"/>
        </w:rPr>
        <w:t>2</w:t>
      </w:r>
      <w:r w:rsidRPr="006717B3">
        <w:rPr>
          <w:rFonts w:ascii="Arial" w:hAnsi="Arial" w:cs="Arial"/>
          <w:color w:val="auto"/>
          <w:sz w:val="22"/>
          <w:szCs w:val="22"/>
        </w:rPr>
        <w:t xml:space="preserve"> Emissions for the Planned Preventive Maintenance Strategy</w:t>
      </w:r>
      <w:bookmarkEnd w:id="147"/>
    </w:p>
    <w:p w14:paraId="2925A10E" w14:textId="17B37D95" w:rsidR="00413731" w:rsidRDefault="00A84F58" w:rsidP="00920045">
      <w:pPr>
        <w:ind w:left="-426"/>
        <w:rPr>
          <w:lang w:eastAsia="en-GB"/>
        </w:rPr>
      </w:pPr>
      <w:r>
        <w:rPr>
          <w:noProof/>
        </w:rPr>
        <w:drawing>
          <wp:inline distT="0" distB="0" distL="0" distR="0" wp14:anchorId="4D42CF64" wp14:editId="0373E76B">
            <wp:extent cx="9333230" cy="2433099"/>
            <wp:effectExtent l="0" t="0" r="1270" b="5715"/>
            <wp:docPr id="23" name="Chart 23">
              <a:extLst xmlns:a="http://schemas.openxmlformats.org/drawingml/2006/main">
                <a:ext uri="{FF2B5EF4-FFF2-40B4-BE49-F238E27FC236}">
                  <a16:creationId xmlns:a16="http://schemas.microsoft.com/office/drawing/2014/main" id="{2383DDCB-8A52-4610-B487-8EBEB98D9A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BE572A0" w14:textId="6790786C" w:rsidR="00B23C12" w:rsidRPr="006717B3" w:rsidRDefault="00B23C12" w:rsidP="00C02C8F">
      <w:pPr>
        <w:pStyle w:val="Caption"/>
        <w:jc w:val="center"/>
        <w:rPr>
          <w:rFonts w:ascii="Arial" w:hAnsi="Arial" w:cs="Arial"/>
          <w:color w:val="auto"/>
        </w:rPr>
      </w:pPr>
      <w:bookmarkStart w:id="148" w:name="_Toc66868961"/>
      <w:r w:rsidRPr="006717B3">
        <w:rPr>
          <w:rFonts w:ascii="Arial" w:hAnsi="Arial" w:cs="Arial"/>
          <w:color w:val="auto"/>
          <w:sz w:val="22"/>
          <w:szCs w:val="22"/>
        </w:rPr>
        <w:t xml:space="preserve">Figure </w:t>
      </w:r>
      <w:r w:rsidRPr="006717B3">
        <w:rPr>
          <w:rFonts w:ascii="Arial" w:hAnsi="Arial" w:cs="Arial"/>
          <w:color w:val="auto"/>
          <w:sz w:val="22"/>
          <w:szCs w:val="22"/>
        </w:rPr>
        <w:fldChar w:fldCharType="begin"/>
      </w:r>
      <w:r w:rsidRPr="006717B3">
        <w:rPr>
          <w:rFonts w:ascii="Arial" w:hAnsi="Arial" w:cs="Arial"/>
          <w:color w:val="auto"/>
          <w:sz w:val="22"/>
          <w:szCs w:val="22"/>
        </w:rPr>
        <w:instrText xml:space="preserve"> SEQ Figure \* ARABIC </w:instrText>
      </w:r>
      <w:r w:rsidRPr="006717B3">
        <w:rPr>
          <w:rFonts w:ascii="Arial" w:hAnsi="Arial" w:cs="Arial"/>
          <w:color w:val="auto"/>
          <w:sz w:val="22"/>
          <w:szCs w:val="22"/>
        </w:rPr>
        <w:fldChar w:fldCharType="separate"/>
      </w:r>
      <w:r w:rsidR="0063178E" w:rsidRPr="006717B3">
        <w:rPr>
          <w:rFonts w:ascii="Arial" w:hAnsi="Arial" w:cs="Arial"/>
          <w:noProof/>
          <w:color w:val="auto"/>
          <w:sz w:val="22"/>
          <w:szCs w:val="22"/>
        </w:rPr>
        <w:t>9</w:t>
      </w:r>
      <w:r w:rsidRPr="006717B3">
        <w:rPr>
          <w:rFonts w:ascii="Arial" w:hAnsi="Arial" w:cs="Arial"/>
          <w:color w:val="auto"/>
          <w:sz w:val="22"/>
          <w:szCs w:val="22"/>
        </w:rPr>
        <w:fldChar w:fldCharType="end"/>
      </w:r>
      <w:r w:rsidRPr="006717B3">
        <w:rPr>
          <w:rFonts w:ascii="Arial" w:hAnsi="Arial" w:cs="Arial"/>
          <w:color w:val="auto"/>
          <w:sz w:val="22"/>
          <w:szCs w:val="22"/>
        </w:rPr>
        <w:t xml:space="preserve"> - </w:t>
      </w:r>
      <w:r w:rsidR="004349F4" w:rsidRPr="006717B3">
        <w:rPr>
          <w:rFonts w:ascii="Arial" w:hAnsi="Arial" w:cs="Arial"/>
          <w:color w:val="auto"/>
          <w:sz w:val="22"/>
          <w:szCs w:val="22"/>
        </w:rPr>
        <w:t>t</w:t>
      </w:r>
      <w:r w:rsidRPr="006717B3">
        <w:rPr>
          <w:rFonts w:ascii="Arial" w:hAnsi="Arial" w:cs="Arial"/>
          <w:color w:val="auto"/>
          <w:sz w:val="22"/>
          <w:szCs w:val="22"/>
        </w:rPr>
        <w:t>CO</w:t>
      </w:r>
      <w:r w:rsidRPr="006717B3">
        <w:rPr>
          <w:rFonts w:ascii="Arial" w:hAnsi="Arial" w:cs="Arial"/>
          <w:color w:val="auto"/>
          <w:sz w:val="22"/>
          <w:szCs w:val="22"/>
          <w:vertAlign w:val="subscript"/>
        </w:rPr>
        <w:t>2</w:t>
      </w:r>
      <w:r w:rsidRPr="006717B3">
        <w:rPr>
          <w:rFonts w:ascii="Arial" w:hAnsi="Arial" w:cs="Arial"/>
          <w:color w:val="auto"/>
          <w:sz w:val="22"/>
          <w:szCs w:val="22"/>
        </w:rPr>
        <w:t xml:space="preserve"> Emissions for the</w:t>
      </w:r>
      <w:r w:rsidR="00F90D8B" w:rsidRPr="006717B3">
        <w:rPr>
          <w:rFonts w:ascii="Arial" w:hAnsi="Arial" w:cs="Arial"/>
          <w:color w:val="auto"/>
          <w:sz w:val="22"/>
          <w:szCs w:val="22"/>
        </w:rPr>
        <w:t xml:space="preserve"> Unplanned Re-active Maintenance Strategy</w:t>
      </w:r>
      <w:bookmarkEnd w:id="148"/>
    </w:p>
    <w:p w14:paraId="2393B450" w14:textId="1B17D86E" w:rsidR="00F92D49" w:rsidRPr="00CA3F9E" w:rsidRDefault="00F92D49" w:rsidP="00F92D49">
      <w:pPr>
        <w:tabs>
          <w:tab w:val="left" w:pos="815"/>
        </w:tabs>
        <w:spacing w:after="240" w:line="360" w:lineRule="auto"/>
        <w:jc w:val="both"/>
        <w:rPr>
          <w:rFonts w:ascii="Arial" w:hAnsi="Arial" w:cs="Arial"/>
          <w:lang w:eastAsia="en-GB"/>
        </w:rPr>
      </w:pPr>
      <w:r>
        <w:rPr>
          <w:rFonts w:ascii="Arial" w:hAnsi="Arial" w:cs="Arial"/>
          <w:lang w:eastAsia="en-GB"/>
        </w:rPr>
        <w:t xml:space="preserve">The discounted </w:t>
      </w:r>
      <w:r w:rsidR="004E14DA">
        <w:rPr>
          <w:rFonts w:ascii="Arial" w:hAnsi="Arial" w:cs="Arial"/>
          <w:lang w:eastAsia="en-GB"/>
        </w:rPr>
        <w:t>CO</w:t>
      </w:r>
      <w:r w:rsidR="004E14DA" w:rsidRPr="00C02C8F">
        <w:rPr>
          <w:rFonts w:ascii="Arial" w:hAnsi="Arial" w:cs="Arial"/>
          <w:vertAlign w:val="subscript"/>
          <w:lang w:eastAsia="en-GB"/>
        </w:rPr>
        <w:t>2</w:t>
      </w:r>
      <w:r>
        <w:rPr>
          <w:rFonts w:ascii="Arial" w:hAnsi="Arial" w:cs="Arial"/>
          <w:lang w:eastAsia="en-GB"/>
        </w:rPr>
        <w:t xml:space="preserve"> costs </w:t>
      </w:r>
      <w:r w:rsidR="002C2A41">
        <w:rPr>
          <w:rFonts w:ascii="Arial" w:hAnsi="Arial" w:cs="Arial"/>
          <w:lang w:eastAsia="en-GB"/>
        </w:rPr>
        <w:t xml:space="preserve">from </w:t>
      </w:r>
      <w:r w:rsidR="006744C3">
        <w:rPr>
          <w:rFonts w:ascii="Arial" w:hAnsi="Arial" w:cs="Arial"/>
          <w:lang w:eastAsia="en-GB"/>
        </w:rPr>
        <w:t xml:space="preserve">traffic restrictions during maintenance </w:t>
      </w:r>
      <w:r>
        <w:rPr>
          <w:rFonts w:ascii="Arial" w:hAnsi="Arial" w:cs="Arial"/>
          <w:lang w:eastAsia="en-GB"/>
        </w:rPr>
        <w:t xml:space="preserve">were calculated using </w:t>
      </w:r>
      <w:r w:rsidR="00127964">
        <w:rPr>
          <w:rFonts w:ascii="Arial" w:hAnsi="Arial" w:cs="Arial"/>
          <w:lang w:eastAsia="en-GB"/>
        </w:rPr>
        <w:t xml:space="preserve">the </w:t>
      </w:r>
      <w:r w:rsidR="00365E1D">
        <w:rPr>
          <w:rFonts w:ascii="Arial" w:hAnsi="Arial" w:cs="Arial"/>
          <w:lang w:eastAsia="en-GB"/>
        </w:rPr>
        <w:t xml:space="preserve">discounted </w:t>
      </w:r>
      <w:r w:rsidR="00215D36">
        <w:rPr>
          <w:rFonts w:ascii="Arial" w:hAnsi="Arial" w:cs="Arial"/>
          <w:lang w:eastAsia="en-GB"/>
        </w:rPr>
        <w:t xml:space="preserve">unit costs in Table 16 </w:t>
      </w:r>
      <w:r w:rsidR="00066BBA">
        <w:rPr>
          <w:rFonts w:ascii="Arial" w:hAnsi="Arial" w:cs="Arial"/>
          <w:lang w:eastAsia="en-GB"/>
        </w:rPr>
        <w:t>multiplied by the</w:t>
      </w:r>
      <w:r w:rsidR="006A6F8A">
        <w:rPr>
          <w:rFonts w:ascii="Arial" w:hAnsi="Arial" w:cs="Arial"/>
          <w:lang w:eastAsia="en-GB"/>
        </w:rPr>
        <w:t xml:space="preserve"> </w:t>
      </w:r>
      <w:r>
        <w:rPr>
          <w:rFonts w:ascii="Arial" w:hAnsi="Arial" w:cs="Arial"/>
          <w:lang w:eastAsia="en-GB"/>
        </w:rPr>
        <w:t xml:space="preserve">default emissions for lane and road closures from the carbon calculator </w:t>
      </w:r>
      <w:r w:rsidR="00F53E71">
        <w:rPr>
          <w:rFonts w:ascii="Arial" w:hAnsi="Arial" w:cs="Arial"/>
          <w:lang w:eastAsia="en-GB"/>
        </w:rPr>
        <w:t>which were modified using</w:t>
      </w:r>
      <w:r>
        <w:rPr>
          <w:rFonts w:ascii="Arial" w:hAnsi="Arial" w:cs="Arial"/>
          <w:lang w:eastAsia="en-GB"/>
        </w:rPr>
        <w:t xml:space="preserve"> regional traffic </w:t>
      </w:r>
      <w:r w:rsidR="00525987">
        <w:rPr>
          <w:rFonts w:ascii="Arial" w:hAnsi="Arial" w:cs="Arial"/>
          <w:lang w:eastAsia="en-GB"/>
        </w:rPr>
        <w:t xml:space="preserve">forecasts </w:t>
      </w:r>
      <w:r w:rsidR="0029094C">
        <w:rPr>
          <w:rFonts w:ascii="Arial" w:hAnsi="Arial" w:cs="Arial"/>
          <w:lang w:eastAsia="en-GB"/>
        </w:rPr>
        <w:t>(</w:t>
      </w:r>
      <w:r w:rsidR="004E14DA">
        <w:rPr>
          <w:rFonts w:ascii="Arial" w:hAnsi="Arial" w:cs="Arial"/>
          <w:lang w:eastAsia="en-GB"/>
        </w:rPr>
        <w:t>r</w:t>
      </w:r>
      <w:r w:rsidR="006A6F8A">
        <w:rPr>
          <w:rFonts w:ascii="Arial" w:hAnsi="Arial" w:cs="Arial"/>
          <w:lang w:eastAsia="en-GB"/>
        </w:rPr>
        <w:t>efer to Section 4.10</w:t>
      </w:r>
      <w:r w:rsidR="004E14DA">
        <w:rPr>
          <w:rFonts w:ascii="Arial" w:hAnsi="Arial" w:cs="Arial"/>
          <w:lang w:eastAsia="en-GB"/>
        </w:rPr>
        <w:t>)</w:t>
      </w:r>
      <w:r w:rsidRPr="008C5BCF">
        <w:rPr>
          <w:rFonts w:ascii="Arial" w:hAnsi="Arial" w:cs="Arial"/>
          <w:lang w:eastAsia="en-GB"/>
        </w:rPr>
        <w:t>.</w:t>
      </w:r>
      <w:r>
        <w:rPr>
          <w:rFonts w:ascii="Arial" w:hAnsi="Arial" w:cs="Arial"/>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9"/>
        <w:gridCol w:w="1195"/>
        <w:gridCol w:w="1195"/>
        <w:gridCol w:w="1195"/>
        <w:gridCol w:w="1195"/>
        <w:gridCol w:w="1195"/>
        <w:gridCol w:w="1195"/>
        <w:gridCol w:w="1195"/>
      </w:tblGrid>
      <w:tr w:rsidR="00F92D49" w:rsidRPr="00095D2B" w14:paraId="70610A8A" w14:textId="77777777" w:rsidTr="00BD21DC">
        <w:trPr>
          <w:trHeight w:val="79"/>
        </w:trPr>
        <w:tc>
          <w:tcPr>
            <w:tcW w:w="0" w:type="auto"/>
            <w:shd w:val="clear" w:color="auto" w:fill="000099"/>
            <w:vAlign w:val="bottom"/>
          </w:tcPr>
          <w:p w14:paraId="74791655" w14:textId="77777777" w:rsidR="00F92D49" w:rsidRPr="00FB3F47" w:rsidRDefault="00F92D49" w:rsidP="00BD21DC">
            <w:pPr>
              <w:spacing w:after="0" w:line="360" w:lineRule="auto"/>
              <w:jc w:val="both"/>
              <w:rPr>
                <w:rFonts w:ascii="Arial" w:eastAsia="Times New Roman" w:hAnsi="Arial" w:cs="Arial"/>
                <w:color w:val="000000"/>
                <w:lang w:eastAsia="en-GB"/>
              </w:rPr>
            </w:pPr>
          </w:p>
        </w:tc>
        <w:tc>
          <w:tcPr>
            <w:tcW w:w="0" w:type="auto"/>
            <w:shd w:val="clear" w:color="auto" w:fill="000099"/>
          </w:tcPr>
          <w:p w14:paraId="645AC0B3" w14:textId="77777777" w:rsidR="00F92D49" w:rsidRPr="00FB3F47" w:rsidRDefault="00F92D49" w:rsidP="00BD21DC">
            <w:pPr>
              <w:spacing w:after="0" w:line="360" w:lineRule="auto"/>
              <w:jc w:val="both"/>
              <w:rPr>
                <w:rFonts w:ascii="Arial" w:eastAsia="Times New Roman" w:hAnsi="Arial" w:cs="Arial"/>
                <w:b/>
                <w:bCs/>
                <w:lang w:eastAsia="en-GB"/>
              </w:rPr>
            </w:pPr>
            <w:r w:rsidRPr="00FB3F47">
              <w:rPr>
                <w:rFonts w:ascii="Arial" w:eastAsia="Times New Roman" w:hAnsi="Arial" w:cs="Arial"/>
                <w:b/>
                <w:bCs/>
                <w:lang w:eastAsia="en-GB"/>
              </w:rPr>
              <w:t>2020</w:t>
            </w:r>
          </w:p>
        </w:tc>
        <w:tc>
          <w:tcPr>
            <w:tcW w:w="0" w:type="auto"/>
            <w:shd w:val="clear" w:color="auto" w:fill="000099"/>
            <w:noWrap/>
            <w:vAlign w:val="bottom"/>
          </w:tcPr>
          <w:p w14:paraId="089F7CC1" w14:textId="77777777" w:rsidR="00F92D49" w:rsidRPr="00FB3F47" w:rsidRDefault="00F92D49" w:rsidP="00BD21DC">
            <w:pPr>
              <w:spacing w:after="0" w:line="360" w:lineRule="auto"/>
              <w:jc w:val="both"/>
              <w:rPr>
                <w:rFonts w:ascii="Arial" w:eastAsia="Times New Roman" w:hAnsi="Arial" w:cs="Arial"/>
                <w:b/>
                <w:bCs/>
                <w:lang w:eastAsia="en-GB"/>
              </w:rPr>
            </w:pPr>
            <w:r w:rsidRPr="00FB3F47">
              <w:rPr>
                <w:rFonts w:ascii="Arial" w:eastAsia="Times New Roman" w:hAnsi="Arial" w:cs="Arial"/>
                <w:b/>
                <w:bCs/>
                <w:lang w:eastAsia="en-GB"/>
              </w:rPr>
              <w:t>2025</w:t>
            </w:r>
          </w:p>
        </w:tc>
        <w:tc>
          <w:tcPr>
            <w:tcW w:w="0" w:type="auto"/>
            <w:shd w:val="clear" w:color="auto" w:fill="000099"/>
            <w:noWrap/>
            <w:vAlign w:val="bottom"/>
          </w:tcPr>
          <w:p w14:paraId="6981B6E7" w14:textId="77777777" w:rsidR="00F92D49" w:rsidRPr="00FB3F47" w:rsidRDefault="00F92D49" w:rsidP="00BD21DC">
            <w:pPr>
              <w:spacing w:after="0" w:line="360" w:lineRule="auto"/>
              <w:jc w:val="both"/>
              <w:rPr>
                <w:rFonts w:ascii="Arial" w:eastAsia="Times New Roman" w:hAnsi="Arial" w:cs="Arial"/>
                <w:b/>
                <w:bCs/>
                <w:lang w:eastAsia="en-GB"/>
              </w:rPr>
            </w:pPr>
            <w:r w:rsidRPr="00FB3F47">
              <w:rPr>
                <w:rFonts w:ascii="Arial" w:eastAsia="Times New Roman" w:hAnsi="Arial" w:cs="Arial"/>
                <w:b/>
                <w:bCs/>
                <w:lang w:eastAsia="en-GB"/>
              </w:rPr>
              <w:t>2030</w:t>
            </w:r>
          </w:p>
        </w:tc>
        <w:tc>
          <w:tcPr>
            <w:tcW w:w="0" w:type="auto"/>
            <w:shd w:val="clear" w:color="auto" w:fill="000099"/>
            <w:noWrap/>
            <w:vAlign w:val="bottom"/>
          </w:tcPr>
          <w:p w14:paraId="30529E00" w14:textId="77777777" w:rsidR="00F92D49" w:rsidRPr="00FB3F47" w:rsidRDefault="00F92D49" w:rsidP="00BD21DC">
            <w:pPr>
              <w:spacing w:after="0" w:line="360" w:lineRule="auto"/>
              <w:jc w:val="both"/>
              <w:rPr>
                <w:rFonts w:ascii="Arial" w:eastAsia="Times New Roman" w:hAnsi="Arial" w:cs="Arial"/>
                <w:b/>
                <w:bCs/>
                <w:lang w:eastAsia="en-GB"/>
              </w:rPr>
            </w:pPr>
            <w:r w:rsidRPr="00FB3F47">
              <w:rPr>
                <w:rFonts w:ascii="Arial" w:eastAsia="Times New Roman" w:hAnsi="Arial" w:cs="Arial"/>
                <w:b/>
                <w:bCs/>
                <w:lang w:eastAsia="en-GB"/>
              </w:rPr>
              <w:t>2035</w:t>
            </w:r>
          </w:p>
        </w:tc>
        <w:tc>
          <w:tcPr>
            <w:tcW w:w="0" w:type="auto"/>
            <w:shd w:val="clear" w:color="auto" w:fill="000099"/>
            <w:noWrap/>
            <w:vAlign w:val="bottom"/>
          </w:tcPr>
          <w:p w14:paraId="6C8436EC" w14:textId="77777777" w:rsidR="00F92D49" w:rsidRPr="00FB3F47" w:rsidRDefault="00F92D49" w:rsidP="00BD21DC">
            <w:pPr>
              <w:spacing w:after="0" w:line="360" w:lineRule="auto"/>
              <w:jc w:val="both"/>
              <w:rPr>
                <w:rFonts w:ascii="Arial" w:eastAsia="Times New Roman" w:hAnsi="Arial" w:cs="Arial"/>
                <w:b/>
                <w:bCs/>
                <w:lang w:eastAsia="en-GB"/>
              </w:rPr>
            </w:pPr>
            <w:r w:rsidRPr="00FB3F47">
              <w:rPr>
                <w:rFonts w:ascii="Arial" w:eastAsia="Times New Roman" w:hAnsi="Arial" w:cs="Arial"/>
                <w:b/>
                <w:bCs/>
                <w:lang w:eastAsia="en-GB"/>
              </w:rPr>
              <w:t>2040</w:t>
            </w:r>
          </w:p>
        </w:tc>
        <w:tc>
          <w:tcPr>
            <w:tcW w:w="0" w:type="auto"/>
            <w:shd w:val="clear" w:color="auto" w:fill="000099"/>
            <w:noWrap/>
            <w:vAlign w:val="bottom"/>
          </w:tcPr>
          <w:p w14:paraId="273BDC2B" w14:textId="77777777" w:rsidR="00F92D49" w:rsidRPr="00FB3F47" w:rsidRDefault="00F92D49" w:rsidP="00BD21DC">
            <w:pPr>
              <w:spacing w:after="0" w:line="360" w:lineRule="auto"/>
              <w:jc w:val="both"/>
              <w:rPr>
                <w:rFonts w:ascii="Arial" w:eastAsia="Times New Roman" w:hAnsi="Arial" w:cs="Arial"/>
                <w:b/>
                <w:bCs/>
                <w:lang w:eastAsia="en-GB"/>
              </w:rPr>
            </w:pPr>
            <w:r w:rsidRPr="00FB3F47">
              <w:rPr>
                <w:rFonts w:ascii="Arial" w:eastAsia="Times New Roman" w:hAnsi="Arial" w:cs="Arial"/>
                <w:b/>
                <w:bCs/>
                <w:lang w:eastAsia="en-GB"/>
              </w:rPr>
              <w:t>2045</w:t>
            </w:r>
          </w:p>
        </w:tc>
        <w:tc>
          <w:tcPr>
            <w:tcW w:w="0" w:type="auto"/>
            <w:shd w:val="clear" w:color="auto" w:fill="000099"/>
            <w:noWrap/>
            <w:vAlign w:val="bottom"/>
          </w:tcPr>
          <w:p w14:paraId="3E7A2EC5" w14:textId="77777777" w:rsidR="00F92D49" w:rsidRPr="00FB3F47" w:rsidRDefault="00F92D49" w:rsidP="00BD21DC">
            <w:pPr>
              <w:spacing w:after="0" w:line="360" w:lineRule="auto"/>
              <w:jc w:val="both"/>
              <w:rPr>
                <w:rFonts w:ascii="Arial" w:eastAsia="Times New Roman" w:hAnsi="Arial" w:cs="Arial"/>
                <w:b/>
                <w:bCs/>
                <w:lang w:eastAsia="en-GB"/>
              </w:rPr>
            </w:pPr>
            <w:r w:rsidRPr="00FB3F47">
              <w:rPr>
                <w:rFonts w:ascii="Arial" w:eastAsia="Times New Roman" w:hAnsi="Arial" w:cs="Arial"/>
                <w:b/>
                <w:bCs/>
                <w:lang w:eastAsia="en-GB"/>
              </w:rPr>
              <w:t>2050</w:t>
            </w:r>
          </w:p>
        </w:tc>
      </w:tr>
      <w:tr w:rsidR="00F92D49" w:rsidRPr="00095D2B" w14:paraId="4F446472" w14:textId="77777777" w:rsidTr="00BD21DC">
        <w:trPr>
          <w:trHeight w:val="79"/>
        </w:trPr>
        <w:tc>
          <w:tcPr>
            <w:tcW w:w="0" w:type="auto"/>
            <w:shd w:val="clear" w:color="auto" w:fill="99CCFF"/>
            <w:vAlign w:val="bottom"/>
            <w:hideMark/>
          </w:tcPr>
          <w:p w14:paraId="55DE3B34" w14:textId="77777777" w:rsidR="00F92D49" w:rsidRPr="00627AD6" w:rsidRDefault="00F92D49" w:rsidP="00BD21DC">
            <w:pPr>
              <w:spacing w:after="0" w:line="360" w:lineRule="auto"/>
              <w:jc w:val="both"/>
              <w:rPr>
                <w:rFonts w:ascii="Arial" w:eastAsia="Times New Roman" w:hAnsi="Arial" w:cs="Arial"/>
                <w:color w:val="000099"/>
                <w:lang w:eastAsia="en-GB"/>
              </w:rPr>
            </w:pPr>
            <w:r w:rsidRPr="00627AD6">
              <w:rPr>
                <w:rFonts w:ascii="Arial" w:eastAsia="Times New Roman" w:hAnsi="Arial" w:cs="Arial"/>
                <w:b/>
                <w:bCs/>
                <w:color w:val="000099"/>
                <w:lang w:eastAsia="en-GB"/>
              </w:rPr>
              <w:t>Carbon Value per tCO</w:t>
            </w:r>
            <w:r w:rsidRPr="008F084A">
              <w:rPr>
                <w:rFonts w:ascii="Arial" w:eastAsia="Times New Roman" w:hAnsi="Arial" w:cs="Arial"/>
                <w:b/>
                <w:bCs/>
                <w:color w:val="000099"/>
                <w:vertAlign w:val="subscript"/>
                <w:lang w:eastAsia="en-GB"/>
              </w:rPr>
              <w:t>2</w:t>
            </w:r>
            <w:r w:rsidRPr="00C02C8F">
              <w:rPr>
                <w:rFonts w:ascii="Arial" w:eastAsia="Times New Roman" w:hAnsi="Arial" w:cs="Arial"/>
                <w:color w:val="000099"/>
                <w:vertAlign w:val="subscript"/>
                <w:lang w:eastAsia="en-GB"/>
              </w:rPr>
              <w:t> </w:t>
            </w:r>
          </w:p>
        </w:tc>
        <w:tc>
          <w:tcPr>
            <w:tcW w:w="0" w:type="auto"/>
            <w:shd w:val="clear" w:color="auto" w:fill="99CCFF"/>
          </w:tcPr>
          <w:p w14:paraId="49922975" w14:textId="77777777" w:rsidR="00F92D49" w:rsidRPr="00627AD6" w:rsidRDefault="00F92D49" w:rsidP="00BD21DC">
            <w:pPr>
              <w:spacing w:after="0" w:line="360" w:lineRule="auto"/>
              <w:jc w:val="both"/>
              <w:rPr>
                <w:rFonts w:ascii="Arial" w:eastAsia="Times New Roman" w:hAnsi="Arial" w:cs="Arial"/>
                <w:color w:val="000099"/>
                <w:lang w:eastAsia="en-GB"/>
              </w:rPr>
            </w:pPr>
            <w:r>
              <w:rPr>
                <w:rFonts w:ascii="Arial" w:eastAsia="Times New Roman" w:hAnsi="Arial" w:cs="Arial"/>
                <w:color w:val="000099"/>
                <w:lang w:eastAsia="en-GB"/>
              </w:rPr>
              <w:t>£</w:t>
            </w:r>
            <w:r w:rsidRPr="00627AD6">
              <w:rPr>
                <w:rFonts w:ascii="Arial" w:eastAsia="Times New Roman" w:hAnsi="Arial" w:cs="Arial"/>
                <w:color w:val="000099"/>
                <w:lang w:eastAsia="en-GB"/>
              </w:rPr>
              <w:t>81</w:t>
            </w:r>
          </w:p>
        </w:tc>
        <w:tc>
          <w:tcPr>
            <w:tcW w:w="0" w:type="auto"/>
            <w:shd w:val="clear" w:color="auto" w:fill="99CCFF"/>
            <w:noWrap/>
            <w:vAlign w:val="bottom"/>
            <w:hideMark/>
          </w:tcPr>
          <w:p w14:paraId="074D591B" w14:textId="77777777" w:rsidR="00F92D49" w:rsidRPr="00627AD6" w:rsidRDefault="00F92D49" w:rsidP="00BD21DC">
            <w:pPr>
              <w:spacing w:after="0" w:line="360" w:lineRule="auto"/>
              <w:jc w:val="both"/>
              <w:rPr>
                <w:rFonts w:ascii="Arial" w:eastAsia="Times New Roman" w:hAnsi="Arial" w:cs="Arial"/>
                <w:color w:val="000099"/>
                <w:lang w:eastAsia="en-GB"/>
              </w:rPr>
            </w:pPr>
            <w:r>
              <w:rPr>
                <w:rFonts w:ascii="Arial" w:eastAsia="Times New Roman" w:hAnsi="Arial" w:cs="Arial"/>
                <w:color w:val="000099"/>
                <w:lang w:eastAsia="en-GB"/>
              </w:rPr>
              <w:t>£</w:t>
            </w:r>
            <w:r w:rsidRPr="00627AD6">
              <w:rPr>
                <w:rFonts w:ascii="Arial" w:eastAsia="Times New Roman" w:hAnsi="Arial" w:cs="Arial"/>
                <w:color w:val="000099"/>
                <w:lang w:eastAsia="en-GB"/>
              </w:rPr>
              <w:t>87.75</w:t>
            </w:r>
          </w:p>
        </w:tc>
        <w:tc>
          <w:tcPr>
            <w:tcW w:w="0" w:type="auto"/>
            <w:shd w:val="clear" w:color="auto" w:fill="99CCFF"/>
            <w:noWrap/>
            <w:vAlign w:val="bottom"/>
            <w:hideMark/>
          </w:tcPr>
          <w:p w14:paraId="3D600DFE" w14:textId="77777777" w:rsidR="00F92D49" w:rsidRPr="00627AD6" w:rsidRDefault="00F92D49" w:rsidP="00BD21DC">
            <w:pPr>
              <w:spacing w:after="0" w:line="360" w:lineRule="auto"/>
              <w:jc w:val="both"/>
              <w:rPr>
                <w:rFonts w:ascii="Arial" w:eastAsia="Times New Roman" w:hAnsi="Arial" w:cs="Arial"/>
                <w:color w:val="000099"/>
                <w:lang w:eastAsia="en-GB"/>
              </w:rPr>
            </w:pPr>
            <w:r>
              <w:rPr>
                <w:rFonts w:ascii="Arial" w:eastAsia="Times New Roman" w:hAnsi="Arial" w:cs="Arial"/>
                <w:color w:val="000099"/>
                <w:lang w:eastAsia="en-GB"/>
              </w:rPr>
              <w:t>£</w:t>
            </w:r>
            <w:r w:rsidRPr="00627AD6">
              <w:rPr>
                <w:rFonts w:ascii="Arial" w:eastAsia="Times New Roman" w:hAnsi="Arial" w:cs="Arial"/>
                <w:color w:val="000099"/>
                <w:lang w:eastAsia="en-GB"/>
              </w:rPr>
              <w:t>94.5</w:t>
            </w:r>
          </w:p>
        </w:tc>
        <w:tc>
          <w:tcPr>
            <w:tcW w:w="0" w:type="auto"/>
            <w:shd w:val="clear" w:color="auto" w:fill="99CCFF"/>
            <w:noWrap/>
            <w:vAlign w:val="bottom"/>
            <w:hideMark/>
          </w:tcPr>
          <w:p w14:paraId="2905910E" w14:textId="77777777" w:rsidR="00F92D49" w:rsidRPr="00627AD6" w:rsidRDefault="00F92D49" w:rsidP="00BD21DC">
            <w:pPr>
              <w:spacing w:after="0" w:line="360" w:lineRule="auto"/>
              <w:jc w:val="both"/>
              <w:rPr>
                <w:rFonts w:ascii="Arial" w:eastAsia="Times New Roman" w:hAnsi="Arial" w:cs="Arial"/>
                <w:color w:val="000099"/>
                <w:lang w:eastAsia="en-GB"/>
              </w:rPr>
            </w:pPr>
            <w:r>
              <w:rPr>
                <w:rFonts w:ascii="Arial" w:eastAsia="Times New Roman" w:hAnsi="Arial" w:cs="Arial"/>
                <w:color w:val="000099"/>
                <w:lang w:eastAsia="en-GB"/>
              </w:rPr>
              <w:t>£</w:t>
            </w:r>
            <w:r w:rsidRPr="00627AD6">
              <w:rPr>
                <w:rFonts w:ascii="Arial" w:eastAsia="Times New Roman" w:hAnsi="Arial" w:cs="Arial"/>
                <w:color w:val="000099"/>
                <w:lang w:eastAsia="en-GB"/>
              </w:rPr>
              <w:t>138.375</w:t>
            </w:r>
          </w:p>
        </w:tc>
        <w:tc>
          <w:tcPr>
            <w:tcW w:w="0" w:type="auto"/>
            <w:shd w:val="clear" w:color="auto" w:fill="99CCFF"/>
            <w:noWrap/>
            <w:vAlign w:val="bottom"/>
            <w:hideMark/>
          </w:tcPr>
          <w:p w14:paraId="559AA060" w14:textId="77777777" w:rsidR="00F92D49" w:rsidRPr="00627AD6" w:rsidRDefault="00F92D49" w:rsidP="00BD21DC">
            <w:pPr>
              <w:spacing w:after="0" w:line="360" w:lineRule="auto"/>
              <w:jc w:val="both"/>
              <w:rPr>
                <w:rFonts w:ascii="Arial" w:eastAsia="Times New Roman" w:hAnsi="Arial" w:cs="Arial"/>
                <w:color w:val="000099"/>
                <w:lang w:eastAsia="en-GB"/>
              </w:rPr>
            </w:pPr>
            <w:r>
              <w:rPr>
                <w:rFonts w:ascii="Arial" w:eastAsia="Times New Roman" w:hAnsi="Arial" w:cs="Arial"/>
                <w:color w:val="000099"/>
                <w:lang w:eastAsia="en-GB"/>
              </w:rPr>
              <w:t>£</w:t>
            </w:r>
            <w:r w:rsidRPr="00627AD6">
              <w:rPr>
                <w:rFonts w:ascii="Arial" w:eastAsia="Times New Roman" w:hAnsi="Arial" w:cs="Arial"/>
                <w:color w:val="000099"/>
                <w:lang w:eastAsia="en-GB"/>
              </w:rPr>
              <w:t>182.25</w:t>
            </w:r>
          </w:p>
        </w:tc>
        <w:tc>
          <w:tcPr>
            <w:tcW w:w="0" w:type="auto"/>
            <w:shd w:val="clear" w:color="auto" w:fill="99CCFF"/>
            <w:noWrap/>
            <w:vAlign w:val="bottom"/>
            <w:hideMark/>
          </w:tcPr>
          <w:p w14:paraId="280757FF" w14:textId="77777777" w:rsidR="00F92D49" w:rsidRPr="00627AD6" w:rsidRDefault="00F92D49" w:rsidP="00BD21DC">
            <w:pPr>
              <w:spacing w:after="0" w:line="360" w:lineRule="auto"/>
              <w:jc w:val="both"/>
              <w:rPr>
                <w:rFonts w:ascii="Arial" w:eastAsia="Times New Roman" w:hAnsi="Arial" w:cs="Arial"/>
                <w:color w:val="000099"/>
                <w:lang w:eastAsia="en-GB"/>
              </w:rPr>
            </w:pPr>
            <w:r>
              <w:rPr>
                <w:rFonts w:ascii="Arial" w:eastAsia="Times New Roman" w:hAnsi="Arial" w:cs="Arial"/>
                <w:color w:val="000099"/>
                <w:lang w:eastAsia="en-GB"/>
              </w:rPr>
              <w:t>£</w:t>
            </w:r>
            <w:r w:rsidRPr="00627AD6">
              <w:rPr>
                <w:rFonts w:ascii="Arial" w:eastAsia="Times New Roman" w:hAnsi="Arial" w:cs="Arial"/>
                <w:color w:val="000099"/>
                <w:lang w:eastAsia="en-GB"/>
              </w:rPr>
              <w:t>226.125</w:t>
            </w:r>
          </w:p>
        </w:tc>
        <w:tc>
          <w:tcPr>
            <w:tcW w:w="0" w:type="auto"/>
            <w:shd w:val="clear" w:color="auto" w:fill="99CCFF"/>
            <w:noWrap/>
            <w:vAlign w:val="bottom"/>
            <w:hideMark/>
          </w:tcPr>
          <w:p w14:paraId="3CC7924D" w14:textId="77777777" w:rsidR="00F92D49" w:rsidRPr="00627AD6" w:rsidRDefault="00F92D49" w:rsidP="00BD21DC">
            <w:pPr>
              <w:spacing w:after="0" w:line="360" w:lineRule="auto"/>
              <w:jc w:val="both"/>
              <w:rPr>
                <w:rFonts w:ascii="Arial" w:eastAsia="Times New Roman" w:hAnsi="Arial" w:cs="Arial"/>
                <w:color w:val="000099"/>
                <w:lang w:eastAsia="en-GB"/>
              </w:rPr>
            </w:pPr>
            <w:r>
              <w:rPr>
                <w:rFonts w:ascii="Arial" w:eastAsia="Times New Roman" w:hAnsi="Arial" w:cs="Arial"/>
                <w:color w:val="000099"/>
                <w:lang w:eastAsia="en-GB"/>
              </w:rPr>
              <w:t>£</w:t>
            </w:r>
            <w:r w:rsidRPr="00627AD6">
              <w:rPr>
                <w:rFonts w:ascii="Arial" w:eastAsia="Times New Roman" w:hAnsi="Arial" w:cs="Arial"/>
                <w:color w:val="000099"/>
                <w:lang w:eastAsia="en-GB"/>
              </w:rPr>
              <w:t>270</w:t>
            </w:r>
          </w:p>
        </w:tc>
      </w:tr>
      <w:tr w:rsidR="00F92D49" w:rsidRPr="00095D2B" w14:paraId="729A4A8C" w14:textId="77777777" w:rsidTr="00BD21DC">
        <w:trPr>
          <w:trHeight w:val="259"/>
        </w:trPr>
        <w:tc>
          <w:tcPr>
            <w:tcW w:w="0" w:type="auto"/>
            <w:shd w:val="clear" w:color="auto" w:fill="99CCFF"/>
            <w:vAlign w:val="bottom"/>
            <w:hideMark/>
          </w:tcPr>
          <w:p w14:paraId="0DCE4667" w14:textId="77777777" w:rsidR="00F92D49" w:rsidRPr="00627AD6" w:rsidRDefault="00F92D49" w:rsidP="00BD21DC">
            <w:pPr>
              <w:spacing w:after="0" w:line="360" w:lineRule="auto"/>
              <w:jc w:val="both"/>
              <w:rPr>
                <w:rFonts w:ascii="Arial" w:eastAsia="Times New Roman" w:hAnsi="Arial" w:cs="Arial"/>
                <w:color w:val="000099"/>
                <w:lang w:eastAsia="en-GB"/>
              </w:rPr>
            </w:pPr>
            <w:r w:rsidRPr="00627AD6">
              <w:rPr>
                <w:rFonts w:ascii="Arial" w:eastAsia="Times New Roman" w:hAnsi="Arial" w:cs="Arial"/>
                <w:b/>
                <w:bCs/>
                <w:color w:val="000099"/>
                <w:lang w:eastAsia="en-GB"/>
              </w:rPr>
              <w:t>Discounted Carbon Value per tCO</w:t>
            </w:r>
            <w:r w:rsidRPr="008F084A">
              <w:rPr>
                <w:rFonts w:ascii="Arial" w:eastAsia="Times New Roman" w:hAnsi="Arial" w:cs="Arial"/>
                <w:b/>
                <w:bCs/>
                <w:color w:val="000099"/>
                <w:vertAlign w:val="subscript"/>
                <w:lang w:eastAsia="en-GB"/>
              </w:rPr>
              <w:t>2</w:t>
            </w:r>
          </w:p>
        </w:tc>
        <w:tc>
          <w:tcPr>
            <w:tcW w:w="0" w:type="auto"/>
            <w:shd w:val="clear" w:color="auto" w:fill="99CCFF"/>
            <w:vAlign w:val="bottom"/>
          </w:tcPr>
          <w:p w14:paraId="3D6FA0DB" w14:textId="77777777" w:rsidR="00F92D49" w:rsidRPr="00627AD6" w:rsidRDefault="00F92D49" w:rsidP="00BD21DC">
            <w:pPr>
              <w:spacing w:after="0" w:line="360" w:lineRule="auto"/>
              <w:jc w:val="both"/>
              <w:rPr>
                <w:rFonts w:ascii="Arial" w:eastAsia="Times New Roman" w:hAnsi="Arial" w:cs="Arial"/>
                <w:color w:val="000099"/>
                <w:lang w:eastAsia="en-GB"/>
              </w:rPr>
            </w:pPr>
            <w:r w:rsidRPr="008F147C">
              <w:rPr>
                <w:rFonts w:ascii="Arial" w:eastAsia="Times New Roman" w:hAnsi="Arial" w:cs="Arial"/>
                <w:color w:val="000099"/>
                <w:lang w:eastAsia="en-GB"/>
              </w:rPr>
              <w:t>£81.00</w:t>
            </w:r>
          </w:p>
        </w:tc>
        <w:tc>
          <w:tcPr>
            <w:tcW w:w="0" w:type="auto"/>
            <w:shd w:val="clear" w:color="auto" w:fill="99CCFF"/>
            <w:noWrap/>
            <w:vAlign w:val="bottom"/>
            <w:hideMark/>
          </w:tcPr>
          <w:p w14:paraId="7E7AB750" w14:textId="77777777" w:rsidR="00F92D49" w:rsidRPr="00627AD6" w:rsidRDefault="00F92D49" w:rsidP="00BD21DC">
            <w:pPr>
              <w:spacing w:after="0" w:line="360" w:lineRule="auto"/>
              <w:jc w:val="both"/>
              <w:rPr>
                <w:rFonts w:ascii="Arial" w:eastAsia="Times New Roman" w:hAnsi="Arial" w:cs="Arial"/>
                <w:color w:val="000099"/>
                <w:lang w:eastAsia="en-GB"/>
              </w:rPr>
            </w:pPr>
            <w:r w:rsidRPr="008F147C">
              <w:rPr>
                <w:rFonts w:ascii="Arial" w:eastAsia="Times New Roman" w:hAnsi="Arial" w:cs="Arial"/>
                <w:color w:val="000099"/>
                <w:lang w:eastAsia="en-GB"/>
              </w:rPr>
              <w:t>£73.88</w:t>
            </w:r>
          </w:p>
        </w:tc>
        <w:tc>
          <w:tcPr>
            <w:tcW w:w="0" w:type="auto"/>
            <w:shd w:val="clear" w:color="auto" w:fill="99CCFF"/>
            <w:noWrap/>
            <w:vAlign w:val="bottom"/>
            <w:hideMark/>
          </w:tcPr>
          <w:p w14:paraId="44D77C63" w14:textId="77777777" w:rsidR="00F92D49" w:rsidRPr="00627AD6" w:rsidRDefault="00F92D49" w:rsidP="00BD21DC">
            <w:pPr>
              <w:spacing w:after="0" w:line="360" w:lineRule="auto"/>
              <w:jc w:val="both"/>
              <w:rPr>
                <w:rFonts w:ascii="Arial" w:eastAsia="Times New Roman" w:hAnsi="Arial" w:cs="Arial"/>
                <w:color w:val="000099"/>
                <w:lang w:eastAsia="en-GB"/>
              </w:rPr>
            </w:pPr>
            <w:r w:rsidRPr="008F147C">
              <w:rPr>
                <w:rFonts w:ascii="Arial" w:eastAsia="Times New Roman" w:hAnsi="Arial" w:cs="Arial"/>
                <w:color w:val="000099"/>
                <w:lang w:eastAsia="en-GB"/>
              </w:rPr>
              <w:t>£66.99</w:t>
            </w:r>
          </w:p>
        </w:tc>
        <w:tc>
          <w:tcPr>
            <w:tcW w:w="0" w:type="auto"/>
            <w:shd w:val="clear" w:color="auto" w:fill="99CCFF"/>
            <w:noWrap/>
            <w:vAlign w:val="bottom"/>
            <w:hideMark/>
          </w:tcPr>
          <w:p w14:paraId="19CBB36A" w14:textId="77777777" w:rsidR="00F92D49" w:rsidRPr="00627AD6" w:rsidRDefault="00F92D49" w:rsidP="00BD21DC">
            <w:pPr>
              <w:spacing w:after="0" w:line="360" w:lineRule="auto"/>
              <w:jc w:val="both"/>
              <w:rPr>
                <w:rFonts w:ascii="Arial" w:eastAsia="Times New Roman" w:hAnsi="Arial" w:cs="Arial"/>
                <w:color w:val="000099"/>
                <w:lang w:eastAsia="en-GB"/>
              </w:rPr>
            </w:pPr>
            <w:r w:rsidRPr="008F147C">
              <w:rPr>
                <w:rFonts w:ascii="Arial" w:eastAsia="Times New Roman" w:hAnsi="Arial" w:cs="Arial"/>
                <w:color w:val="000099"/>
                <w:lang w:eastAsia="en-GB"/>
              </w:rPr>
              <w:t>£82.59</w:t>
            </w:r>
          </w:p>
        </w:tc>
        <w:tc>
          <w:tcPr>
            <w:tcW w:w="0" w:type="auto"/>
            <w:shd w:val="clear" w:color="auto" w:fill="99CCFF"/>
            <w:noWrap/>
            <w:vAlign w:val="bottom"/>
            <w:hideMark/>
          </w:tcPr>
          <w:p w14:paraId="36AEADFE" w14:textId="77777777" w:rsidR="00F92D49" w:rsidRPr="00627AD6" w:rsidRDefault="00F92D49" w:rsidP="00BD21DC">
            <w:pPr>
              <w:spacing w:after="0" w:line="360" w:lineRule="auto"/>
              <w:jc w:val="both"/>
              <w:rPr>
                <w:rFonts w:ascii="Arial" w:eastAsia="Times New Roman" w:hAnsi="Arial" w:cs="Arial"/>
                <w:color w:val="000099"/>
                <w:lang w:eastAsia="en-GB"/>
              </w:rPr>
            </w:pPr>
            <w:r w:rsidRPr="008F147C">
              <w:rPr>
                <w:rFonts w:ascii="Arial" w:eastAsia="Times New Roman" w:hAnsi="Arial" w:cs="Arial"/>
                <w:color w:val="000099"/>
                <w:lang w:eastAsia="en-GB"/>
              </w:rPr>
              <w:t>£91.59</w:t>
            </w:r>
          </w:p>
        </w:tc>
        <w:tc>
          <w:tcPr>
            <w:tcW w:w="0" w:type="auto"/>
            <w:shd w:val="clear" w:color="auto" w:fill="99CCFF"/>
            <w:noWrap/>
            <w:vAlign w:val="bottom"/>
            <w:hideMark/>
          </w:tcPr>
          <w:p w14:paraId="6655C3DC" w14:textId="77777777" w:rsidR="00F92D49" w:rsidRPr="00627AD6" w:rsidRDefault="00F92D49" w:rsidP="00BD21DC">
            <w:pPr>
              <w:spacing w:after="0" w:line="360" w:lineRule="auto"/>
              <w:jc w:val="both"/>
              <w:rPr>
                <w:rFonts w:ascii="Arial" w:eastAsia="Times New Roman" w:hAnsi="Arial" w:cs="Arial"/>
                <w:color w:val="000099"/>
                <w:lang w:eastAsia="en-GB"/>
              </w:rPr>
            </w:pPr>
            <w:r w:rsidRPr="008F147C">
              <w:rPr>
                <w:rFonts w:ascii="Arial" w:eastAsia="Times New Roman" w:hAnsi="Arial" w:cs="Arial"/>
                <w:color w:val="000099"/>
                <w:lang w:eastAsia="en-GB"/>
              </w:rPr>
              <w:t>£95.68</w:t>
            </w:r>
          </w:p>
        </w:tc>
        <w:tc>
          <w:tcPr>
            <w:tcW w:w="0" w:type="auto"/>
            <w:shd w:val="clear" w:color="auto" w:fill="99CCFF"/>
            <w:noWrap/>
            <w:vAlign w:val="bottom"/>
            <w:hideMark/>
          </w:tcPr>
          <w:p w14:paraId="0347BFEB" w14:textId="77777777" w:rsidR="00F92D49" w:rsidRPr="00627AD6" w:rsidRDefault="00F92D49" w:rsidP="00BD21DC">
            <w:pPr>
              <w:spacing w:after="0" w:line="360" w:lineRule="auto"/>
              <w:jc w:val="both"/>
              <w:rPr>
                <w:rFonts w:ascii="Arial" w:eastAsia="Times New Roman" w:hAnsi="Arial" w:cs="Arial"/>
                <w:color w:val="000099"/>
                <w:lang w:eastAsia="en-GB"/>
              </w:rPr>
            </w:pPr>
            <w:r w:rsidRPr="008F147C">
              <w:rPr>
                <w:rFonts w:ascii="Arial" w:eastAsia="Times New Roman" w:hAnsi="Arial" w:cs="Arial"/>
                <w:color w:val="000099"/>
                <w:lang w:eastAsia="en-GB"/>
              </w:rPr>
              <w:t>£96.20</w:t>
            </w:r>
          </w:p>
        </w:tc>
      </w:tr>
      <w:tr w:rsidR="00F92D49" w:rsidRPr="00095D2B" w14:paraId="72D71707" w14:textId="77777777" w:rsidTr="00BD21DC">
        <w:trPr>
          <w:trHeight w:val="315"/>
        </w:trPr>
        <w:tc>
          <w:tcPr>
            <w:tcW w:w="0" w:type="auto"/>
            <w:shd w:val="clear" w:color="auto" w:fill="auto"/>
            <w:noWrap/>
            <w:vAlign w:val="bottom"/>
            <w:hideMark/>
          </w:tcPr>
          <w:p w14:paraId="242AD533" w14:textId="77777777" w:rsidR="00F92D49" w:rsidRPr="00FB3F47" w:rsidRDefault="00F92D49" w:rsidP="00BD21DC">
            <w:pPr>
              <w:spacing w:after="0" w:line="360" w:lineRule="auto"/>
              <w:jc w:val="both"/>
              <w:rPr>
                <w:rFonts w:ascii="Arial" w:eastAsia="Times New Roman" w:hAnsi="Arial" w:cs="Arial"/>
                <w:b/>
                <w:bCs/>
                <w:color w:val="000000"/>
                <w:lang w:eastAsia="en-GB"/>
              </w:rPr>
            </w:pPr>
            <w:r w:rsidRPr="00FB3F47">
              <w:rPr>
                <w:rFonts w:ascii="Arial" w:eastAsia="Times New Roman" w:hAnsi="Arial" w:cs="Arial"/>
                <w:b/>
                <w:bCs/>
                <w:color w:val="000000"/>
                <w:lang w:eastAsia="en-GB"/>
              </w:rPr>
              <w:t>Discounted cost per Night Closure 22:00-06:00</w:t>
            </w:r>
          </w:p>
        </w:tc>
        <w:tc>
          <w:tcPr>
            <w:tcW w:w="0" w:type="auto"/>
            <w:shd w:val="clear" w:color="auto" w:fill="auto"/>
            <w:vAlign w:val="bottom"/>
          </w:tcPr>
          <w:p w14:paraId="1A41C525"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£134.50</w:t>
            </w:r>
          </w:p>
        </w:tc>
        <w:tc>
          <w:tcPr>
            <w:tcW w:w="0" w:type="auto"/>
            <w:shd w:val="clear" w:color="auto" w:fill="auto"/>
            <w:noWrap/>
            <w:vAlign w:val="bottom"/>
            <w:hideMark/>
          </w:tcPr>
          <w:p w14:paraId="6834D815"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£114.72</w:t>
            </w:r>
          </w:p>
        </w:tc>
        <w:tc>
          <w:tcPr>
            <w:tcW w:w="0" w:type="auto"/>
            <w:shd w:val="clear" w:color="auto" w:fill="auto"/>
            <w:noWrap/>
            <w:vAlign w:val="bottom"/>
            <w:hideMark/>
          </w:tcPr>
          <w:p w14:paraId="4E528DF2"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£91.50</w:t>
            </w:r>
          </w:p>
        </w:tc>
        <w:tc>
          <w:tcPr>
            <w:tcW w:w="0" w:type="auto"/>
            <w:shd w:val="clear" w:color="auto" w:fill="auto"/>
            <w:noWrap/>
            <w:vAlign w:val="bottom"/>
            <w:hideMark/>
          </w:tcPr>
          <w:p w14:paraId="501C6178"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£86.63</w:t>
            </w:r>
          </w:p>
        </w:tc>
        <w:tc>
          <w:tcPr>
            <w:tcW w:w="0" w:type="auto"/>
            <w:shd w:val="clear" w:color="auto" w:fill="auto"/>
            <w:noWrap/>
            <w:vAlign w:val="bottom"/>
            <w:hideMark/>
          </w:tcPr>
          <w:p w14:paraId="6BD4094A"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£65.87</w:t>
            </w:r>
          </w:p>
        </w:tc>
        <w:tc>
          <w:tcPr>
            <w:tcW w:w="0" w:type="auto"/>
            <w:shd w:val="clear" w:color="auto" w:fill="auto"/>
            <w:noWrap/>
            <w:vAlign w:val="bottom"/>
            <w:hideMark/>
          </w:tcPr>
          <w:p w14:paraId="40754DC6"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£48.77</w:t>
            </w:r>
          </w:p>
        </w:tc>
        <w:tc>
          <w:tcPr>
            <w:tcW w:w="0" w:type="auto"/>
            <w:shd w:val="clear" w:color="auto" w:fill="auto"/>
            <w:noWrap/>
            <w:vAlign w:val="bottom"/>
            <w:hideMark/>
          </w:tcPr>
          <w:p w14:paraId="6F35825D"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£43.05</w:t>
            </w:r>
          </w:p>
        </w:tc>
      </w:tr>
      <w:tr w:rsidR="00F92D49" w:rsidRPr="00095D2B" w14:paraId="1C91DB58" w14:textId="77777777" w:rsidTr="00BD21DC">
        <w:trPr>
          <w:trHeight w:val="315"/>
        </w:trPr>
        <w:tc>
          <w:tcPr>
            <w:tcW w:w="0" w:type="auto"/>
            <w:shd w:val="clear" w:color="auto" w:fill="auto"/>
            <w:noWrap/>
            <w:vAlign w:val="bottom"/>
          </w:tcPr>
          <w:p w14:paraId="409B6174" w14:textId="77777777" w:rsidR="00F92D49" w:rsidRPr="00FB3F47" w:rsidRDefault="00F92D49" w:rsidP="00BD21DC">
            <w:pPr>
              <w:spacing w:after="0" w:line="360" w:lineRule="auto"/>
              <w:jc w:val="both"/>
              <w:rPr>
                <w:rFonts w:ascii="Arial" w:eastAsia="Times New Roman" w:hAnsi="Arial" w:cs="Arial"/>
                <w:b/>
                <w:bCs/>
                <w:color w:val="000000"/>
                <w:lang w:eastAsia="en-GB"/>
              </w:rPr>
            </w:pPr>
            <w:r w:rsidRPr="00FB3F47">
              <w:rPr>
                <w:rFonts w:ascii="Arial" w:eastAsia="Times New Roman" w:hAnsi="Arial" w:cs="Arial"/>
                <w:b/>
                <w:bCs/>
                <w:color w:val="000000"/>
                <w:lang w:eastAsia="en-GB"/>
              </w:rPr>
              <w:t>Discounted cost per Lane Closure - Weekend</w:t>
            </w:r>
          </w:p>
        </w:tc>
        <w:tc>
          <w:tcPr>
            <w:tcW w:w="0" w:type="auto"/>
            <w:shd w:val="clear" w:color="auto" w:fill="auto"/>
            <w:vAlign w:val="bottom"/>
          </w:tcPr>
          <w:p w14:paraId="23F66700"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£3,025.45</w:t>
            </w:r>
          </w:p>
        </w:tc>
        <w:tc>
          <w:tcPr>
            <w:tcW w:w="0" w:type="auto"/>
            <w:shd w:val="clear" w:color="auto" w:fill="auto"/>
            <w:noWrap/>
            <w:vAlign w:val="bottom"/>
          </w:tcPr>
          <w:p w14:paraId="3EDA25E5"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£2,580.55</w:t>
            </w:r>
          </w:p>
        </w:tc>
        <w:tc>
          <w:tcPr>
            <w:tcW w:w="0" w:type="auto"/>
            <w:shd w:val="clear" w:color="auto" w:fill="auto"/>
            <w:noWrap/>
            <w:vAlign w:val="bottom"/>
          </w:tcPr>
          <w:p w14:paraId="51EC9330"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£2,058.30</w:t>
            </w:r>
          </w:p>
        </w:tc>
        <w:tc>
          <w:tcPr>
            <w:tcW w:w="0" w:type="auto"/>
            <w:shd w:val="clear" w:color="auto" w:fill="auto"/>
            <w:noWrap/>
            <w:vAlign w:val="bottom"/>
          </w:tcPr>
          <w:p w14:paraId="7BD77FD6"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£1,948.70</w:t>
            </w:r>
          </w:p>
        </w:tc>
        <w:tc>
          <w:tcPr>
            <w:tcW w:w="0" w:type="auto"/>
            <w:shd w:val="clear" w:color="auto" w:fill="auto"/>
            <w:noWrap/>
            <w:vAlign w:val="bottom"/>
          </w:tcPr>
          <w:p w14:paraId="1550280F"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£1,481.83</w:t>
            </w:r>
          </w:p>
        </w:tc>
        <w:tc>
          <w:tcPr>
            <w:tcW w:w="0" w:type="auto"/>
            <w:shd w:val="clear" w:color="auto" w:fill="auto"/>
            <w:noWrap/>
            <w:vAlign w:val="bottom"/>
          </w:tcPr>
          <w:p w14:paraId="3F1D8FE8"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£1,097.00</w:t>
            </w:r>
          </w:p>
        </w:tc>
        <w:tc>
          <w:tcPr>
            <w:tcW w:w="0" w:type="auto"/>
            <w:shd w:val="clear" w:color="auto" w:fill="auto"/>
            <w:noWrap/>
            <w:vAlign w:val="bottom"/>
          </w:tcPr>
          <w:p w14:paraId="6C26838E"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£968.49</w:t>
            </w:r>
          </w:p>
        </w:tc>
      </w:tr>
      <w:tr w:rsidR="00F92D49" w:rsidRPr="00095D2B" w14:paraId="08AC3564" w14:textId="77777777" w:rsidTr="00BD21DC">
        <w:trPr>
          <w:trHeight w:val="315"/>
        </w:trPr>
        <w:tc>
          <w:tcPr>
            <w:tcW w:w="0" w:type="auto"/>
            <w:shd w:val="clear" w:color="auto" w:fill="auto"/>
            <w:noWrap/>
            <w:vAlign w:val="bottom"/>
          </w:tcPr>
          <w:p w14:paraId="22988315" w14:textId="77777777" w:rsidR="00F92D49" w:rsidRPr="00FB3F47" w:rsidRDefault="00F92D49" w:rsidP="00BD21DC">
            <w:pPr>
              <w:spacing w:after="0" w:line="360" w:lineRule="auto"/>
              <w:jc w:val="both"/>
              <w:rPr>
                <w:rFonts w:ascii="Arial" w:eastAsia="Times New Roman" w:hAnsi="Arial" w:cs="Arial"/>
                <w:b/>
                <w:bCs/>
                <w:color w:val="000000"/>
                <w:lang w:eastAsia="en-GB"/>
              </w:rPr>
            </w:pPr>
            <w:r w:rsidRPr="00FB3F47">
              <w:rPr>
                <w:rFonts w:ascii="Arial" w:eastAsia="Times New Roman" w:hAnsi="Arial" w:cs="Arial"/>
                <w:b/>
                <w:bCs/>
                <w:color w:val="000000"/>
                <w:lang w:eastAsia="en-GB"/>
              </w:rPr>
              <w:t>Discounted cost per Lane Closure 24hrs</w:t>
            </w:r>
          </w:p>
        </w:tc>
        <w:tc>
          <w:tcPr>
            <w:tcW w:w="0" w:type="auto"/>
            <w:shd w:val="clear" w:color="auto" w:fill="auto"/>
            <w:vAlign w:val="bottom"/>
          </w:tcPr>
          <w:p w14:paraId="4FE97460"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£2,095.33</w:t>
            </w:r>
          </w:p>
        </w:tc>
        <w:tc>
          <w:tcPr>
            <w:tcW w:w="0" w:type="auto"/>
            <w:shd w:val="clear" w:color="auto" w:fill="auto"/>
            <w:noWrap/>
            <w:vAlign w:val="bottom"/>
          </w:tcPr>
          <w:p w14:paraId="4A22661C"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£1,787.21</w:t>
            </w:r>
          </w:p>
        </w:tc>
        <w:tc>
          <w:tcPr>
            <w:tcW w:w="0" w:type="auto"/>
            <w:shd w:val="clear" w:color="auto" w:fill="auto"/>
            <w:noWrap/>
            <w:vAlign w:val="bottom"/>
          </w:tcPr>
          <w:p w14:paraId="24B414D8"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£1,425.51</w:t>
            </w:r>
          </w:p>
        </w:tc>
        <w:tc>
          <w:tcPr>
            <w:tcW w:w="0" w:type="auto"/>
            <w:shd w:val="clear" w:color="auto" w:fill="auto"/>
            <w:noWrap/>
            <w:vAlign w:val="bottom"/>
          </w:tcPr>
          <w:p w14:paraId="2B905FB0"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£1,349.61</w:t>
            </w:r>
          </w:p>
        </w:tc>
        <w:tc>
          <w:tcPr>
            <w:tcW w:w="0" w:type="auto"/>
            <w:shd w:val="clear" w:color="auto" w:fill="auto"/>
            <w:noWrap/>
            <w:vAlign w:val="bottom"/>
          </w:tcPr>
          <w:p w14:paraId="5CB3A5C6"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£1,026.27</w:t>
            </w:r>
          </w:p>
        </w:tc>
        <w:tc>
          <w:tcPr>
            <w:tcW w:w="0" w:type="auto"/>
            <w:shd w:val="clear" w:color="auto" w:fill="auto"/>
            <w:noWrap/>
            <w:vAlign w:val="bottom"/>
          </w:tcPr>
          <w:p w14:paraId="72EB77AA"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£759.74</w:t>
            </w:r>
          </w:p>
        </w:tc>
        <w:tc>
          <w:tcPr>
            <w:tcW w:w="0" w:type="auto"/>
            <w:shd w:val="clear" w:color="auto" w:fill="auto"/>
            <w:noWrap/>
            <w:vAlign w:val="bottom"/>
          </w:tcPr>
          <w:p w14:paraId="4E5AB3B0"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£670.74</w:t>
            </w:r>
          </w:p>
        </w:tc>
      </w:tr>
      <w:tr w:rsidR="00F92D49" w:rsidRPr="00095D2B" w14:paraId="60BE38BA" w14:textId="77777777" w:rsidTr="00BD21DC">
        <w:trPr>
          <w:trHeight w:val="315"/>
        </w:trPr>
        <w:tc>
          <w:tcPr>
            <w:tcW w:w="0" w:type="auto"/>
            <w:shd w:val="clear" w:color="auto" w:fill="auto"/>
            <w:noWrap/>
            <w:vAlign w:val="bottom"/>
          </w:tcPr>
          <w:p w14:paraId="5188F79F" w14:textId="77777777" w:rsidR="00F92D49" w:rsidRDefault="00F92D49" w:rsidP="00BD21DC">
            <w:pPr>
              <w:spacing w:after="0" w:line="360" w:lineRule="auto"/>
              <w:jc w:val="both"/>
              <w:rPr>
                <w:rFonts w:ascii="Arial" w:eastAsia="Times New Roman" w:hAnsi="Arial" w:cs="Arial"/>
                <w:b/>
                <w:bCs/>
                <w:color w:val="000000"/>
                <w:lang w:eastAsia="en-GB"/>
              </w:rPr>
            </w:pPr>
            <w:r w:rsidRPr="00FB3F47">
              <w:rPr>
                <w:rFonts w:ascii="Arial" w:eastAsia="Times New Roman" w:hAnsi="Arial" w:cs="Arial"/>
                <w:b/>
                <w:bCs/>
                <w:color w:val="000000"/>
                <w:lang w:eastAsia="en-GB"/>
              </w:rPr>
              <w:t xml:space="preserve">Discounted cost per Road Closure </w:t>
            </w:r>
            <w:r>
              <w:rPr>
                <w:rFonts w:ascii="Arial" w:eastAsia="Times New Roman" w:hAnsi="Arial" w:cs="Arial"/>
                <w:b/>
                <w:bCs/>
                <w:color w:val="000000"/>
                <w:lang w:eastAsia="en-GB"/>
              </w:rPr>
              <w:t>–</w:t>
            </w:r>
            <w:r w:rsidRPr="00FB3F47">
              <w:rPr>
                <w:rFonts w:ascii="Arial" w:eastAsia="Times New Roman" w:hAnsi="Arial" w:cs="Arial"/>
                <w:b/>
                <w:bCs/>
                <w:color w:val="000000"/>
                <w:lang w:eastAsia="en-GB"/>
              </w:rPr>
              <w:t xml:space="preserve"> Night</w:t>
            </w:r>
            <w:r>
              <w:rPr>
                <w:rFonts w:ascii="Arial" w:eastAsia="Times New Roman" w:hAnsi="Arial" w:cs="Arial"/>
                <w:b/>
                <w:bCs/>
                <w:color w:val="000000"/>
                <w:lang w:eastAsia="en-GB"/>
              </w:rPr>
              <w:t xml:space="preserve"> Closure </w:t>
            </w:r>
          </w:p>
          <w:p w14:paraId="0E9074BE" w14:textId="77777777" w:rsidR="00F92D49" w:rsidRPr="00FB3F47" w:rsidRDefault="00F92D49" w:rsidP="00BD21DC">
            <w:pPr>
              <w:spacing w:after="0" w:line="360" w:lineRule="auto"/>
              <w:jc w:val="both"/>
              <w:rPr>
                <w:rFonts w:ascii="Arial" w:eastAsia="Times New Roman" w:hAnsi="Arial" w:cs="Arial"/>
                <w:b/>
                <w:bCs/>
                <w:color w:val="000000"/>
                <w:lang w:eastAsia="en-GB"/>
              </w:rPr>
            </w:pPr>
            <w:r w:rsidRPr="00FB3F47">
              <w:rPr>
                <w:rFonts w:ascii="Arial" w:eastAsia="Times New Roman" w:hAnsi="Arial" w:cs="Arial"/>
                <w:b/>
                <w:bCs/>
                <w:color w:val="000000"/>
                <w:lang w:eastAsia="en-GB"/>
              </w:rPr>
              <w:t>22:00-06:00</w:t>
            </w:r>
          </w:p>
        </w:tc>
        <w:tc>
          <w:tcPr>
            <w:tcW w:w="0" w:type="auto"/>
            <w:shd w:val="clear" w:color="auto" w:fill="auto"/>
            <w:vAlign w:val="bottom"/>
          </w:tcPr>
          <w:p w14:paraId="56DB58AA"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£256.69</w:t>
            </w:r>
          </w:p>
        </w:tc>
        <w:tc>
          <w:tcPr>
            <w:tcW w:w="0" w:type="auto"/>
            <w:shd w:val="clear" w:color="auto" w:fill="auto"/>
            <w:noWrap/>
            <w:vAlign w:val="bottom"/>
          </w:tcPr>
          <w:p w14:paraId="37E56213"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£218.95</w:t>
            </w:r>
          </w:p>
        </w:tc>
        <w:tc>
          <w:tcPr>
            <w:tcW w:w="0" w:type="auto"/>
            <w:shd w:val="clear" w:color="auto" w:fill="auto"/>
            <w:noWrap/>
            <w:vAlign w:val="bottom"/>
          </w:tcPr>
          <w:p w14:paraId="75F05774"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£174.64</w:t>
            </w:r>
          </w:p>
        </w:tc>
        <w:tc>
          <w:tcPr>
            <w:tcW w:w="0" w:type="auto"/>
            <w:shd w:val="clear" w:color="auto" w:fill="auto"/>
            <w:noWrap/>
            <w:vAlign w:val="bottom"/>
          </w:tcPr>
          <w:p w14:paraId="2057F434"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£165.34</w:t>
            </w:r>
          </w:p>
        </w:tc>
        <w:tc>
          <w:tcPr>
            <w:tcW w:w="0" w:type="auto"/>
            <w:shd w:val="clear" w:color="auto" w:fill="auto"/>
            <w:noWrap/>
            <w:vAlign w:val="bottom"/>
          </w:tcPr>
          <w:p w14:paraId="69403A7E"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£125.73</w:t>
            </w:r>
          </w:p>
        </w:tc>
        <w:tc>
          <w:tcPr>
            <w:tcW w:w="0" w:type="auto"/>
            <w:shd w:val="clear" w:color="auto" w:fill="auto"/>
            <w:noWrap/>
            <w:vAlign w:val="bottom"/>
          </w:tcPr>
          <w:p w14:paraId="6010D82D"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£93.07</w:t>
            </w:r>
          </w:p>
        </w:tc>
        <w:tc>
          <w:tcPr>
            <w:tcW w:w="0" w:type="auto"/>
            <w:shd w:val="clear" w:color="auto" w:fill="auto"/>
            <w:noWrap/>
            <w:vAlign w:val="bottom"/>
          </w:tcPr>
          <w:p w14:paraId="01421F7A"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£82.17</w:t>
            </w:r>
          </w:p>
        </w:tc>
      </w:tr>
      <w:tr w:rsidR="00F92D49" w:rsidRPr="00095D2B" w14:paraId="16F7852B" w14:textId="77777777" w:rsidTr="00BD21DC">
        <w:trPr>
          <w:trHeight w:val="315"/>
        </w:trPr>
        <w:tc>
          <w:tcPr>
            <w:tcW w:w="0" w:type="auto"/>
            <w:shd w:val="clear" w:color="auto" w:fill="auto"/>
            <w:noWrap/>
            <w:vAlign w:val="bottom"/>
          </w:tcPr>
          <w:p w14:paraId="7C931441" w14:textId="77777777" w:rsidR="00F92D49" w:rsidRPr="00FB3F47" w:rsidRDefault="00F92D49" w:rsidP="00BD21DC">
            <w:pPr>
              <w:spacing w:after="0" w:line="360" w:lineRule="auto"/>
              <w:jc w:val="both"/>
              <w:rPr>
                <w:rFonts w:ascii="Arial" w:eastAsia="Times New Roman" w:hAnsi="Arial" w:cs="Arial"/>
                <w:b/>
                <w:bCs/>
                <w:color w:val="000000"/>
                <w:lang w:eastAsia="en-GB"/>
              </w:rPr>
            </w:pPr>
            <w:r w:rsidRPr="00FB3F47">
              <w:rPr>
                <w:rFonts w:ascii="Arial" w:eastAsia="Times New Roman" w:hAnsi="Arial" w:cs="Arial"/>
                <w:b/>
                <w:bCs/>
                <w:color w:val="000000"/>
                <w:lang w:eastAsia="en-GB"/>
              </w:rPr>
              <w:t>Discounted cost per Road Closure - Weekend</w:t>
            </w:r>
          </w:p>
        </w:tc>
        <w:tc>
          <w:tcPr>
            <w:tcW w:w="0" w:type="auto"/>
            <w:shd w:val="clear" w:color="auto" w:fill="auto"/>
            <w:vAlign w:val="bottom"/>
          </w:tcPr>
          <w:p w14:paraId="317D015E"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£5,825.51</w:t>
            </w:r>
          </w:p>
        </w:tc>
        <w:tc>
          <w:tcPr>
            <w:tcW w:w="0" w:type="auto"/>
            <w:shd w:val="clear" w:color="auto" w:fill="auto"/>
            <w:noWrap/>
            <w:vAlign w:val="bottom"/>
          </w:tcPr>
          <w:p w14:paraId="23AA4173"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£4,968.85</w:t>
            </w:r>
          </w:p>
        </w:tc>
        <w:tc>
          <w:tcPr>
            <w:tcW w:w="0" w:type="auto"/>
            <w:shd w:val="clear" w:color="auto" w:fill="auto"/>
            <w:noWrap/>
            <w:vAlign w:val="bottom"/>
          </w:tcPr>
          <w:p w14:paraId="559DAB7F"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£3,963.25</w:t>
            </w:r>
          </w:p>
        </w:tc>
        <w:tc>
          <w:tcPr>
            <w:tcW w:w="0" w:type="auto"/>
            <w:shd w:val="clear" w:color="auto" w:fill="auto"/>
            <w:noWrap/>
            <w:vAlign w:val="bottom"/>
          </w:tcPr>
          <w:p w14:paraId="1CC9155C"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£3,752.22</w:t>
            </w:r>
          </w:p>
        </w:tc>
        <w:tc>
          <w:tcPr>
            <w:tcW w:w="0" w:type="auto"/>
            <w:shd w:val="clear" w:color="auto" w:fill="auto"/>
            <w:noWrap/>
            <w:vAlign w:val="bottom"/>
          </w:tcPr>
          <w:p w14:paraId="69452550"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£2,853.26</w:t>
            </w:r>
          </w:p>
        </w:tc>
        <w:tc>
          <w:tcPr>
            <w:tcW w:w="0" w:type="auto"/>
            <w:shd w:val="clear" w:color="auto" w:fill="auto"/>
            <w:noWrap/>
            <w:vAlign w:val="bottom"/>
          </w:tcPr>
          <w:p w14:paraId="1CB5656D"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£2,112.27</w:t>
            </w:r>
          </w:p>
        </w:tc>
        <w:tc>
          <w:tcPr>
            <w:tcW w:w="0" w:type="auto"/>
            <w:shd w:val="clear" w:color="auto" w:fill="auto"/>
            <w:noWrap/>
            <w:vAlign w:val="bottom"/>
          </w:tcPr>
          <w:p w14:paraId="7600C7A2"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£1,864.82</w:t>
            </w:r>
          </w:p>
        </w:tc>
      </w:tr>
      <w:tr w:rsidR="00F92D49" w:rsidRPr="00095D2B" w14:paraId="5382798A" w14:textId="77777777" w:rsidTr="00BD21DC">
        <w:trPr>
          <w:trHeight w:val="315"/>
        </w:trPr>
        <w:tc>
          <w:tcPr>
            <w:tcW w:w="0" w:type="auto"/>
            <w:shd w:val="clear" w:color="auto" w:fill="auto"/>
            <w:noWrap/>
            <w:vAlign w:val="bottom"/>
          </w:tcPr>
          <w:p w14:paraId="30BC8B14" w14:textId="77777777" w:rsidR="00F92D49" w:rsidRPr="00FB3F47" w:rsidRDefault="00F92D49" w:rsidP="00BD21DC">
            <w:pPr>
              <w:spacing w:after="0" w:line="360" w:lineRule="auto"/>
              <w:jc w:val="both"/>
              <w:rPr>
                <w:rFonts w:ascii="Arial" w:eastAsia="Times New Roman" w:hAnsi="Arial" w:cs="Arial"/>
                <w:b/>
                <w:bCs/>
                <w:color w:val="000000"/>
                <w:lang w:eastAsia="en-GB"/>
              </w:rPr>
            </w:pPr>
            <w:r w:rsidRPr="00FB3F47">
              <w:rPr>
                <w:rFonts w:ascii="Arial" w:eastAsia="Times New Roman" w:hAnsi="Arial" w:cs="Arial"/>
                <w:b/>
                <w:bCs/>
                <w:color w:val="000000"/>
                <w:lang w:eastAsia="en-GB"/>
              </w:rPr>
              <w:t>Discounted cost per Road Closure - 24hrs</w:t>
            </w:r>
          </w:p>
        </w:tc>
        <w:tc>
          <w:tcPr>
            <w:tcW w:w="0" w:type="auto"/>
            <w:shd w:val="clear" w:color="auto" w:fill="auto"/>
            <w:vAlign w:val="bottom"/>
          </w:tcPr>
          <w:p w14:paraId="4C304A8B"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£3,962.59</w:t>
            </w:r>
          </w:p>
        </w:tc>
        <w:tc>
          <w:tcPr>
            <w:tcW w:w="0" w:type="auto"/>
            <w:shd w:val="clear" w:color="auto" w:fill="auto"/>
            <w:noWrap/>
            <w:vAlign w:val="bottom"/>
          </w:tcPr>
          <w:p w14:paraId="73A88CE3"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£3,379.88</w:t>
            </w:r>
          </w:p>
        </w:tc>
        <w:tc>
          <w:tcPr>
            <w:tcW w:w="0" w:type="auto"/>
            <w:shd w:val="clear" w:color="auto" w:fill="auto"/>
            <w:noWrap/>
            <w:vAlign w:val="bottom"/>
          </w:tcPr>
          <w:p w14:paraId="2431CADD"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£2,695.86</w:t>
            </w:r>
          </w:p>
        </w:tc>
        <w:tc>
          <w:tcPr>
            <w:tcW w:w="0" w:type="auto"/>
            <w:shd w:val="clear" w:color="auto" w:fill="auto"/>
            <w:noWrap/>
            <w:vAlign w:val="bottom"/>
          </w:tcPr>
          <w:p w14:paraId="2540576E"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£2,552.31</w:t>
            </w:r>
          </w:p>
        </w:tc>
        <w:tc>
          <w:tcPr>
            <w:tcW w:w="0" w:type="auto"/>
            <w:shd w:val="clear" w:color="auto" w:fill="auto"/>
            <w:noWrap/>
            <w:vAlign w:val="bottom"/>
          </w:tcPr>
          <w:p w14:paraId="3066D3F4"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£1,940.83</w:t>
            </w:r>
          </w:p>
        </w:tc>
        <w:tc>
          <w:tcPr>
            <w:tcW w:w="0" w:type="auto"/>
            <w:shd w:val="clear" w:color="auto" w:fill="auto"/>
            <w:noWrap/>
            <w:vAlign w:val="bottom"/>
          </w:tcPr>
          <w:p w14:paraId="73DE0BEF"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£1,436.79</w:t>
            </w:r>
          </w:p>
        </w:tc>
        <w:tc>
          <w:tcPr>
            <w:tcW w:w="0" w:type="auto"/>
            <w:shd w:val="clear" w:color="auto" w:fill="auto"/>
            <w:noWrap/>
            <w:vAlign w:val="bottom"/>
          </w:tcPr>
          <w:p w14:paraId="287CB6ED" w14:textId="77777777" w:rsidR="00F92D49" w:rsidRPr="00605A94" w:rsidRDefault="00F92D49" w:rsidP="00BD21DC">
            <w:pPr>
              <w:spacing w:after="0" w:line="360" w:lineRule="auto"/>
              <w:jc w:val="both"/>
              <w:rPr>
                <w:rFonts w:ascii="Arial" w:eastAsia="Times New Roman" w:hAnsi="Arial" w:cs="Arial"/>
                <w:b/>
                <w:bCs/>
                <w:color w:val="000000"/>
                <w:lang w:eastAsia="en-GB"/>
              </w:rPr>
            </w:pPr>
            <w:r w:rsidRPr="00605A94">
              <w:rPr>
                <w:rFonts w:ascii="Arial" w:hAnsi="Arial" w:cs="Arial"/>
                <w:b/>
                <w:bCs/>
                <w:color w:val="000000"/>
              </w:rPr>
              <w:t>£1,268.48</w:t>
            </w:r>
          </w:p>
        </w:tc>
      </w:tr>
    </w:tbl>
    <w:p w14:paraId="4F7D7BFF" w14:textId="77777777" w:rsidR="00F92D49" w:rsidRDefault="00F92D49" w:rsidP="00F92D49">
      <w:pPr>
        <w:tabs>
          <w:tab w:val="left" w:pos="815"/>
        </w:tabs>
        <w:rPr>
          <w:lang w:eastAsia="en-GB"/>
        </w:rPr>
      </w:pPr>
      <w:r w:rsidRPr="00F55F11">
        <w:rPr>
          <w:rFonts w:ascii="Arial" w:hAnsi="Arial" w:cs="Arial"/>
          <w:lang w:eastAsia="en-GB"/>
        </w:rPr>
        <w:t xml:space="preserve">(Note: Interpolation was used to determine the emissions from traffic management in </w:t>
      </w:r>
      <w:r>
        <w:rPr>
          <w:rFonts w:ascii="Arial" w:hAnsi="Arial" w:cs="Arial"/>
          <w:lang w:eastAsia="en-GB"/>
        </w:rPr>
        <w:t xml:space="preserve">each </w:t>
      </w:r>
      <w:r w:rsidRPr="00F55F11">
        <w:rPr>
          <w:rFonts w:ascii="Arial" w:hAnsi="Arial" w:cs="Arial"/>
          <w:lang w:eastAsia="en-GB"/>
        </w:rPr>
        <w:t>year of the analysis period)</w:t>
      </w:r>
    </w:p>
    <w:p w14:paraId="1C0ACFD0" w14:textId="77777777" w:rsidR="00F92D49" w:rsidRPr="006717B3" w:rsidRDefault="00F92D49" w:rsidP="00F92D49">
      <w:pPr>
        <w:pStyle w:val="Caption"/>
        <w:jc w:val="center"/>
        <w:rPr>
          <w:rFonts w:ascii="Arial" w:hAnsi="Arial" w:cs="Arial"/>
          <w:color w:val="auto"/>
          <w:sz w:val="22"/>
          <w:szCs w:val="22"/>
        </w:rPr>
      </w:pPr>
      <w:bookmarkStart w:id="149" w:name="_Toc66869001"/>
      <w:r w:rsidRPr="006717B3">
        <w:rPr>
          <w:rFonts w:ascii="Arial" w:hAnsi="Arial" w:cs="Arial"/>
          <w:color w:val="auto"/>
          <w:sz w:val="22"/>
          <w:szCs w:val="22"/>
        </w:rPr>
        <w:t xml:space="preserve">Table </w:t>
      </w:r>
      <w:r w:rsidRPr="006717B3">
        <w:rPr>
          <w:rFonts w:ascii="Arial" w:hAnsi="Arial" w:cs="Arial"/>
          <w:color w:val="auto"/>
          <w:sz w:val="22"/>
          <w:szCs w:val="22"/>
        </w:rPr>
        <w:fldChar w:fldCharType="begin"/>
      </w:r>
      <w:r w:rsidRPr="006717B3">
        <w:rPr>
          <w:rFonts w:ascii="Arial" w:hAnsi="Arial" w:cs="Arial"/>
          <w:color w:val="auto"/>
          <w:sz w:val="22"/>
          <w:szCs w:val="22"/>
        </w:rPr>
        <w:instrText xml:space="preserve"> SEQ Table \* ARABIC </w:instrText>
      </w:r>
      <w:r w:rsidRPr="006717B3">
        <w:rPr>
          <w:rFonts w:ascii="Arial" w:hAnsi="Arial" w:cs="Arial"/>
          <w:color w:val="auto"/>
          <w:sz w:val="22"/>
          <w:szCs w:val="22"/>
        </w:rPr>
        <w:fldChar w:fldCharType="separate"/>
      </w:r>
      <w:r w:rsidRPr="006717B3">
        <w:rPr>
          <w:rFonts w:ascii="Arial" w:hAnsi="Arial" w:cs="Arial"/>
          <w:noProof/>
          <w:color w:val="auto"/>
          <w:sz w:val="22"/>
          <w:szCs w:val="22"/>
        </w:rPr>
        <w:t>16</w:t>
      </w:r>
      <w:r w:rsidRPr="006717B3">
        <w:rPr>
          <w:rFonts w:ascii="Arial" w:hAnsi="Arial" w:cs="Arial"/>
          <w:color w:val="auto"/>
          <w:sz w:val="22"/>
          <w:szCs w:val="22"/>
        </w:rPr>
        <w:fldChar w:fldCharType="end"/>
      </w:r>
      <w:r w:rsidRPr="006717B3">
        <w:rPr>
          <w:rFonts w:ascii="Arial" w:hAnsi="Arial" w:cs="Arial"/>
          <w:color w:val="auto"/>
          <w:sz w:val="22"/>
          <w:szCs w:val="22"/>
        </w:rPr>
        <w:t xml:space="preserve"> - CO</w:t>
      </w:r>
      <w:r w:rsidRPr="006717B3">
        <w:rPr>
          <w:rFonts w:ascii="Arial" w:hAnsi="Arial" w:cs="Arial"/>
          <w:color w:val="auto"/>
          <w:sz w:val="22"/>
          <w:szCs w:val="22"/>
          <w:vertAlign w:val="subscript"/>
        </w:rPr>
        <w:t>2</w:t>
      </w:r>
      <w:r w:rsidRPr="006717B3">
        <w:rPr>
          <w:rFonts w:ascii="Arial" w:hAnsi="Arial" w:cs="Arial"/>
          <w:color w:val="auto"/>
          <w:sz w:val="22"/>
          <w:szCs w:val="22"/>
        </w:rPr>
        <w:t xml:space="preserve"> Costs from Traffic Management</w:t>
      </w:r>
      <w:bookmarkEnd w:id="149"/>
    </w:p>
    <w:p w14:paraId="04F88993" w14:textId="77777777" w:rsidR="00B50DF2" w:rsidRDefault="00B50DF2" w:rsidP="00E17E9A">
      <w:pPr>
        <w:rPr>
          <w:lang w:eastAsia="en-GB"/>
        </w:rPr>
      </w:pPr>
    </w:p>
    <w:p w14:paraId="4FF30DEE" w14:textId="7125221B" w:rsidR="00413731" w:rsidRDefault="00413731" w:rsidP="00E17E9A">
      <w:pPr>
        <w:rPr>
          <w:lang w:eastAsia="en-GB"/>
        </w:rPr>
      </w:pPr>
    </w:p>
    <w:p w14:paraId="5F71346A" w14:textId="77777777" w:rsidR="00413731" w:rsidRPr="00C02C8F" w:rsidRDefault="00413731" w:rsidP="00C02C8F">
      <w:pPr>
        <w:rPr>
          <w:lang w:eastAsia="en-GB"/>
        </w:rPr>
      </w:pPr>
    </w:p>
    <w:p w14:paraId="0F4DBFD0" w14:textId="77777777" w:rsidR="00165634" w:rsidRDefault="00165634" w:rsidP="00C02C8F">
      <w:pPr>
        <w:pStyle w:val="Caption"/>
        <w:jc w:val="center"/>
        <w:rPr>
          <w:rFonts w:ascii="Arial" w:hAnsi="Arial" w:cs="Arial"/>
          <w:lang w:eastAsia="en-GB"/>
        </w:rPr>
        <w:sectPr w:rsidR="00165634" w:rsidSect="00C02C8F">
          <w:pgSz w:w="16838" w:h="11906" w:orient="landscape"/>
          <w:pgMar w:top="1440" w:right="1440" w:bottom="1440" w:left="1440" w:header="708" w:footer="708" w:gutter="0"/>
          <w:cols w:space="708"/>
          <w:titlePg/>
          <w:docGrid w:linePitch="360"/>
        </w:sectPr>
      </w:pPr>
    </w:p>
    <w:p w14:paraId="205E3CC8" w14:textId="2F81A306" w:rsidR="00510203" w:rsidRDefault="00510203" w:rsidP="00510203">
      <w:pPr>
        <w:pStyle w:val="Heading1"/>
        <w:numPr>
          <w:ilvl w:val="0"/>
          <w:numId w:val="0"/>
        </w:numPr>
        <w:spacing w:after="240"/>
        <w:ind w:left="432" w:hanging="432"/>
        <w:jc w:val="both"/>
        <w:rPr>
          <w:rFonts w:ascii="Arial" w:eastAsia="Times New Roman" w:hAnsi="Arial" w:cs="Arial"/>
          <w:b/>
          <w:bCs/>
          <w:color w:val="auto"/>
          <w:sz w:val="28"/>
          <w:szCs w:val="28"/>
          <w:lang w:eastAsia="en-GB"/>
        </w:rPr>
      </w:pPr>
      <w:bookmarkStart w:id="150" w:name="_Toc66868921"/>
      <w:r w:rsidRPr="00C87B8D">
        <w:rPr>
          <w:rFonts w:ascii="Arial" w:eastAsia="Times New Roman" w:hAnsi="Arial" w:cs="Arial"/>
          <w:b/>
          <w:bCs/>
          <w:color w:val="auto"/>
          <w:sz w:val="28"/>
          <w:szCs w:val="28"/>
          <w:lang w:eastAsia="en-GB"/>
        </w:rPr>
        <w:t xml:space="preserve">Chapter 6: </w:t>
      </w:r>
      <w:r>
        <w:rPr>
          <w:rFonts w:ascii="Arial" w:eastAsia="Times New Roman" w:hAnsi="Arial" w:cs="Arial"/>
          <w:b/>
          <w:bCs/>
          <w:color w:val="auto"/>
          <w:sz w:val="28"/>
          <w:szCs w:val="28"/>
          <w:lang w:eastAsia="en-GB"/>
        </w:rPr>
        <w:t>Analysis</w:t>
      </w:r>
      <w:bookmarkEnd w:id="150"/>
    </w:p>
    <w:p w14:paraId="37775105" w14:textId="77777777" w:rsidR="00DE29CC" w:rsidRPr="00DE29CC" w:rsidRDefault="00DE29CC" w:rsidP="00DE29CC">
      <w:pPr>
        <w:pStyle w:val="ListParagraph"/>
        <w:keepNext/>
        <w:keepLines/>
        <w:numPr>
          <w:ilvl w:val="0"/>
          <w:numId w:val="3"/>
        </w:numPr>
        <w:spacing w:before="240" w:after="0"/>
        <w:contextualSpacing w:val="0"/>
        <w:outlineLvl w:val="0"/>
        <w:rPr>
          <w:rFonts w:asciiTheme="majorHAnsi" w:eastAsiaTheme="majorEastAsia" w:hAnsiTheme="majorHAnsi" w:cstheme="majorBidi"/>
          <w:vanish/>
          <w:color w:val="1A0FA4" w:themeColor="accent1" w:themeShade="BF"/>
          <w:sz w:val="32"/>
          <w:szCs w:val="32"/>
          <w:lang w:eastAsia="en-GB"/>
        </w:rPr>
      </w:pPr>
      <w:bookmarkStart w:id="151" w:name="_Toc66636478"/>
      <w:bookmarkStart w:id="152" w:name="_Toc66868922"/>
      <w:bookmarkEnd w:id="151"/>
      <w:bookmarkEnd w:id="152"/>
    </w:p>
    <w:p w14:paraId="50A97ECF" w14:textId="3E82B570" w:rsidR="00084AA0" w:rsidRPr="00C02C8F" w:rsidRDefault="00084AA0" w:rsidP="00C02C8F">
      <w:pPr>
        <w:pStyle w:val="Heading2"/>
        <w:spacing w:after="240"/>
        <w:rPr>
          <w:rFonts w:ascii="Arial" w:hAnsi="Arial" w:cs="Arial"/>
          <w:b/>
          <w:bCs/>
          <w:color w:val="auto"/>
          <w:sz w:val="24"/>
          <w:szCs w:val="24"/>
          <w:lang w:eastAsia="en-GB"/>
        </w:rPr>
      </w:pPr>
      <w:bookmarkStart w:id="153" w:name="_Toc66868923"/>
      <w:r w:rsidRPr="00C02C8F">
        <w:rPr>
          <w:rFonts w:ascii="Arial" w:hAnsi="Arial" w:cs="Arial"/>
          <w:b/>
          <w:bCs/>
          <w:color w:val="auto"/>
          <w:sz w:val="24"/>
          <w:szCs w:val="24"/>
          <w:lang w:eastAsia="en-GB"/>
        </w:rPr>
        <w:t>Maintenance Costs</w:t>
      </w:r>
      <w:bookmarkEnd w:id="153"/>
    </w:p>
    <w:p w14:paraId="2BDFBD2E" w14:textId="6F71764A" w:rsidR="0074784B" w:rsidRPr="00C02C8F" w:rsidRDefault="006875BC" w:rsidP="00C02C8F">
      <w:pPr>
        <w:spacing w:line="360" w:lineRule="auto"/>
        <w:rPr>
          <w:rFonts w:ascii="Arial" w:hAnsi="Arial" w:cs="Arial"/>
          <w:lang w:eastAsia="en-GB"/>
        </w:rPr>
      </w:pPr>
      <w:r w:rsidRPr="00C02C8F">
        <w:rPr>
          <w:rFonts w:ascii="Arial" w:hAnsi="Arial" w:cs="Arial"/>
          <w:lang w:eastAsia="en-GB"/>
        </w:rPr>
        <w:t xml:space="preserve">Figures </w:t>
      </w:r>
      <w:r w:rsidR="00F066D4">
        <w:rPr>
          <w:rFonts w:ascii="Arial" w:hAnsi="Arial" w:cs="Arial"/>
          <w:lang w:eastAsia="en-GB"/>
        </w:rPr>
        <w:t>10 &amp; 11</w:t>
      </w:r>
      <w:r w:rsidRPr="00C02C8F">
        <w:rPr>
          <w:rFonts w:ascii="Arial" w:hAnsi="Arial" w:cs="Arial"/>
          <w:lang w:eastAsia="en-GB"/>
        </w:rPr>
        <w:t xml:space="preserve"> illustrate the non-discounted maintenance scheme costs </w:t>
      </w:r>
      <w:r w:rsidR="007E34AF">
        <w:rPr>
          <w:rFonts w:ascii="Arial" w:hAnsi="Arial" w:cs="Arial"/>
          <w:lang w:eastAsia="en-GB"/>
        </w:rPr>
        <w:t>throughout the analysis period.</w:t>
      </w:r>
    </w:p>
    <w:p w14:paraId="7FC804AF" w14:textId="501033AD" w:rsidR="004678F2" w:rsidRDefault="004678F2" w:rsidP="00B96B1C">
      <w:pPr>
        <w:rPr>
          <w:lang w:eastAsia="en-GB"/>
        </w:rPr>
      </w:pPr>
      <w:r>
        <w:rPr>
          <w:noProof/>
        </w:rPr>
        <w:drawing>
          <wp:inline distT="0" distB="0" distL="0" distR="0" wp14:anchorId="45A8DF6C" wp14:editId="78A1F43F">
            <wp:extent cx="5731510" cy="3364230"/>
            <wp:effectExtent l="0" t="0" r="2540" b="7620"/>
            <wp:docPr id="17" name="Chart 17">
              <a:extLst xmlns:a="http://schemas.openxmlformats.org/drawingml/2006/main">
                <a:ext uri="{FF2B5EF4-FFF2-40B4-BE49-F238E27FC236}">
                  <a16:creationId xmlns:a16="http://schemas.microsoft.com/office/drawing/2014/main" id="{B821CF50-13FE-437A-B05F-26C01B6C95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D531916" w14:textId="1B73CDA7" w:rsidR="00EA6EF9" w:rsidRPr="00C02C8F" w:rsidRDefault="003503EA" w:rsidP="00C02C8F">
      <w:pPr>
        <w:pStyle w:val="Caption"/>
        <w:jc w:val="center"/>
        <w:rPr>
          <w:rFonts w:ascii="Arial" w:hAnsi="Arial" w:cs="Arial"/>
          <w:sz w:val="22"/>
          <w:szCs w:val="22"/>
          <w:lang w:eastAsia="en-GB"/>
        </w:rPr>
      </w:pPr>
      <w:bookmarkStart w:id="154" w:name="_Toc66868962"/>
      <w:r w:rsidRPr="00C02C8F">
        <w:rPr>
          <w:rFonts w:ascii="Arial" w:hAnsi="Arial" w:cs="Arial"/>
          <w:color w:val="auto"/>
          <w:sz w:val="22"/>
          <w:szCs w:val="22"/>
        </w:rPr>
        <w:t xml:space="preserve">Figure </w:t>
      </w:r>
      <w:r w:rsidRPr="00C02C8F">
        <w:rPr>
          <w:rFonts w:ascii="Arial" w:hAnsi="Arial" w:cs="Arial"/>
          <w:color w:val="auto"/>
          <w:sz w:val="22"/>
          <w:szCs w:val="22"/>
        </w:rPr>
        <w:fldChar w:fldCharType="begin"/>
      </w:r>
      <w:r w:rsidRPr="00C02C8F">
        <w:rPr>
          <w:rFonts w:ascii="Arial" w:hAnsi="Arial" w:cs="Arial"/>
          <w:color w:val="auto"/>
          <w:sz w:val="22"/>
          <w:szCs w:val="22"/>
        </w:rPr>
        <w:instrText xml:space="preserve"> SEQ Figure \* ARABIC </w:instrText>
      </w:r>
      <w:r w:rsidRPr="00C02C8F">
        <w:rPr>
          <w:rFonts w:ascii="Arial" w:hAnsi="Arial" w:cs="Arial"/>
          <w:color w:val="auto"/>
          <w:sz w:val="22"/>
          <w:szCs w:val="22"/>
        </w:rPr>
        <w:fldChar w:fldCharType="separate"/>
      </w:r>
      <w:r w:rsidR="0063178E">
        <w:rPr>
          <w:rFonts w:ascii="Arial" w:hAnsi="Arial" w:cs="Arial"/>
          <w:noProof/>
          <w:color w:val="auto"/>
          <w:sz w:val="22"/>
          <w:szCs w:val="22"/>
        </w:rPr>
        <w:t>10</w:t>
      </w:r>
      <w:r w:rsidRPr="00C02C8F">
        <w:rPr>
          <w:rFonts w:ascii="Arial" w:hAnsi="Arial" w:cs="Arial"/>
          <w:color w:val="auto"/>
          <w:sz w:val="22"/>
          <w:szCs w:val="22"/>
        </w:rPr>
        <w:fldChar w:fldCharType="end"/>
      </w:r>
      <w:r w:rsidRPr="00C02C8F">
        <w:rPr>
          <w:rFonts w:ascii="Arial" w:hAnsi="Arial" w:cs="Arial"/>
          <w:color w:val="auto"/>
          <w:sz w:val="22"/>
          <w:szCs w:val="22"/>
        </w:rPr>
        <w:t xml:space="preserve"> - Expenditure for the Planned Preventive Maintenance Strategy</w:t>
      </w:r>
      <w:r w:rsidR="00602D92" w:rsidRPr="00C02C8F">
        <w:rPr>
          <w:rFonts w:ascii="Arial" w:hAnsi="Arial" w:cs="Arial"/>
          <w:i w:val="0"/>
          <w:iCs w:val="0"/>
          <w:noProof/>
          <w:color w:val="auto"/>
          <w:sz w:val="22"/>
          <w:szCs w:val="22"/>
        </w:rPr>
        <w:drawing>
          <wp:anchor distT="0" distB="0" distL="114300" distR="114300" simplePos="0" relativeHeight="251663360" behindDoc="0" locked="0" layoutInCell="1" allowOverlap="1" wp14:anchorId="2AC5D76F" wp14:editId="45042DD9">
            <wp:simplePos x="0" y="0"/>
            <wp:positionH relativeFrom="column">
              <wp:posOffset>0</wp:posOffset>
            </wp:positionH>
            <wp:positionV relativeFrom="paragraph">
              <wp:posOffset>233548</wp:posOffset>
            </wp:positionV>
            <wp:extent cx="5731510" cy="3648974"/>
            <wp:effectExtent l="0" t="0" r="2540" b="8890"/>
            <wp:wrapSquare wrapText="bothSides"/>
            <wp:docPr id="19" name="Chart 19">
              <a:extLst xmlns:a="http://schemas.openxmlformats.org/drawingml/2006/main">
                <a:ext uri="{FF2B5EF4-FFF2-40B4-BE49-F238E27FC236}">
                  <a16:creationId xmlns:a16="http://schemas.microsoft.com/office/drawing/2014/main" id="{55B73F27-F181-45A1-A530-9A9D1BEF7A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V relativeFrom="margin">
              <wp14:pctHeight>0</wp14:pctHeight>
            </wp14:sizeRelV>
          </wp:anchor>
        </w:drawing>
      </w:r>
      <w:bookmarkEnd w:id="154"/>
    </w:p>
    <w:p w14:paraId="1B57E94F" w14:textId="5E196EB2" w:rsidR="00084AA0" w:rsidRDefault="00F066D4" w:rsidP="00F066D4">
      <w:pPr>
        <w:pStyle w:val="Caption"/>
        <w:jc w:val="center"/>
        <w:rPr>
          <w:rFonts w:ascii="Arial" w:hAnsi="Arial" w:cs="Arial"/>
          <w:color w:val="auto"/>
          <w:sz w:val="22"/>
          <w:szCs w:val="22"/>
        </w:rPr>
      </w:pPr>
      <w:bookmarkStart w:id="155" w:name="_Toc66868963"/>
      <w:r w:rsidRPr="00C02C8F">
        <w:rPr>
          <w:rFonts w:ascii="Arial" w:hAnsi="Arial" w:cs="Arial"/>
          <w:color w:val="auto"/>
          <w:sz w:val="22"/>
          <w:szCs w:val="22"/>
        </w:rPr>
        <w:t xml:space="preserve">Figure </w:t>
      </w:r>
      <w:r w:rsidRPr="00C02C8F">
        <w:rPr>
          <w:rFonts w:ascii="Arial" w:hAnsi="Arial" w:cs="Arial"/>
          <w:color w:val="auto"/>
          <w:sz w:val="22"/>
          <w:szCs w:val="22"/>
        </w:rPr>
        <w:fldChar w:fldCharType="begin"/>
      </w:r>
      <w:r w:rsidRPr="00C02C8F">
        <w:rPr>
          <w:rFonts w:ascii="Arial" w:hAnsi="Arial" w:cs="Arial"/>
          <w:color w:val="auto"/>
          <w:sz w:val="22"/>
          <w:szCs w:val="22"/>
        </w:rPr>
        <w:instrText xml:space="preserve"> SEQ Figure \* ARABIC </w:instrText>
      </w:r>
      <w:r w:rsidRPr="00C02C8F">
        <w:rPr>
          <w:rFonts w:ascii="Arial" w:hAnsi="Arial" w:cs="Arial"/>
          <w:color w:val="auto"/>
          <w:sz w:val="22"/>
          <w:szCs w:val="22"/>
        </w:rPr>
        <w:fldChar w:fldCharType="separate"/>
      </w:r>
      <w:r w:rsidR="0063178E">
        <w:rPr>
          <w:rFonts w:ascii="Arial" w:hAnsi="Arial" w:cs="Arial"/>
          <w:noProof/>
          <w:color w:val="auto"/>
          <w:sz w:val="22"/>
          <w:szCs w:val="22"/>
        </w:rPr>
        <w:t>11</w:t>
      </w:r>
      <w:r w:rsidRPr="00C02C8F">
        <w:rPr>
          <w:rFonts w:ascii="Arial" w:hAnsi="Arial" w:cs="Arial"/>
          <w:color w:val="auto"/>
          <w:sz w:val="22"/>
          <w:szCs w:val="22"/>
        </w:rPr>
        <w:fldChar w:fldCharType="end"/>
      </w:r>
      <w:r w:rsidRPr="00F066D4">
        <w:rPr>
          <w:rFonts w:ascii="Arial" w:hAnsi="Arial" w:cs="Arial"/>
          <w:color w:val="auto"/>
          <w:sz w:val="22"/>
          <w:szCs w:val="22"/>
        </w:rPr>
        <w:t xml:space="preserve"> </w:t>
      </w:r>
      <w:r>
        <w:rPr>
          <w:rFonts w:ascii="Arial" w:hAnsi="Arial" w:cs="Arial"/>
          <w:color w:val="auto"/>
          <w:sz w:val="22"/>
          <w:szCs w:val="22"/>
        </w:rPr>
        <w:t xml:space="preserve">- </w:t>
      </w:r>
      <w:r w:rsidRPr="00BD21DC">
        <w:rPr>
          <w:rFonts w:ascii="Arial" w:hAnsi="Arial" w:cs="Arial"/>
          <w:color w:val="auto"/>
          <w:sz w:val="22"/>
          <w:szCs w:val="22"/>
        </w:rPr>
        <w:t xml:space="preserve">Expenditure for the </w:t>
      </w:r>
      <w:r>
        <w:rPr>
          <w:rFonts w:ascii="Arial" w:hAnsi="Arial" w:cs="Arial"/>
          <w:color w:val="auto"/>
          <w:sz w:val="22"/>
          <w:szCs w:val="22"/>
        </w:rPr>
        <w:t>Unp</w:t>
      </w:r>
      <w:r w:rsidRPr="00BD21DC">
        <w:rPr>
          <w:rFonts w:ascii="Arial" w:hAnsi="Arial" w:cs="Arial"/>
          <w:color w:val="auto"/>
          <w:sz w:val="22"/>
          <w:szCs w:val="22"/>
        </w:rPr>
        <w:t xml:space="preserve">lanned </w:t>
      </w:r>
      <w:r>
        <w:rPr>
          <w:rFonts w:ascii="Arial" w:hAnsi="Arial" w:cs="Arial"/>
          <w:color w:val="auto"/>
          <w:sz w:val="22"/>
          <w:szCs w:val="22"/>
        </w:rPr>
        <w:t>Re-active</w:t>
      </w:r>
      <w:r w:rsidRPr="00BD21DC">
        <w:rPr>
          <w:rFonts w:ascii="Arial" w:hAnsi="Arial" w:cs="Arial"/>
          <w:color w:val="auto"/>
          <w:sz w:val="22"/>
          <w:szCs w:val="22"/>
        </w:rPr>
        <w:t xml:space="preserve"> Maintenance Strategy</w:t>
      </w:r>
      <w:bookmarkEnd w:id="155"/>
    </w:p>
    <w:p w14:paraId="1B621642" w14:textId="2D0A8CAD" w:rsidR="00DE29CC" w:rsidRPr="00C02C8F" w:rsidRDefault="00217439" w:rsidP="00C02C8F">
      <w:pPr>
        <w:spacing w:line="360" w:lineRule="auto"/>
        <w:rPr>
          <w:rFonts w:ascii="Arial" w:hAnsi="Arial" w:cs="Arial"/>
        </w:rPr>
      </w:pPr>
      <w:r w:rsidRPr="00C02C8F">
        <w:rPr>
          <w:rFonts w:ascii="Arial" w:hAnsi="Arial" w:cs="Arial"/>
        </w:rPr>
        <w:t>The</w:t>
      </w:r>
      <w:r w:rsidR="00790274">
        <w:rPr>
          <w:rFonts w:ascii="Arial" w:hAnsi="Arial" w:cs="Arial"/>
        </w:rPr>
        <w:t xml:space="preserve"> general </w:t>
      </w:r>
      <w:r w:rsidR="00A201AA">
        <w:rPr>
          <w:rFonts w:ascii="Arial" w:hAnsi="Arial" w:cs="Arial"/>
        </w:rPr>
        <w:t xml:space="preserve">trend </w:t>
      </w:r>
      <w:r w:rsidR="00C16705">
        <w:rPr>
          <w:rFonts w:ascii="Arial" w:hAnsi="Arial" w:cs="Arial"/>
        </w:rPr>
        <w:t xml:space="preserve">of </w:t>
      </w:r>
      <w:r w:rsidR="00C16705" w:rsidRPr="00896BFE">
        <w:rPr>
          <w:rFonts w:ascii="Arial" w:hAnsi="Arial" w:cs="Arial"/>
        </w:rPr>
        <w:t xml:space="preserve">expenditure for the planned preventive strategy </w:t>
      </w:r>
      <w:r w:rsidR="00A201AA">
        <w:rPr>
          <w:rFonts w:ascii="Arial" w:hAnsi="Arial" w:cs="Arial"/>
        </w:rPr>
        <w:t xml:space="preserve">is </w:t>
      </w:r>
      <w:r w:rsidR="00F82AFF">
        <w:rPr>
          <w:rFonts w:ascii="Arial" w:hAnsi="Arial" w:cs="Arial"/>
        </w:rPr>
        <w:t xml:space="preserve">neither increasing </w:t>
      </w:r>
      <w:r w:rsidR="00734F29">
        <w:rPr>
          <w:rFonts w:ascii="Arial" w:hAnsi="Arial" w:cs="Arial"/>
        </w:rPr>
        <w:t>nor</w:t>
      </w:r>
      <w:r w:rsidR="00F82AFF">
        <w:rPr>
          <w:rFonts w:ascii="Arial" w:hAnsi="Arial" w:cs="Arial"/>
        </w:rPr>
        <w:t xml:space="preserve"> decreasing throughout the ana</w:t>
      </w:r>
      <w:r w:rsidR="00734F29">
        <w:rPr>
          <w:rFonts w:ascii="Arial" w:hAnsi="Arial" w:cs="Arial"/>
        </w:rPr>
        <w:t>lysis period</w:t>
      </w:r>
      <w:r w:rsidR="00F82AFF">
        <w:rPr>
          <w:rFonts w:ascii="Arial" w:hAnsi="Arial" w:cs="Arial"/>
        </w:rPr>
        <w:t>. However, the trend of expenditure using the unplanned-preventive strategy indicates that maintenance costs are increasing throughout the analysis period.</w:t>
      </w:r>
      <w:r w:rsidR="006B47CF">
        <w:rPr>
          <w:rFonts w:ascii="Arial" w:hAnsi="Arial" w:cs="Arial"/>
        </w:rPr>
        <w:t xml:space="preserve"> </w:t>
      </w:r>
      <w:r w:rsidR="005808E2">
        <w:rPr>
          <w:rFonts w:ascii="Arial" w:hAnsi="Arial" w:cs="Arial"/>
        </w:rPr>
        <w:t>Although</w:t>
      </w:r>
      <w:r w:rsidR="006B47CF">
        <w:rPr>
          <w:rFonts w:ascii="Arial" w:hAnsi="Arial" w:cs="Arial"/>
        </w:rPr>
        <w:t xml:space="preserve"> </w:t>
      </w:r>
      <w:r w:rsidR="00C07C35">
        <w:rPr>
          <w:rFonts w:ascii="Arial" w:hAnsi="Arial" w:cs="Arial"/>
        </w:rPr>
        <w:t xml:space="preserve">maintenance </w:t>
      </w:r>
      <w:r w:rsidR="005808E2">
        <w:rPr>
          <w:rFonts w:ascii="Arial" w:hAnsi="Arial" w:cs="Arial"/>
        </w:rPr>
        <w:t xml:space="preserve">is undertaken less frequently using the unplanned </w:t>
      </w:r>
      <w:r w:rsidR="00FF4367">
        <w:rPr>
          <w:rFonts w:ascii="Arial" w:hAnsi="Arial" w:cs="Arial"/>
        </w:rPr>
        <w:t>re-active maintenance strategy, the scheme costs are much higher</w:t>
      </w:r>
      <w:r w:rsidR="00F0766F">
        <w:rPr>
          <w:rFonts w:ascii="Arial" w:hAnsi="Arial" w:cs="Arial"/>
        </w:rPr>
        <w:t>.</w:t>
      </w:r>
    </w:p>
    <w:p w14:paraId="0B0B116C" w14:textId="2EEE4A51" w:rsidR="00C13EB0" w:rsidRPr="00C13EB0" w:rsidRDefault="00C13EB0" w:rsidP="00C02C8F">
      <w:pPr>
        <w:pStyle w:val="Heading2"/>
        <w:spacing w:after="240"/>
        <w:rPr>
          <w:rFonts w:ascii="Arial" w:hAnsi="Arial" w:cs="Arial"/>
          <w:b/>
          <w:bCs/>
          <w:color w:val="auto"/>
          <w:sz w:val="24"/>
          <w:szCs w:val="24"/>
          <w:lang w:eastAsia="en-GB"/>
        </w:rPr>
      </w:pPr>
      <w:bookmarkStart w:id="156" w:name="_Toc66868924"/>
      <w:r>
        <w:rPr>
          <w:rFonts w:ascii="Arial" w:hAnsi="Arial" w:cs="Arial"/>
          <w:b/>
          <w:bCs/>
          <w:color w:val="auto"/>
          <w:sz w:val="24"/>
          <w:szCs w:val="24"/>
          <w:lang w:eastAsia="en-GB"/>
        </w:rPr>
        <w:t>Carbon Emissions</w:t>
      </w:r>
      <w:bookmarkEnd w:id="156"/>
    </w:p>
    <w:p w14:paraId="27E19275" w14:textId="0E6522E2" w:rsidR="00C13EB0" w:rsidRDefault="006F6BD0" w:rsidP="008F062F">
      <w:pPr>
        <w:spacing w:line="360" w:lineRule="auto"/>
        <w:jc w:val="both"/>
        <w:rPr>
          <w:rFonts w:ascii="Arial" w:hAnsi="Arial" w:cs="Arial"/>
        </w:rPr>
      </w:pPr>
      <w:r>
        <w:rPr>
          <w:rFonts w:ascii="Arial" w:hAnsi="Arial" w:cs="Arial"/>
        </w:rPr>
        <w:t xml:space="preserve">The planned preventive maintenance strategy </w:t>
      </w:r>
      <w:r w:rsidR="00D8030F">
        <w:rPr>
          <w:rFonts w:ascii="Arial" w:hAnsi="Arial" w:cs="Arial"/>
        </w:rPr>
        <w:t>resulted in 28 tonnes less CO</w:t>
      </w:r>
      <w:r w:rsidR="00D8030F" w:rsidRPr="00E6059A">
        <w:rPr>
          <w:rFonts w:ascii="Arial" w:hAnsi="Arial" w:cs="Arial"/>
          <w:vertAlign w:val="subscript"/>
        </w:rPr>
        <w:t>2</w:t>
      </w:r>
      <w:r w:rsidR="00D8030F">
        <w:rPr>
          <w:rFonts w:ascii="Arial" w:hAnsi="Arial" w:cs="Arial"/>
        </w:rPr>
        <w:t xml:space="preserve"> </w:t>
      </w:r>
      <w:r w:rsidR="00662CB1">
        <w:rPr>
          <w:rFonts w:ascii="Arial" w:hAnsi="Arial" w:cs="Arial"/>
        </w:rPr>
        <w:t>emissions overall</w:t>
      </w:r>
      <w:r w:rsidR="000B52E9">
        <w:rPr>
          <w:rFonts w:ascii="Arial" w:hAnsi="Arial" w:cs="Arial"/>
        </w:rPr>
        <w:t>.</w:t>
      </w:r>
      <w:r w:rsidR="00A07ABD">
        <w:rPr>
          <w:rFonts w:ascii="Arial" w:hAnsi="Arial" w:cs="Arial"/>
        </w:rPr>
        <w:t xml:space="preserve"> CO</w:t>
      </w:r>
      <w:r w:rsidR="00A07ABD" w:rsidRPr="00E6059A">
        <w:rPr>
          <w:rFonts w:ascii="Arial" w:hAnsi="Arial" w:cs="Arial"/>
          <w:vertAlign w:val="subscript"/>
        </w:rPr>
        <w:t>2</w:t>
      </w:r>
      <w:r w:rsidR="00A07ABD">
        <w:rPr>
          <w:rFonts w:ascii="Arial" w:hAnsi="Arial" w:cs="Arial"/>
        </w:rPr>
        <w:t xml:space="preserve"> emissions from </w:t>
      </w:r>
      <w:r w:rsidR="00700851">
        <w:rPr>
          <w:rFonts w:ascii="Arial" w:hAnsi="Arial" w:cs="Arial"/>
        </w:rPr>
        <w:t>traffic restrictions</w:t>
      </w:r>
      <w:r w:rsidR="00A07ABD">
        <w:rPr>
          <w:rFonts w:ascii="Arial" w:hAnsi="Arial" w:cs="Arial"/>
        </w:rPr>
        <w:t xml:space="preserve"> during maintenance represented 6.9% of maintenance emissions using the planned preventive strategy and 5.26% of </w:t>
      </w:r>
      <w:r w:rsidR="00285BCD">
        <w:rPr>
          <w:rFonts w:ascii="Arial" w:hAnsi="Arial" w:cs="Arial"/>
        </w:rPr>
        <w:t xml:space="preserve">maintenance </w:t>
      </w:r>
      <w:r w:rsidR="00A07ABD">
        <w:rPr>
          <w:rFonts w:ascii="Arial" w:hAnsi="Arial" w:cs="Arial"/>
        </w:rPr>
        <w:t>emissions using the unplanned reactive strategy</w:t>
      </w:r>
      <w:r w:rsidR="00700851">
        <w:rPr>
          <w:rFonts w:ascii="Arial" w:hAnsi="Arial" w:cs="Arial"/>
        </w:rPr>
        <w:t xml:space="preserve"> as shown in Figure 12</w:t>
      </w:r>
      <w:r w:rsidR="00A07ABD">
        <w:rPr>
          <w:rFonts w:ascii="Arial" w:hAnsi="Arial" w:cs="Arial"/>
        </w:rPr>
        <w:t>. This indicates that the main contributors of CO</w:t>
      </w:r>
      <w:r w:rsidR="00A07ABD" w:rsidRPr="003960CC">
        <w:rPr>
          <w:rFonts w:ascii="Arial" w:hAnsi="Arial" w:cs="Arial"/>
          <w:vertAlign w:val="subscript"/>
        </w:rPr>
        <w:t>2</w:t>
      </w:r>
      <w:r w:rsidR="00A07ABD">
        <w:rPr>
          <w:rFonts w:ascii="Arial" w:hAnsi="Arial" w:cs="Arial"/>
        </w:rPr>
        <w:t xml:space="preserve"> emissions</w:t>
      </w:r>
      <w:r w:rsidR="00C731DB">
        <w:rPr>
          <w:rFonts w:ascii="Arial" w:hAnsi="Arial" w:cs="Arial"/>
        </w:rPr>
        <w:t xml:space="preserve"> during maintenance were</w:t>
      </w:r>
      <w:r w:rsidR="00A07ABD">
        <w:rPr>
          <w:rFonts w:ascii="Arial" w:hAnsi="Arial" w:cs="Arial"/>
        </w:rPr>
        <w:t xml:space="preserve"> the embodied CO</w:t>
      </w:r>
      <w:r w:rsidR="00A07ABD" w:rsidRPr="003960CC">
        <w:rPr>
          <w:rFonts w:ascii="Arial" w:hAnsi="Arial" w:cs="Arial"/>
          <w:vertAlign w:val="subscript"/>
        </w:rPr>
        <w:t>2</w:t>
      </w:r>
      <w:r w:rsidR="00A07ABD">
        <w:rPr>
          <w:rFonts w:ascii="Arial" w:hAnsi="Arial" w:cs="Arial"/>
        </w:rPr>
        <w:t xml:space="preserve"> from construction materials and CO</w:t>
      </w:r>
      <w:r w:rsidR="00A07ABD" w:rsidRPr="003960CC">
        <w:rPr>
          <w:rFonts w:ascii="Arial" w:hAnsi="Arial" w:cs="Arial"/>
          <w:vertAlign w:val="subscript"/>
        </w:rPr>
        <w:t>2</w:t>
      </w:r>
      <w:r w:rsidR="00A07ABD">
        <w:rPr>
          <w:rFonts w:ascii="Arial" w:hAnsi="Arial" w:cs="Arial"/>
          <w:vertAlign w:val="subscript"/>
        </w:rPr>
        <w:t xml:space="preserve"> </w:t>
      </w:r>
      <w:r w:rsidR="00A07ABD">
        <w:rPr>
          <w:rFonts w:ascii="Arial" w:hAnsi="Arial" w:cs="Arial"/>
        </w:rPr>
        <w:t>from construction plant.</w:t>
      </w:r>
    </w:p>
    <w:p w14:paraId="60CD14B7" w14:textId="6713F9B0" w:rsidR="00A07ABD" w:rsidRDefault="00A07ABD" w:rsidP="00441DF3">
      <w:pPr>
        <w:spacing w:line="360" w:lineRule="auto"/>
        <w:ind w:left="-993" w:right="-897"/>
        <w:jc w:val="center"/>
        <w:rPr>
          <w:rFonts w:ascii="Arial" w:hAnsi="Arial" w:cs="Arial"/>
          <w:lang w:eastAsia="en-GB"/>
        </w:rPr>
      </w:pPr>
      <w:r>
        <w:rPr>
          <w:noProof/>
        </w:rPr>
        <w:drawing>
          <wp:inline distT="0" distB="0" distL="0" distR="0" wp14:anchorId="6BBCE6FF" wp14:editId="266E8B0B">
            <wp:extent cx="3131389" cy="2554137"/>
            <wp:effectExtent l="0" t="0" r="0" b="0"/>
            <wp:docPr id="8" name="Chart 8">
              <a:extLst xmlns:a="http://schemas.openxmlformats.org/drawingml/2006/main">
                <a:ext uri="{FF2B5EF4-FFF2-40B4-BE49-F238E27FC236}">
                  <a16:creationId xmlns:a16="http://schemas.microsoft.com/office/drawing/2014/main" id="{A217FE46-F86D-4A1D-B5B0-FFB95A985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rPr>
        <w:drawing>
          <wp:inline distT="0" distB="0" distL="0" distR="0" wp14:anchorId="3CCACF40" wp14:editId="0F52A269">
            <wp:extent cx="3087993" cy="2552855"/>
            <wp:effectExtent l="0" t="0" r="0" b="0"/>
            <wp:docPr id="12" name="Chart 12">
              <a:extLst xmlns:a="http://schemas.openxmlformats.org/drawingml/2006/main">
                <a:ext uri="{FF2B5EF4-FFF2-40B4-BE49-F238E27FC236}">
                  <a16:creationId xmlns:a16="http://schemas.microsoft.com/office/drawing/2014/main" id="{4A0566EE-442E-49D1-98DD-814691E456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45EBED1" w14:textId="5F67A829" w:rsidR="001F20CC" w:rsidRPr="00C02C8F" w:rsidRDefault="0063178E" w:rsidP="00C02C8F">
      <w:pPr>
        <w:pStyle w:val="Caption"/>
        <w:jc w:val="center"/>
        <w:rPr>
          <w:rFonts w:ascii="Arial" w:hAnsi="Arial" w:cs="Arial"/>
          <w:lang w:eastAsia="en-GB"/>
        </w:rPr>
      </w:pPr>
      <w:bookmarkStart w:id="157" w:name="_Toc66868964"/>
      <w:r w:rsidRPr="00C02C8F">
        <w:rPr>
          <w:rFonts w:ascii="Arial" w:hAnsi="Arial" w:cs="Arial"/>
          <w:color w:val="auto"/>
          <w:sz w:val="22"/>
          <w:szCs w:val="22"/>
        </w:rPr>
        <w:t xml:space="preserve">Figure </w:t>
      </w:r>
      <w:r w:rsidRPr="00C02C8F">
        <w:rPr>
          <w:rFonts w:ascii="Arial" w:hAnsi="Arial" w:cs="Arial"/>
          <w:color w:val="auto"/>
          <w:sz w:val="22"/>
          <w:szCs w:val="22"/>
        </w:rPr>
        <w:fldChar w:fldCharType="begin"/>
      </w:r>
      <w:r w:rsidRPr="00C02C8F">
        <w:rPr>
          <w:rFonts w:ascii="Arial" w:hAnsi="Arial" w:cs="Arial"/>
          <w:color w:val="auto"/>
          <w:sz w:val="22"/>
          <w:szCs w:val="22"/>
        </w:rPr>
        <w:instrText xml:space="preserve"> SEQ Figure \* ARABIC </w:instrText>
      </w:r>
      <w:r w:rsidRPr="00C02C8F">
        <w:rPr>
          <w:rFonts w:ascii="Arial" w:hAnsi="Arial" w:cs="Arial"/>
          <w:color w:val="auto"/>
          <w:sz w:val="22"/>
          <w:szCs w:val="22"/>
        </w:rPr>
        <w:fldChar w:fldCharType="separate"/>
      </w:r>
      <w:r w:rsidRPr="00C02C8F">
        <w:rPr>
          <w:rFonts w:ascii="Arial" w:hAnsi="Arial" w:cs="Arial"/>
          <w:noProof/>
          <w:color w:val="auto"/>
          <w:sz w:val="22"/>
          <w:szCs w:val="22"/>
        </w:rPr>
        <w:t>12</w:t>
      </w:r>
      <w:r w:rsidRPr="00C02C8F">
        <w:rPr>
          <w:rFonts w:ascii="Arial" w:hAnsi="Arial" w:cs="Arial"/>
          <w:color w:val="auto"/>
          <w:sz w:val="22"/>
          <w:szCs w:val="22"/>
        </w:rPr>
        <w:fldChar w:fldCharType="end"/>
      </w:r>
      <w:r w:rsidRPr="00C02C8F">
        <w:rPr>
          <w:rFonts w:ascii="Arial" w:hAnsi="Arial" w:cs="Arial"/>
          <w:color w:val="auto"/>
          <w:sz w:val="22"/>
          <w:szCs w:val="22"/>
        </w:rPr>
        <w:t xml:space="preserve"> - CO</w:t>
      </w:r>
      <w:r w:rsidRPr="00C02C8F">
        <w:rPr>
          <w:rFonts w:ascii="Arial" w:hAnsi="Arial" w:cs="Arial"/>
          <w:color w:val="auto"/>
          <w:sz w:val="22"/>
          <w:szCs w:val="22"/>
          <w:vertAlign w:val="subscript"/>
        </w:rPr>
        <w:t>2</w:t>
      </w:r>
      <w:r w:rsidRPr="00C02C8F">
        <w:rPr>
          <w:rFonts w:ascii="Arial" w:hAnsi="Arial" w:cs="Arial"/>
          <w:color w:val="auto"/>
          <w:sz w:val="22"/>
          <w:szCs w:val="22"/>
        </w:rPr>
        <w:t xml:space="preserve"> Emissions</w:t>
      </w:r>
      <w:bookmarkEnd w:id="157"/>
    </w:p>
    <w:p w14:paraId="49B78460" w14:textId="130A51C8" w:rsidR="00510203" w:rsidRDefault="00DA17A4" w:rsidP="00755AC9">
      <w:pPr>
        <w:spacing w:line="360" w:lineRule="auto"/>
        <w:rPr>
          <w:rFonts w:ascii="Arial" w:hAnsi="Arial" w:cs="Arial"/>
        </w:rPr>
      </w:pPr>
      <w:r>
        <w:rPr>
          <w:rFonts w:ascii="Arial" w:hAnsi="Arial" w:cs="Arial"/>
        </w:rPr>
        <w:t>The estimated emissions from construction using the carbon calculator design tool equated to approximately 558 tCO</w:t>
      </w:r>
      <w:r>
        <w:rPr>
          <w:rFonts w:ascii="Arial" w:hAnsi="Arial" w:cs="Arial"/>
          <w:vertAlign w:val="subscript"/>
        </w:rPr>
        <w:t>2</w:t>
      </w:r>
      <w:r>
        <w:rPr>
          <w:rFonts w:ascii="Arial" w:hAnsi="Arial" w:cs="Arial"/>
        </w:rPr>
        <w:t xml:space="preserve">. </w:t>
      </w:r>
      <w:r w:rsidR="00C13EB0">
        <w:rPr>
          <w:rFonts w:ascii="Arial" w:hAnsi="Arial" w:cs="Arial"/>
        </w:rPr>
        <w:t>Emissions from maintenance activities for the 100-year analysis period represent 39.6% of total carbon footprint of the bridge considering a planned preventive strategy and 41.4% for the unplanned reactive strategy (excluding decommissioning). This indicates that CO</w:t>
      </w:r>
      <w:r w:rsidR="00C13EB0" w:rsidRPr="00E6059A">
        <w:rPr>
          <w:rFonts w:ascii="Arial" w:hAnsi="Arial" w:cs="Arial"/>
          <w:vertAlign w:val="subscript"/>
        </w:rPr>
        <w:t>2</w:t>
      </w:r>
      <w:r w:rsidR="00C13EB0">
        <w:rPr>
          <w:rFonts w:ascii="Arial" w:hAnsi="Arial" w:cs="Arial"/>
        </w:rPr>
        <w:t xml:space="preserve"> emissions from construction represents a higher proportion of the carbon footprint of the structure.</w:t>
      </w:r>
    </w:p>
    <w:p w14:paraId="0DF02666" w14:textId="50FDC822" w:rsidR="008028E8" w:rsidRDefault="008028E8" w:rsidP="00755AC9">
      <w:pPr>
        <w:spacing w:line="360" w:lineRule="auto"/>
        <w:rPr>
          <w:rFonts w:ascii="Arial" w:hAnsi="Arial" w:cs="Arial"/>
        </w:rPr>
      </w:pPr>
    </w:p>
    <w:p w14:paraId="32F39938" w14:textId="4649BD27" w:rsidR="008028E8" w:rsidRDefault="008028E8" w:rsidP="00755AC9">
      <w:pPr>
        <w:spacing w:line="360" w:lineRule="auto"/>
        <w:rPr>
          <w:rFonts w:ascii="Arial" w:hAnsi="Arial" w:cs="Arial"/>
        </w:rPr>
      </w:pPr>
    </w:p>
    <w:p w14:paraId="15EA69C5" w14:textId="77777777" w:rsidR="008028E8" w:rsidRPr="00C02C8F" w:rsidRDefault="008028E8">
      <w:pPr>
        <w:spacing w:line="360" w:lineRule="auto"/>
        <w:rPr>
          <w:lang w:eastAsia="en-GB"/>
        </w:rPr>
      </w:pPr>
    </w:p>
    <w:p w14:paraId="703E5A0E" w14:textId="355CB334" w:rsidR="00CC74D2" w:rsidRPr="001E41CF" w:rsidRDefault="00CC74D2" w:rsidP="007718E0">
      <w:pPr>
        <w:pStyle w:val="Heading2"/>
        <w:spacing w:after="240"/>
        <w:rPr>
          <w:rFonts w:ascii="Arial" w:hAnsi="Arial" w:cs="Arial"/>
          <w:b/>
          <w:bCs/>
          <w:color w:val="auto"/>
          <w:sz w:val="24"/>
          <w:szCs w:val="24"/>
          <w:lang w:eastAsia="en-GB"/>
        </w:rPr>
      </w:pPr>
      <w:bookmarkStart w:id="158" w:name="_Toc66636481"/>
      <w:bookmarkStart w:id="159" w:name="_Toc66636482"/>
      <w:bookmarkStart w:id="160" w:name="_Toc66636483"/>
      <w:bookmarkStart w:id="161" w:name="_Toc66636484"/>
      <w:bookmarkStart w:id="162" w:name="_Toc66636485"/>
      <w:bookmarkStart w:id="163" w:name="_Toc66636486"/>
      <w:bookmarkStart w:id="164" w:name="_Toc66868925"/>
      <w:bookmarkEnd w:id="158"/>
      <w:bookmarkEnd w:id="159"/>
      <w:bookmarkEnd w:id="160"/>
      <w:bookmarkEnd w:id="161"/>
      <w:bookmarkEnd w:id="162"/>
      <w:bookmarkEnd w:id="163"/>
      <w:r w:rsidRPr="001E41CF">
        <w:rPr>
          <w:rFonts w:ascii="Arial" w:hAnsi="Arial" w:cs="Arial"/>
          <w:b/>
          <w:bCs/>
          <w:color w:val="auto"/>
          <w:sz w:val="24"/>
          <w:szCs w:val="24"/>
          <w:lang w:eastAsia="en-GB"/>
        </w:rPr>
        <w:t>Condition</w:t>
      </w:r>
      <w:bookmarkEnd w:id="164"/>
    </w:p>
    <w:p w14:paraId="52181C34" w14:textId="7FBF6E67" w:rsidR="00D9337D" w:rsidRDefault="009473AF" w:rsidP="007718E0">
      <w:pPr>
        <w:spacing w:after="240" w:line="360" w:lineRule="auto"/>
        <w:jc w:val="both"/>
        <w:rPr>
          <w:rFonts w:ascii="Arial" w:hAnsi="Arial" w:cs="Arial"/>
        </w:rPr>
      </w:pPr>
      <w:r>
        <w:rPr>
          <w:rFonts w:ascii="Arial" w:hAnsi="Arial" w:cs="Arial"/>
        </w:rPr>
        <w:t xml:space="preserve">The </w:t>
      </w:r>
      <w:r w:rsidR="00C81116">
        <w:rPr>
          <w:rFonts w:ascii="Arial" w:hAnsi="Arial" w:cs="Arial"/>
        </w:rPr>
        <w:t>overall condition of the structure (</w:t>
      </w:r>
      <w:r w:rsidR="006F5010">
        <w:rPr>
          <w:rFonts w:ascii="Arial" w:hAnsi="Arial" w:cs="Arial"/>
        </w:rPr>
        <w:t>BCIav</w:t>
      </w:r>
      <w:r w:rsidR="009663D0">
        <w:rPr>
          <w:rFonts w:ascii="Arial" w:hAnsi="Arial" w:cs="Arial"/>
        </w:rPr>
        <w:t>)</w:t>
      </w:r>
      <w:r w:rsidR="006F5010">
        <w:rPr>
          <w:rFonts w:ascii="Arial" w:hAnsi="Arial" w:cs="Arial"/>
        </w:rPr>
        <w:t xml:space="preserve"> at the end of the analysis period </w:t>
      </w:r>
      <w:r w:rsidR="005F67C9">
        <w:rPr>
          <w:rFonts w:ascii="Arial" w:hAnsi="Arial" w:cs="Arial"/>
        </w:rPr>
        <w:t xml:space="preserve">using </w:t>
      </w:r>
      <w:r w:rsidR="005C35CA">
        <w:rPr>
          <w:rFonts w:ascii="Arial" w:hAnsi="Arial" w:cs="Arial"/>
        </w:rPr>
        <w:t xml:space="preserve">an unplanned re-active maintenance strategy </w:t>
      </w:r>
      <w:r w:rsidR="00EE55C3">
        <w:rPr>
          <w:rFonts w:ascii="Arial" w:hAnsi="Arial" w:cs="Arial"/>
        </w:rPr>
        <w:t>is ‘Poor</w:t>
      </w:r>
      <w:r w:rsidR="00025632">
        <w:rPr>
          <w:rFonts w:ascii="Arial" w:hAnsi="Arial" w:cs="Arial"/>
        </w:rPr>
        <w:t>;</w:t>
      </w:r>
      <w:r w:rsidR="00D360DC">
        <w:rPr>
          <w:rFonts w:ascii="Arial" w:hAnsi="Arial" w:cs="Arial"/>
        </w:rPr>
        <w:t xml:space="preserve"> and the condition of critical elements (BCIcrit) is </w:t>
      </w:r>
      <w:r w:rsidR="002D11BC">
        <w:rPr>
          <w:rFonts w:ascii="Arial" w:hAnsi="Arial" w:cs="Arial"/>
        </w:rPr>
        <w:t>‘</w:t>
      </w:r>
      <w:r w:rsidR="00D360DC">
        <w:rPr>
          <w:rFonts w:ascii="Arial" w:hAnsi="Arial" w:cs="Arial"/>
        </w:rPr>
        <w:t>Very Poor</w:t>
      </w:r>
      <w:r w:rsidR="002D11BC">
        <w:rPr>
          <w:rFonts w:ascii="Arial" w:hAnsi="Arial" w:cs="Arial"/>
        </w:rPr>
        <w:t>’</w:t>
      </w:r>
      <w:r w:rsidR="00D360DC">
        <w:rPr>
          <w:rFonts w:ascii="Arial" w:hAnsi="Arial" w:cs="Arial"/>
        </w:rPr>
        <w:t xml:space="preserve">. </w:t>
      </w:r>
      <w:r w:rsidR="004C2EF7">
        <w:rPr>
          <w:rFonts w:ascii="Arial" w:hAnsi="Arial" w:cs="Arial"/>
        </w:rPr>
        <w:t xml:space="preserve">Conversely, </w:t>
      </w:r>
      <w:r w:rsidR="00E1780F">
        <w:rPr>
          <w:rFonts w:ascii="Arial" w:hAnsi="Arial" w:cs="Arial"/>
        </w:rPr>
        <w:t>the</w:t>
      </w:r>
      <w:r w:rsidR="00D9337D">
        <w:rPr>
          <w:rFonts w:ascii="Arial" w:hAnsi="Arial" w:cs="Arial"/>
        </w:rPr>
        <w:t xml:space="preserve"> overall condition of the structure (BCIav) at the end of the analysis period using a planned preventive maintenance strategy is ‘</w:t>
      </w:r>
      <w:r w:rsidR="00E1780F">
        <w:rPr>
          <w:rFonts w:ascii="Arial" w:hAnsi="Arial" w:cs="Arial"/>
        </w:rPr>
        <w:t>Good</w:t>
      </w:r>
      <w:r w:rsidR="00D9337D">
        <w:rPr>
          <w:rFonts w:ascii="Arial" w:hAnsi="Arial" w:cs="Arial"/>
        </w:rPr>
        <w:t>’</w:t>
      </w:r>
      <w:r w:rsidR="00025632">
        <w:rPr>
          <w:rFonts w:ascii="Arial" w:hAnsi="Arial" w:cs="Arial"/>
        </w:rPr>
        <w:t>;</w:t>
      </w:r>
      <w:r w:rsidR="00D360DC">
        <w:rPr>
          <w:rFonts w:ascii="Arial" w:hAnsi="Arial" w:cs="Arial"/>
        </w:rPr>
        <w:t xml:space="preserve"> and t</w:t>
      </w:r>
      <w:r w:rsidR="00D9337D">
        <w:rPr>
          <w:rFonts w:ascii="Arial" w:hAnsi="Arial" w:cs="Arial"/>
        </w:rPr>
        <w:t xml:space="preserve">he condition of critical elements (BCIcrit) is </w:t>
      </w:r>
      <w:r w:rsidR="00E1780F">
        <w:rPr>
          <w:rFonts w:ascii="Arial" w:hAnsi="Arial" w:cs="Arial"/>
        </w:rPr>
        <w:t>‘</w:t>
      </w:r>
      <w:r w:rsidR="00D9337D">
        <w:rPr>
          <w:rFonts w:ascii="Arial" w:hAnsi="Arial" w:cs="Arial"/>
        </w:rPr>
        <w:t>Poor</w:t>
      </w:r>
      <w:r w:rsidR="00E1780F">
        <w:rPr>
          <w:rFonts w:ascii="Arial" w:hAnsi="Arial" w:cs="Arial"/>
        </w:rPr>
        <w:t>’</w:t>
      </w:r>
      <w:r w:rsidR="00D9337D">
        <w:rPr>
          <w:rFonts w:ascii="Arial" w:hAnsi="Arial" w:cs="Arial"/>
        </w:rPr>
        <w:t>.</w:t>
      </w:r>
      <w:r w:rsidR="00291F0B">
        <w:rPr>
          <w:rFonts w:ascii="Arial" w:hAnsi="Arial" w:cs="Arial"/>
        </w:rPr>
        <w:t xml:space="preserve"> Table 18 </w:t>
      </w:r>
      <w:r w:rsidR="00104854">
        <w:rPr>
          <w:rFonts w:ascii="Arial" w:hAnsi="Arial" w:cs="Arial"/>
        </w:rPr>
        <w:t xml:space="preserve">provides general descriptions </w:t>
      </w:r>
      <w:r w:rsidR="00A86EEE">
        <w:rPr>
          <w:rFonts w:ascii="Arial" w:hAnsi="Arial" w:cs="Arial"/>
        </w:rPr>
        <w:t>of the condition based on the Bridge Condition In</w:t>
      </w:r>
      <w:r w:rsidR="00BF6847">
        <w:rPr>
          <w:rFonts w:ascii="Arial" w:hAnsi="Arial" w:cs="Arial"/>
        </w:rPr>
        <w:t>dicator (BCI).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4162"/>
        <w:gridCol w:w="3539"/>
      </w:tblGrid>
      <w:tr w:rsidR="00E62B94" w:rsidRPr="00E62B94" w14:paraId="6C894131" w14:textId="66D413E8" w:rsidTr="005C6302">
        <w:trPr>
          <w:jc w:val="center"/>
        </w:trPr>
        <w:tc>
          <w:tcPr>
            <w:tcW w:w="9016" w:type="dxa"/>
            <w:gridSpan w:val="3"/>
            <w:shd w:val="clear" w:color="auto" w:fill="002060"/>
          </w:tcPr>
          <w:p w14:paraId="710C9620" w14:textId="4FF870B2" w:rsidR="00E62B94" w:rsidRPr="00E62B94" w:rsidRDefault="00E62B94" w:rsidP="003669EF">
            <w:pPr>
              <w:jc w:val="center"/>
              <w:rPr>
                <w:rFonts w:ascii="Arial" w:hAnsi="Arial" w:cs="Arial"/>
                <w:b/>
                <w:bCs/>
                <w:lang w:eastAsia="en-GB"/>
              </w:rPr>
            </w:pPr>
            <w:r w:rsidRPr="00E62B94">
              <w:rPr>
                <w:rFonts w:ascii="Arial" w:hAnsi="Arial" w:cs="Arial"/>
                <w:b/>
                <w:bCs/>
                <w:lang w:eastAsia="en-GB"/>
              </w:rPr>
              <w:t>Bridge Condition Indicators (BCI)</w:t>
            </w:r>
            <w:r w:rsidR="00C17A6F">
              <w:rPr>
                <w:rFonts w:ascii="Arial" w:hAnsi="Arial" w:cs="Arial"/>
                <w:b/>
                <w:bCs/>
                <w:lang w:eastAsia="en-GB"/>
              </w:rPr>
              <w:t xml:space="preserve"> (Atkins, 2007)</w:t>
            </w:r>
          </w:p>
        </w:tc>
      </w:tr>
      <w:tr w:rsidR="00E62B94" w:rsidRPr="00E62B94" w14:paraId="16927861" w14:textId="6CA70B1A" w:rsidTr="00E62B94">
        <w:trPr>
          <w:jc w:val="center"/>
        </w:trPr>
        <w:tc>
          <w:tcPr>
            <w:tcW w:w="1315" w:type="dxa"/>
            <w:shd w:val="clear" w:color="auto" w:fill="99CCFF"/>
          </w:tcPr>
          <w:p w14:paraId="7693F89E" w14:textId="35B17280" w:rsidR="00E62B94" w:rsidRPr="00E62B94" w:rsidRDefault="00E62B94" w:rsidP="00E62B94">
            <w:pPr>
              <w:jc w:val="center"/>
              <w:rPr>
                <w:rFonts w:ascii="Arial" w:hAnsi="Arial" w:cs="Arial"/>
                <w:b/>
                <w:bCs/>
                <w:color w:val="000099"/>
                <w:lang w:eastAsia="en-GB"/>
              </w:rPr>
            </w:pPr>
            <w:r w:rsidRPr="00E62B94">
              <w:rPr>
                <w:rFonts w:ascii="Arial" w:hAnsi="Arial" w:cs="Arial"/>
                <w:b/>
                <w:bCs/>
                <w:color w:val="000099"/>
                <w:lang w:eastAsia="en-GB"/>
              </w:rPr>
              <w:t>BCI Score</w:t>
            </w:r>
          </w:p>
        </w:tc>
        <w:tc>
          <w:tcPr>
            <w:tcW w:w="4162" w:type="dxa"/>
            <w:shd w:val="clear" w:color="auto" w:fill="99CCFF"/>
          </w:tcPr>
          <w:p w14:paraId="5D72C23D" w14:textId="149ADF5C" w:rsidR="00E62B94" w:rsidRPr="007F0F87" w:rsidRDefault="00E62B94" w:rsidP="00E62B94">
            <w:pPr>
              <w:jc w:val="center"/>
              <w:rPr>
                <w:rFonts w:ascii="Arial" w:hAnsi="Arial" w:cs="Arial"/>
                <w:b/>
                <w:bCs/>
                <w:color w:val="000099"/>
                <w:lang w:eastAsia="en-GB"/>
              </w:rPr>
            </w:pPr>
            <w:r w:rsidRPr="007F0F87">
              <w:rPr>
                <w:rFonts w:ascii="Arial" w:hAnsi="Arial" w:cs="Arial"/>
                <w:b/>
                <w:color w:val="000099"/>
              </w:rPr>
              <w:t>Overall Condition of the Structure</w:t>
            </w:r>
          </w:p>
        </w:tc>
        <w:tc>
          <w:tcPr>
            <w:tcW w:w="3539" w:type="dxa"/>
            <w:shd w:val="clear" w:color="auto" w:fill="99CCFF"/>
          </w:tcPr>
          <w:p w14:paraId="5F61D8A8" w14:textId="14779110" w:rsidR="00E62B94" w:rsidRPr="007F0F87" w:rsidRDefault="00E62B94" w:rsidP="00E62B94">
            <w:pPr>
              <w:jc w:val="center"/>
              <w:rPr>
                <w:rFonts w:ascii="Arial" w:hAnsi="Arial" w:cs="Arial"/>
                <w:b/>
                <w:bCs/>
                <w:color w:val="000099"/>
                <w:lang w:eastAsia="en-GB"/>
              </w:rPr>
            </w:pPr>
            <w:r w:rsidRPr="007F0F87">
              <w:rPr>
                <w:rFonts w:ascii="Arial" w:hAnsi="Arial" w:cs="Arial"/>
                <w:b/>
                <w:color w:val="000099"/>
              </w:rPr>
              <w:t>Condition of Critical Elements</w:t>
            </w:r>
          </w:p>
        </w:tc>
      </w:tr>
      <w:tr w:rsidR="00E62B94" w:rsidRPr="00E62B94" w14:paraId="446C4C19" w14:textId="491EAC4A" w:rsidTr="00E62B94">
        <w:trPr>
          <w:jc w:val="center"/>
        </w:trPr>
        <w:tc>
          <w:tcPr>
            <w:tcW w:w="1315" w:type="dxa"/>
            <w:shd w:val="clear" w:color="auto" w:fill="006600"/>
          </w:tcPr>
          <w:p w14:paraId="6896DA54" w14:textId="40A07D87" w:rsidR="00E62B94" w:rsidRPr="00E62B94" w:rsidRDefault="00E62B94" w:rsidP="00E62B94">
            <w:pPr>
              <w:jc w:val="center"/>
              <w:rPr>
                <w:rFonts w:ascii="Arial" w:hAnsi="Arial" w:cs="Arial"/>
                <w:b/>
                <w:bCs/>
                <w:lang w:eastAsia="en-GB"/>
              </w:rPr>
            </w:pPr>
            <w:r w:rsidRPr="00E62B94">
              <w:rPr>
                <w:rFonts w:ascii="Arial" w:hAnsi="Arial" w:cs="Arial"/>
                <w:color w:val="FFFFFF" w:themeColor="background1"/>
              </w:rPr>
              <w:t>90 ≤ x ≤ 100 Very Good</w:t>
            </w:r>
          </w:p>
        </w:tc>
        <w:tc>
          <w:tcPr>
            <w:tcW w:w="4162" w:type="dxa"/>
          </w:tcPr>
          <w:p w14:paraId="4A04C59D" w14:textId="77777777" w:rsidR="00E62B94" w:rsidRPr="00E62B94" w:rsidRDefault="00E62B94" w:rsidP="00F21C7A">
            <w:pPr>
              <w:spacing w:before="60" w:after="60"/>
              <w:jc w:val="both"/>
              <w:rPr>
                <w:rFonts w:ascii="Arial" w:hAnsi="Arial" w:cs="Arial"/>
              </w:rPr>
            </w:pPr>
            <w:r w:rsidRPr="00E62B94">
              <w:rPr>
                <w:rFonts w:ascii="Arial" w:hAnsi="Arial" w:cs="Arial"/>
              </w:rPr>
              <w:t xml:space="preserve">No significant defects in any elements; </w:t>
            </w:r>
          </w:p>
          <w:p w14:paraId="7E42A726" w14:textId="341DF7B8" w:rsidR="00E62B94" w:rsidRPr="00E62B94" w:rsidRDefault="00E62B94" w:rsidP="00F21C7A">
            <w:pPr>
              <w:jc w:val="both"/>
              <w:rPr>
                <w:rFonts w:ascii="Arial" w:hAnsi="Arial" w:cs="Arial"/>
                <w:lang w:eastAsia="en-GB"/>
              </w:rPr>
            </w:pPr>
            <w:r w:rsidRPr="00E62B94">
              <w:rPr>
                <w:rFonts w:ascii="Arial" w:hAnsi="Arial" w:cs="Arial"/>
              </w:rPr>
              <w:t>Structure is in a “Very Good” condition overall</w:t>
            </w:r>
          </w:p>
        </w:tc>
        <w:tc>
          <w:tcPr>
            <w:tcW w:w="3539" w:type="dxa"/>
          </w:tcPr>
          <w:p w14:paraId="7CB525F5" w14:textId="77777777" w:rsidR="00E62B94" w:rsidRPr="00E62B94" w:rsidRDefault="00E62B94" w:rsidP="00F21C7A">
            <w:pPr>
              <w:spacing w:before="60" w:after="60"/>
              <w:jc w:val="both"/>
              <w:rPr>
                <w:rFonts w:ascii="Arial" w:hAnsi="Arial" w:cs="Arial"/>
              </w:rPr>
            </w:pPr>
            <w:r w:rsidRPr="00E62B94">
              <w:rPr>
                <w:rFonts w:ascii="Arial" w:hAnsi="Arial" w:cs="Arial"/>
              </w:rPr>
              <w:t>Insignificant defects/damage;</w:t>
            </w:r>
          </w:p>
          <w:p w14:paraId="38C47963" w14:textId="4C7E1938" w:rsidR="00E62B94" w:rsidRPr="00E62B94" w:rsidRDefault="00E62B94" w:rsidP="00F21C7A">
            <w:pPr>
              <w:jc w:val="both"/>
              <w:rPr>
                <w:rFonts w:ascii="Arial" w:hAnsi="Arial" w:cs="Arial"/>
              </w:rPr>
            </w:pPr>
            <w:r w:rsidRPr="00E62B94">
              <w:rPr>
                <w:rFonts w:ascii="Arial" w:hAnsi="Arial" w:cs="Arial"/>
              </w:rPr>
              <w:t>Capacity unaffected</w:t>
            </w:r>
          </w:p>
        </w:tc>
      </w:tr>
      <w:tr w:rsidR="00E62B94" w:rsidRPr="00E62B94" w14:paraId="5AB954C3" w14:textId="5CCFD57B" w:rsidTr="00E62B94">
        <w:trPr>
          <w:jc w:val="center"/>
        </w:trPr>
        <w:tc>
          <w:tcPr>
            <w:tcW w:w="1315" w:type="dxa"/>
            <w:shd w:val="clear" w:color="auto" w:fill="33CC33"/>
          </w:tcPr>
          <w:p w14:paraId="09B02364" w14:textId="3EBF75E7" w:rsidR="00E62B94" w:rsidRPr="00E62B94" w:rsidRDefault="00E62B94" w:rsidP="00E62B94">
            <w:pPr>
              <w:jc w:val="center"/>
              <w:rPr>
                <w:rFonts w:ascii="Arial" w:hAnsi="Arial" w:cs="Arial"/>
                <w:b/>
                <w:bCs/>
                <w:lang w:eastAsia="en-GB"/>
              </w:rPr>
            </w:pPr>
            <w:r w:rsidRPr="00E62B94">
              <w:rPr>
                <w:rFonts w:ascii="Arial" w:hAnsi="Arial" w:cs="Arial"/>
              </w:rPr>
              <w:t>80 ≤ x &lt; 90 Good</w:t>
            </w:r>
          </w:p>
        </w:tc>
        <w:tc>
          <w:tcPr>
            <w:tcW w:w="4162" w:type="dxa"/>
          </w:tcPr>
          <w:p w14:paraId="1C9A64DE" w14:textId="77777777" w:rsidR="00E62B94" w:rsidRPr="00E62B94" w:rsidRDefault="00E62B94" w:rsidP="00F21C7A">
            <w:pPr>
              <w:spacing w:before="60" w:after="60"/>
              <w:jc w:val="both"/>
              <w:rPr>
                <w:rFonts w:ascii="Arial" w:hAnsi="Arial" w:cs="Arial"/>
              </w:rPr>
            </w:pPr>
            <w:r w:rsidRPr="00E62B94">
              <w:rPr>
                <w:rFonts w:ascii="Arial" w:hAnsi="Arial" w:cs="Arial"/>
              </w:rPr>
              <w:t>Mostly minor defects/damage, but may also be some moderate defects;</w:t>
            </w:r>
          </w:p>
          <w:p w14:paraId="454A71AB" w14:textId="6A1C6539" w:rsidR="00E62B94" w:rsidRPr="00E62B94" w:rsidRDefault="00E62B94" w:rsidP="00F21C7A">
            <w:pPr>
              <w:jc w:val="both"/>
              <w:rPr>
                <w:rFonts w:ascii="Arial" w:hAnsi="Arial" w:cs="Arial"/>
                <w:lang w:eastAsia="en-GB"/>
              </w:rPr>
            </w:pPr>
            <w:r w:rsidRPr="00E62B94">
              <w:rPr>
                <w:rFonts w:ascii="Arial" w:hAnsi="Arial" w:cs="Arial"/>
              </w:rPr>
              <w:t>Structure in “Good” condition overall</w:t>
            </w:r>
          </w:p>
        </w:tc>
        <w:tc>
          <w:tcPr>
            <w:tcW w:w="3539" w:type="dxa"/>
          </w:tcPr>
          <w:p w14:paraId="5E642DF9" w14:textId="77777777" w:rsidR="00E62B94" w:rsidRPr="00E62B94" w:rsidRDefault="00E62B94" w:rsidP="00F21C7A">
            <w:pPr>
              <w:spacing w:before="60" w:after="60"/>
              <w:jc w:val="both"/>
              <w:rPr>
                <w:rFonts w:ascii="Arial" w:hAnsi="Arial" w:cs="Arial"/>
              </w:rPr>
            </w:pPr>
            <w:r w:rsidRPr="00E62B94">
              <w:rPr>
                <w:rFonts w:ascii="Arial" w:hAnsi="Arial" w:cs="Arial"/>
              </w:rPr>
              <w:t>Minor defects/damage;</w:t>
            </w:r>
          </w:p>
          <w:p w14:paraId="2C3DAE2B" w14:textId="4444835F" w:rsidR="00E62B94" w:rsidRPr="00E62B94" w:rsidRDefault="00E62B94" w:rsidP="00F21C7A">
            <w:pPr>
              <w:jc w:val="both"/>
              <w:rPr>
                <w:rFonts w:ascii="Arial" w:hAnsi="Arial" w:cs="Arial"/>
              </w:rPr>
            </w:pPr>
            <w:r w:rsidRPr="00E62B94">
              <w:rPr>
                <w:rFonts w:ascii="Arial" w:hAnsi="Arial" w:cs="Arial"/>
              </w:rPr>
              <w:t>Capacity unlikely to be affected</w:t>
            </w:r>
          </w:p>
        </w:tc>
      </w:tr>
      <w:tr w:rsidR="00E62B94" w:rsidRPr="00E62B94" w14:paraId="2B6548D6" w14:textId="2DBFA7CA" w:rsidTr="00E62B94">
        <w:trPr>
          <w:jc w:val="center"/>
        </w:trPr>
        <w:tc>
          <w:tcPr>
            <w:tcW w:w="1315" w:type="dxa"/>
            <w:shd w:val="clear" w:color="auto" w:fill="FFFF00"/>
          </w:tcPr>
          <w:p w14:paraId="12F59B07" w14:textId="0C053C4E" w:rsidR="00E62B94" w:rsidRPr="00E62B94" w:rsidRDefault="00E62B94" w:rsidP="00E62B94">
            <w:pPr>
              <w:jc w:val="center"/>
              <w:rPr>
                <w:rFonts w:ascii="Arial" w:hAnsi="Arial" w:cs="Arial"/>
                <w:b/>
                <w:bCs/>
                <w:lang w:eastAsia="en-GB"/>
              </w:rPr>
            </w:pPr>
            <w:r w:rsidRPr="00E62B94">
              <w:rPr>
                <w:rFonts w:ascii="Arial" w:hAnsi="Arial" w:cs="Arial"/>
              </w:rPr>
              <w:t>65 ≤ x &lt; 80 Fair</w:t>
            </w:r>
          </w:p>
        </w:tc>
        <w:tc>
          <w:tcPr>
            <w:tcW w:w="4162" w:type="dxa"/>
          </w:tcPr>
          <w:p w14:paraId="1370AC28" w14:textId="77777777" w:rsidR="00E62B94" w:rsidRPr="00E62B94" w:rsidRDefault="00E62B94" w:rsidP="00F21C7A">
            <w:pPr>
              <w:spacing w:before="60" w:after="60"/>
              <w:jc w:val="both"/>
              <w:rPr>
                <w:rFonts w:ascii="Arial" w:hAnsi="Arial" w:cs="Arial"/>
              </w:rPr>
            </w:pPr>
            <w:r w:rsidRPr="00E62B94">
              <w:rPr>
                <w:rFonts w:ascii="Arial" w:hAnsi="Arial" w:cs="Arial"/>
              </w:rPr>
              <w:t>Minor-to-moderate defects/damage;</w:t>
            </w:r>
          </w:p>
          <w:p w14:paraId="6489296F" w14:textId="77777777" w:rsidR="00E62B94" w:rsidRPr="00E62B94" w:rsidRDefault="00E62B94" w:rsidP="00F21C7A">
            <w:pPr>
              <w:spacing w:before="60" w:after="60"/>
              <w:jc w:val="both"/>
              <w:rPr>
                <w:rFonts w:ascii="Arial" w:hAnsi="Arial" w:cs="Arial"/>
              </w:rPr>
            </w:pPr>
            <w:r w:rsidRPr="00E62B94">
              <w:rPr>
                <w:rFonts w:ascii="Arial" w:hAnsi="Arial" w:cs="Arial"/>
              </w:rPr>
              <w:t>Structure is in a fair condition overall;</w:t>
            </w:r>
          </w:p>
          <w:p w14:paraId="73491B61" w14:textId="7D077C49" w:rsidR="00E62B94" w:rsidRPr="00E62B94" w:rsidRDefault="00E62B94" w:rsidP="00F21C7A">
            <w:pPr>
              <w:jc w:val="both"/>
              <w:rPr>
                <w:rFonts w:ascii="Arial" w:hAnsi="Arial" w:cs="Arial"/>
                <w:lang w:eastAsia="en-GB"/>
              </w:rPr>
            </w:pPr>
            <w:r w:rsidRPr="00E62B94">
              <w:rPr>
                <w:rFonts w:ascii="Arial" w:hAnsi="Arial" w:cs="Arial"/>
              </w:rPr>
              <w:t>One or more functions of the bridge may be significantly affected</w:t>
            </w:r>
          </w:p>
        </w:tc>
        <w:tc>
          <w:tcPr>
            <w:tcW w:w="3539" w:type="dxa"/>
          </w:tcPr>
          <w:p w14:paraId="2337EB1E" w14:textId="77777777" w:rsidR="00E62B94" w:rsidRPr="00E62B94" w:rsidRDefault="00E62B94" w:rsidP="00F21C7A">
            <w:pPr>
              <w:spacing w:before="60" w:after="60"/>
              <w:jc w:val="both"/>
              <w:rPr>
                <w:rFonts w:ascii="Arial" w:hAnsi="Arial" w:cs="Arial"/>
              </w:rPr>
            </w:pPr>
            <w:r w:rsidRPr="00E62B94">
              <w:rPr>
                <w:rFonts w:ascii="Arial" w:hAnsi="Arial" w:cs="Arial"/>
              </w:rPr>
              <w:t>Superficial defects/damage;</w:t>
            </w:r>
          </w:p>
          <w:p w14:paraId="2C94C7FA" w14:textId="33439546" w:rsidR="00E62B94" w:rsidRPr="00E62B94" w:rsidRDefault="00E62B94" w:rsidP="00F21C7A">
            <w:pPr>
              <w:jc w:val="both"/>
              <w:rPr>
                <w:rFonts w:ascii="Arial" w:hAnsi="Arial" w:cs="Arial"/>
              </w:rPr>
            </w:pPr>
            <w:r w:rsidRPr="00E62B94">
              <w:rPr>
                <w:rFonts w:ascii="Arial" w:hAnsi="Arial" w:cs="Arial"/>
              </w:rPr>
              <w:t>Capacity may be slightly affected</w:t>
            </w:r>
          </w:p>
        </w:tc>
      </w:tr>
      <w:tr w:rsidR="00E62B94" w:rsidRPr="00E62B94" w14:paraId="6EC34096" w14:textId="691B50A1" w:rsidTr="00E62B94">
        <w:trPr>
          <w:jc w:val="center"/>
        </w:trPr>
        <w:tc>
          <w:tcPr>
            <w:tcW w:w="1315" w:type="dxa"/>
            <w:shd w:val="clear" w:color="auto" w:fill="FFC000"/>
          </w:tcPr>
          <w:p w14:paraId="67A80006" w14:textId="0B8039D1" w:rsidR="00E62B94" w:rsidRPr="00E62B94" w:rsidRDefault="00E62B94" w:rsidP="00E62B94">
            <w:pPr>
              <w:jc w:val="center"/>
              <w:rPr>
                <w:rFonts w:ascii="Arial" w:hAnsi="Arial" w:cs="Arial"/>
                <w:b/>
                <w:bCs/>
                <w:lang w:eastAsia="en-GB"/>
              </w:rPr>
            </w:pPr>
            <w:r w:rsidRPr="00E62B94">
              <w:rPr>
                <w:rFonts w:ascii="Arial" w:hAnsi="Arial" w:cs="Arial"/>
              </w:rPr>
              <w:t>40 ≤ x &lt; 65 Poor</w:t>
            </w:r>
          </w:p>
        </w:tc>
        <w:tc>
          <w:tcPr>
            <w:tcW w:w="4162" w:type="dxa"/>
          </w:tcPr>
          <w:p w14:paraId="42C25AD2" w14:textId="77777777" w:rsidR="00E62B94" w:rsidRPr="00E62B94" w:rsidRDefault="00E62B94" w:rsidP="00F21C7A">
            <w:pPr>
              <w:spacing w:before="60" w:after="60"/>
              <w:jc w:val="both"/>
              <w:rPr>
                <w:rFonts w:ascii="Arial" w:hAnsi="Arial" w:cs="Arial"/>
              </w:rPr>
            </w:pPr>
            <w:r w:rsidRPr="00E62B94">
              <w:rPr>
                <w:rFonts w:ascii="Arial" w:hAnsi="Arial" w:cs="Arial"/>
              </w:rPr>
              <w:t>Moderate-to-severe defects/damage;</w:t>
            </w:r>
          </w:p>
          <w:p w14:paraId="35231390" w14:textId="77777777" w:rsidR="00E62B94" w:rsidRPr="00E62B94" w:rsidRDefault="00E62B94" w:rsidP="00F21C7A">
            <w:pPr>
              <w:spacing w:before="60" w:after="60"/>
              <w:jc w:val="both"/>
              <w:rPr>
                <w:rFonts w:ascii="Arial" w:hAnsi="Arial" w:cs="Arial"/>
              </w:rPr>
            </w:pPr>
            <w:r w:rsidRPr="00E62B94">
              <w:rPr>
                <w:rFonts w:ascii="Arial" w:hAnsi="Arial" w:cs="Arial"/>
              </w:rPr>
              <w:t>Structure is in poor condition overall;</w:t>
            </w:r>
          </w:p>
          <w:p w14:paraId="3315CE8E" w14:textId="1DB25D05" w:rsidR="00E62B94" w:rsidRPr="00E62B94" w:rsidRDefault="00E62B94" w:rsidP="00F21C7A">
            <w:pPr>
              <w:jc w:val="both"/>
              <w:rPr>
                <w:rFonts w:ascii="Arial" w:hAnsi="Arial" w:cs="Arial"/>
                <w:lang w:eastAsia="en-GB"/>
              </w:rPr>
            </w:pPr>
            <w:r w:rsidRPr="00E62B94">
              <w:rPr>
                <w:rFonts w:ascii="Arial" w:hAnsi="Arial" w:cs="Arial"/>
              </w:rPr>
              <w:t>One or more of functions of the structure may be severely affected</w:t>
            </w:r>
          </w:p>
        </w:tc>
        <w:tc>
          <w:tcPr>
            <w:tcW w:w="3539" w:type="dxa"/>
          </w:tcPr>
          <w:p w14:paraId="5EA75D42" w14:textId="77777777" w:rsidR="00E62B94" w:rsidRPr="00E62B94" w:rsidRDefault="00E62B94" w:rsidP="00F21C7A">
            <w:pPr>
              <w:spacing w:before="60" w:after="60"/>
              <w:jc w:val="both"/>
              <w:rPr>
                <w:rFonts w:ascii="Arial" w:hAnsi="Arial" w:cs="Arial"/>
              </w:rPr>
            </w:pPr>
            <w:r w:rsidRPr="00E62B94">
              <w:rPr>
                <w:rFonts w:ascii="Arial" w:hAnsi="Arial" w:cs="Arial"/>
              </w:rPr>
              <w:t>Moderate defects/damage;</w:t>
            </w:r>
          </w:p>
          <w:p w14:paraId="57F11929" w14:textId="55B1A203" w:rsidR="00E62B94" w:rsidRPr="00E62B94" w:rsidRDefault="00E62B94" w:rsidP="00F21C7A">
            <w:pPr>
              <w:jc w:val="both"/>
              <w:rPr>
                <w:rFonts w:ascii="Arial" w:hAnsi="Arial" w:cs="Arial"/>
              </w:rPr>
            </w:pPr>
            <w:r w:rsidRPr="00E62B94">
              <w:rPr>
                <w:rFonts w:ascii="Arial" w:hAnsi="Arial" w:cs="Arial"/>
              </w:rPr>
              <w:t>Capacity may be significantly affected</w:t>
            </w:r>
          </w:p>
        </w:tc>
      </w:tr>
      <w:tr w:rsidR="00E62B94" w:rsidRPr="00E62B94" w14:paraId="35D64A7B" w14:textId="5E361763" w:rsidTr="00E62B94">
        <w:trPr>
          <w:jc w:val="center"/>
        </w:trPr>
        <w:tc>
          <w:tcPr>
            <w:tcW w:w="1315" w:type="dxa"/>
            <w:shd w:val="clear" w:color="auto" w:fill="FF0000"/>
          </w:tcPr>
          <w:p w14:paraId="5391AB09" w14:textId="7DD6F69F" w:rsidR="00E62B94" w:rsidRPr="00E62B94" w:rsidRDefault="00E62B94" w:rsidP="00E62B94">
            <w:pPr>
              <w:jc w:val="center"/>
              <w:rPr>
                <w:rFonts w:ascii="Arial" w:hAnsi="Arial" w:cs="Arial"/>
                <w:b/>
                <w:bCs/>
                <w:lang w:eastAsia="en-GB"/>
              </w:rPr>
            </w:pPr>
            <w:r w:rsidRPr="00E62B94">
              <w:rPr>
                <w:rFonts w:ascii="Arial" w:hAnsi="Arial" w:cs="Arial"/>
                <w:color w:val="FFFFFF" w:themeColor="background1"/>
              </w:rPr>
              <w:t>0 ≤ x &lt; 40 Very Poor</w:t>
            </w:r>
          </w:p>
        </w:tc>
        <w:tc>
          <w:tcPr>
            <w:tcW w:w="4162" w:type="dxa"/>
          </w:tcPr>
          <w:p w14:paraId="1AA142A8" w14:textId="77777777" w:rsidR="00E62B94" w:rsidRPr="00E62B94" w:rsidRDefault="00E62B94" w:rsidP="00F21C7A">
            <w:pPr>
              <w:spacing w:before="60" w:after="60"/>
              <w:jc w:val="both"/>
              <w:rPr>
                <w:rFonts w:ascii="Arial" w:hAnsi="Arial" w:cs="Arial"/>
              </w:rPr>
            </w:pPr>
            <w:r w:rsidRPr="00E62B94">
              <w:rPr>
                <w:rFonts w:ascii="Arial" w:hAnsi="Arial" w:cs="Arial"/>
              </w:rPr>
              <w:t>Severe defects/damage on a number of elements;</w:t>
            </w:r>
          </w:p>
          <w:p w14:paraId="3786DA48" w14:textId="5318EF19" w:rsidR="00E62B94" w:rsidRPr="00E62B94" w:rsidRDefault="00E62B94" w:rsidP="00F21C7A">
            <w:pPr>
              <w:spacing w:before="60" w:after="60"/>
              <w:jc w:val="both"/>
              <w:rPr>
                <w:rFonts w:ascii="Arial" w:hAnsi="Arial" w:cs="Arial"/>
              </w:rPr>
            </w:pPr>
            <w:r w:rsidRPr="00E62B94">
              <w:rPr>
                <w:rFonts w:ascii="Arial" w:hAnsi="Arial" w:cs="Arial"/>
              </w:rPr>
              <w:t>One or more elements have failed;</w:t>
            </w:r>
          </w:p>
          <w:p w14:paraId="4B70DF49" w14:textId="77777777" w:rsidR="00E62B94" w:rsidRPr="00E62B94" w:rsidRDefault="00E62B94" w:rsidP="00F21C7A">
            <w:pPr>
              <w:spacing w:before="60" w:after="60"/>
              <w:jc w:val="both"/>
              <w:rPr>
                <w:rFonts w:ascii="Arial" w:hAnsi="Arial" w:cs="Arial"/>
              </w:rPr>
            </w:pPr>
            <w:r w:rsidRPr="00E62B94">
              <w:rPr>
                <w:rFonts w:ascii="Arial" w:hAnsi="Arial" w:cs="Arial"/>
              </w:rPr>
              <w:t>Structure is in very poor condition;</w:t>
            </w:r>
          </w:p>
          <w:p w14:paraId="165B4B85" w14:textId="4432D946" w:rsidR="00E62B94" w:rsidRPr="00E62B94" w:rsidRDefault="00E62B94" w:rsidP="00F21C7A">
            <w:pPr>
              <w:jc w:val="both"/>
              <w:rPr>
                <w:rFonts w:ascii="Arial" w:hAnsi="Arial" w:cs="Arial"/>
                <w:lang w:eastAsia="en-GB"/>
              </w:rPr>
            </w:pPr>
            <w:r w:rsidRPr="00E62B94">
              <w:rPr>
                <w:rFonts w:ascii="Arial" w:hAnsi="Arial" w:cs="Arial"/>
              </w:rPr>
              <w:t>Structure is unserviceable</w:t>
            </w:r>
          </w:p>
        </w:tc>
        <w:tc>
          <w:tcPr>
            <w:tcW w:w="3539" w:type="dxa"/>
          </w:tcPr>
          <w:p w14:paraId="6DC61F87" w14:textId="77777777" w:rsidR="00E62B94" w:rsidRPr="00E62B94" w:rsidRDefault="00E62B94" w:rsidP="00F21C7A">
            <w:pPr>
              <w:spacing w:before="60" w:after="60"/>
              <w:jc w:val="both"/>
              <w:rPr>
                <w:rFonts w:ascii="Arial" w:hAnsi="Arial" w:cs="Arial"/>
              </w:rPr>
            </w:pPr>
            <w:r w:rsidRPr="00E62B94">
              <w:rPr>
                <w:rFonts w:ascii="Arial" w:hAnsi="Arial" w:cs="Arial"/>
              </w:rPr>
              <w:t>Possible failure or actual failure of critical element;</w:t>
            </w:r>
          </w:p>
          <w:p w14:paraId="64B47AB9" w14:textId="77777777" w:rsidR="00E62B94" w:rsidRPr="00E62B94" w:rsidRDefault="00E62B94" w:rsidP="00F21C7A">
            <w:pPr>
              <w:spacing w:before="60" w:after="60"/>
              <w:jc w:val="both"/>
              <w:rPr>
                <w:rFonts w:ascii="Arial" w:hAnsi="Arial" w:cs="Arial"/>
              </w:rPr>
            </w:pPr>
            <w:r w:rsidRPr="00E62B94">
              <w:rPr>
                <w:rFonts w:ascii="Arial" w:hAnsi="Arial" w:cs="Arial"/>
              </w:rPr>
              <w:t>Severe defects/damage;</w:t>
            </w:r>
          </w:p>
          <w:p w14:paraId="7AD4EEA2" w14:textId="77777777" w:rsidR="00E62B94" w:rsidRPr="00E62B94" w:rsidRDefault="00E62B94" w:rsidP="00F21C7A">
            <w:pPr>
              <w:spacing w:before="60" w:after="60"/>
              <w:jc w:val="both"/>
              <w:rPr>
                <w:rFonts w:ascii="Arial" w:hAnsi="Arial" w:cs="Arial"/>
              </w:rPr>
            </w:pPr>
            <w:r w:rsidRPr="00E62B94">
              <w:rPr>
                <w:rFonts w:ascii="Arial" w:hAnsi="Arial" w:cs="Arial"/>
              </w:rPr>
              <w:t>Capacity may be severely affected;</w:t>
            </w:r>
          </w:p>
          <w:p w14:paraId="5C2C1C7C" w14:textId="55D3BE7A" w:rsidR="00E62B94" w:rsidRPr="00E62B94" w:rsidRDefault="00E62B94" w:rsidP="00F21C7A">
            <w:pPr>
              <w:jc w:val="both"/>
              <w:rPr>
                <w:rFonts w:ascii="Arial" w:hAnsi="Arial" w:cs="Arial"/>
              </w:rPr>
            </w:pPr>
            <w:r w:rsidRPr="00E62B94">
              <w:rPr>
                <w:rFonts w:ascii="Arial" w:hAnsi="Arial" w:cs="Arial"/>
              </w:rPr>
              <w:t>Structure may need to be weight restricted or closed to traffic</w:t>
            </w:r>
          </w:p>
        </w:tc>
      </w:tr>
    </w:tbl>
    <w:p w14:paraId="39824F88" w14:textId="28567123" w:rsidR="00EE6F3F" w:rsidRPr="005948AD" w:rsidRDefault="005948AD" w:rsidP="005948AD">
      <w:pPr>
        <w:pStyle w:val="Caption"/>
        <w:jc w:val="center"/>
        <w:rPr>
          <w:rFonts w:ascii="Arial" w:hAnsi="Arial" w:cs="Arial"/>
          <w:sz w:val="22"/>
          <w:szCs w:val="22"/>
          <w:lang w:eastAsia="en-GB"/>
        </w:rPr>
      </w:pPr>
      <w:bookmarkStart w:id="165" w:name="_Toc66869002"/>
      <w:r w:rsidRPr="005948AD">
        <w:rPr>
          <w:rFonts w:ascii="Arial" w:hAnsi="Arial" w:cs="Arial"/>
          <w:sz w:val="22"/>
          <w:szCs w:val="22"/>
        </w:rPr>
        <w:t xml:space="preserve">Table </w:t>
      </w:r>
      <w:r w:rsidRPr="005948AD">
        <w:rPr>
          <w:rFonts w:ascii="Arial" w:hAnsi="Arial" w:cs="Arial"/>
          <w:sz w:val="22"/>
          <w:szCs w:val="22"/>
        </w:rPr>
        <w:fldChar w:fldCharType="begin"/>
      </w:r>
      <w:r w:rsidRPr="005948AD">
        <w:rPr>
          <w:rFonts w:ascii="Arial" w:hAnsi="Arial" w:cs="Arial"/>
          <w:sz w:val="22"/>
          <w:szCs w:val="22"/>
        </w:rPr>
        <w:instrText xml:space="preserve"> SEQ Table \* ARABIC </w:instrText>
      </w:r>
      <w:r w:rsidRPr="005948AD">
        <w:rPr>
          <w:rFonts w:ascii="Arial" w:hAnsi="Arial" w:cs="Arial"/>
          <w:sz w:val="22"/>
          <w:szCs w:val="22"/>
        </w:rPr>
        <w:fldChar w:fldCharType="separate"/>
      </w:r>
      <w:r w:rsidR="00B97B5D">
        <w:rPr>
          <w:rFonts w:ascii="Arial" w:hAnsi="Arial" w:cs="Arial"/>
          <w:noProof/>
          <w:sz w:val="22"/>
          <w:szCs w:val="22"/>
        </w:rPr>
        <w:t>18</w:t>
      </w:r>
      <w:r w:rsidRPr="005948AD">
        <w:rPr>
          <w:rFonts w:ascii="Arial" w:hAnsi="Arial" w:cs="Arial"/>
          <w:sz w:val="22"/>
          <w:szCs w:val="22"/>
        </w:rPr>
        <w:fldChar w:fldCharType="end"/>
      </w:r>
      <w:r w:rsidRPr="005948AD">
        <w:rPr>
          <w:rFonts w:ascii="Arial" w:hAnsi="Arial" w:cs="Arial"/>
          <w:sz w:val="22"/>
          <w:szCs w:val="22"/>
        </w:rPr>
        <w:t xml:space="preserve"> </w:t>
      </w:r>
      <w:r w:rsidR="00FA1097">
        <w:rPr>
          <w:rFonts w:ascii="Arial" w:hAnsi="Arial" w:cs="Arial"/>
          <w:sz w:val="22"/>
          <w:szCs w:val="22"/>
        </w:rPr>
        <w:t>–</w:t>
      </w:r>
      <w:r w:rsidRPr="005948AD">
        <w:rPr>
          <w:rFonts w:ascii="Arial" w:hAnsi="Arial" w:cs="Arial"/>
          <w:sz w:val="22"/>
          <w:szCs w:val="22"/>
        </w:rPr>
        <w:t xml:space="preserve"> </w:t>
      </w:r>
      <w:r w:rsidR="00FA1097">
        <w:rPr>
          <w:rFonts w:ascii="Arial" w:hAnsi="Arial" w:cs="Arial"/>
          <w:sz w:val="22"/>
          <w:szCs w:val="22"/>
        </w:rPr>
        <w:t>Bridge Condition Indicators</w:t>
      </w:r>
      <w:bookmarkEnd w:id="165"/>
    </w:p>
    <w:p w14:paraId="1A6B8539" w14:textId="37B16DA6" w:rsidR="009B4049" w:rsidRDefault="009B4049" w:rsidP="00B97DE1">
      <w:pPr>
        <w:spacing w:line="360" w:lineRule="auto"/>
        <w:rPr>
          <w:rFonts w:ascii="Arial" w:hAnsi="Arial" w:cs="Arial"/>
          <w:lang w:eastAsia="en-GB"/>
        </w:rPr>
      </w:pPr>
    </w:p>
    <w:p w14:paraId="2CC85744" w14:textId="1CC89D01" w:rsidR="0024740A" w:rsidRDefault="0024740A" w:rsidP="00B97DE1">
      <w:pPr>
        <w:spacing w:line="360" w:lineRule="auto"/>
        <w:rPr>
          <w:rFonts w:ascii="Arial" w:hAnsi="Arial" w:cs="Arial"/>
          <w:lang w:eastAsia="en-GB"/>
        </w:rPr>
      </w:pPr>
    </w:p>
    <w:p w14:paraId="573BE5E9" w14:textId="2FEFFE7A" w:rsidR="0024740A" w:rsidRDefault="0024740A" w:rsidP="00B97DE1">
      <w:pPr>
        <w:spacing w:line="360" w:lineRule="auto"/>
        <w:rPr>
          <w:rFonts w:ascii="Arial" w:hAnsi="Arial" w:cs="Arial"/>
          <w:lang w:eastAsia="en-GB"/>
        </w:rPr>
      </w:pPr>
    </w:p>
    <w:p w14:paraId="25025834" w14:textId="77777777" w:rsidR="0024740A" w:rsidRDefault="0024740A" w:rsidP="00B97DE1">
      <w:pPr>
        <w:spacing w:line="360" w:lineRule="auto"/>
        <w:rPr>
          <w:rFonts w:ascii="Arial" w:hAnsi="Arial" w:cs="Arial"/>
          <w:lang w:eastAsia="en-GB"/>
        </w:rPr>
      </w:pPr>
    </w:p>
    <w:p w14:paraId="6974BAD2" w14:textId="35CF6EC8" w:rsidR="00C756BB" w:rsidRDefault="005561CC" w:rsidP="00F21C7A">
      <w:pPr>
        <w:spacing w:line="360" w:lineRule="auto"/>
        <w:jc w:val="both"/>
        <w:rPr>
          <w:rFonts w:ascii="Arial" w:hAnsi="Arial" w:cs="Arial"/>
          <w:lang w:eastAsia="en-GB"/>
        </w:rPr>
      </w:pPr>
      <w:r>
        <w:rPr>
          <w:rFonts w:ascii="Arial" w:hAnsi="Arial" w:cs="Arial"/>
          <w:lang w:eastAsia="en-GB"/>
        </w:rPr>
        <w:t xml:space="preserve">Figure </w:t>
      </w:r>
      <w:r w:rsidR="00CE103E">
        <w:rPr>
          <w:rFonts w:ascii="Arial" w:hAnsi="Arial" w:cs="Arial"/>
          <w:lang w:eastAsia="en-GB"/>
        </w:rPr>
        <w:t>1</w:t>
      </w:r>
      <w:r w:rsidR="003D59FE">
        <w:rPr>
          <w:rFonts w:ascii="Arial" w:hAnsi="Arial" w:cs="Arial"/>
          <w:lang w:eastAsia="en-GB"/>
        </w:rPr>
        <w:t>3</w:t>
      </w:r>
      <w:r>
        <w:rPr>
          <w:rFonts w:ascii="Arial" w:hAnsi="Arial" w:cs="Arial"/>
          <w:lang w:eastAsia="en-GB"/>
        </w:rPr>
        <w:t xml:space="preserve"> &amp; </w:t>
      </w:r>
      <w:r w:rsidR="00CE103E">
        <w:rPr>
          <w:rFonts w:ascii="Arial" w:hAnsi="Arial" w:cs="Arial"/>
          <w:lang w:eastAsia="en-GB"/>
        </w:rPr>
        <w:t>1</w:t>
      </w:r>
      <w:r w:rsidR="003D59FE">
        <w:rPr>
          <w:rFonts w:ascii="Arial" w:hAnsi="Arial" w:cs="Arial"/>
          <w:lang w:eastAsia="en-GB"/>
        </w:rPr>
        <w:t>4</w:t>
      </w:r>
      <w:r w:rsidR="00DF5C44" w:rsidRPr="00B97DE1">
        <w:rPr>
          <w:rFonts w:ascii="Arial" w:hAnsi="Arial" w:cs="Arial"/>
          <w:lang w:eastAsia="en-GB"/>
        </w:rPr>
        <w:t xml:space="preserve"> </w:t>
      </w:r>
      <w:r w:rsidR="00C756BB" w:rsidRPr="00B97DE1">
        <w:rPr>
          <w:rFonts w:ascii="Arial" w:hAnsi="Arial" w:cs="Arial"/>
          <w:lang w:eastAsia="en-GB"/>
        </w:rPr>
        <w:t>illustrate</w:t>
      </w:r>
      <w:r w:rsidR="00FE06C0" w:rsidRPr="00B97DE1">
        <w:rPr>
          <w:rFonts w:ascii="Arial" w:hAnsi="Arial" w:cs="Arial"/>
          <w:lang w:eastAsia="en-GB"/>
        </w:rPr>
        <w:t xml:space="preserve"> the condition of the bridge throughout the analysis period</w:t>
      </w:r>
      <w:r w:rsidR="007262C1" w:rsidRPr="00B97DE1">
        <w:rPr>
          <w:rFonts w:ascii="Arial" w:hAnsi="Arial" w:cs="Arial"/>
          <w:lang w:eastAsia="en-GB"/>
        </w:rPr>
        <w:t xml:space="preserve"> </w:t>
      </w:r>
      <w:r w:rsidR="00BF5B7A" w:rsidRPr="00B97DE1">
        <w:rPr>
          <w:rFonts w:ascii="Arial" w:hAnsi="Arial" w:cs="Arial"/>
          <w:lang w:eastAsia="en-GB"/>
        </w:rPr>
        <w:t>using the planned preventive strategy</w:t>
      </w:r>
      <w:r w:rsidR="00326AF9">
        <w:rPr>
          <w:rFonts w:ascii="Arial" w:hAnsi="Arial" w:cs="Arial"/>
          <w:lang w:eastAsia="en-GB"/>
        </w:rPr>
        <w:t xml:space="preserve"> </w:t>
      </w:r>
      <w:r w:rsidR="00C756BB">
        <w:rPr>
          <w:rFonts w:ascii="Arial" w:hAnsi="Arial" w:cs="Arial"/>
          <w:lang w:eastAsia="en-GB"/>
        </w:rPr>
        <w:t>and unplanned re-active strategy</w:t>
      </w:r>
      <w:r w:rsidR="00F623A2" w:rsidRPr="00B97DE1">
        <w:rPr>
          <w:rFonts w:ascii="Arial" w:hAnsi="Arial" w:cs="Arial"/>
          <w:lang w:eastAsia="en-GB"/>
        </w:rPr>
        <w:t>.</w:t>
      </w:r>
      <w:r w:rsidR="007262C1" w:rsidRPr="00B97DE1">
        <w:rPr>
          <w:rFonts w:ascii="Arial" w:hAnsi="Arial" w:cs="Arial"/>
          <w:lang w:eastAsia="en-GB"/>
        </w:rPr>
        <w:t xml:space="preserve">  </w:t>
      </w:r>
    </w:p>
    <w:p w14:paraId="1F33F275" w14:textId="6B5C1CA1" w:rsidR="00CE3308" w:rsidRDefault="0045705B" w:rsidP="00C02C8F">
      <w:pPr>
        <w:spacing w:after="0"/>
        <w:rPr>
          <w:lang w:eastAsia="en-GB"/>
        </w:rPr>
      </w:pPr>
      <w:r>
        <w:rPr>
          <w:noProof/>
        </w:rPr>
        <w:drawing>
          <wp:inline distT="0" distB="0" distL="0" distR="0" wp14:anchorId="48B757E3" wp14:editId="13173238">
            <wp:extent cx="5731510" cy="2943742"/>
            <wp:effectExtent l="0" t="0" r="2540" b="0"/>
            <wp:docPr id="3" name="Chart 3">
              <a:extLst xmlns:a="http://schemas.openxmlformats.org/drawingml/2006/main">
                <a:ext uri="{FF2B5EF4-FFF2-40B4-BE49-F238E27FC236}">
                  <a16:creationId xmlns:a16="http://schemas.microsoft.com/office/drawing/2014/main" id="{B821CF50-13FE-437A-B05F-26C01B6C95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0F93EE3" w14:textId="485B3F6D" w:rsidR="00C91124" w:rsidRDefault="007B4E8C" w:rsidP="00DB272B">
      <w:pPr>
        <w:jc w:val="center"/>
        <w:rPr>
          <w:rFonts w:ascii="Arial" w:hAnsi="Arial" w:cs="Arial"/>
          <w:i/>
          <w:iCs/>
        </w:rPr>
      </w:pPr>
      <w:bookmarkStart w:id="166" w:name="_Toc66868965"/>
      <w:r w:rsidRPr="00DC242E">
        <w:rPr>
          <w:rFonts w:ascii="Arial" w:hAnsi="Arial" w:cs="Arial"/>
          <w:i/>
          <w:iCs/>
        </w:rPr>
        <w:t xml:space="preserve">Figure </w:t>
      </w:r>
      <w:r w:rsidRPr="00DC242E">
        <w:rPr>
          <w:rFonts w:ascii="Arial" w:hAnsi="Arial" w:cs="Arial"/>
          <w:i/>
          <w:iCs/>
        </w:rPr>
        <w:fldChar w:fldCharType="begin"/>
      </w:r>
      <w:r w:rsidRPr="00DC242E">
        <w:rPr>
          <w:rFonts w:ascii="Arial" w:hAnsi="Arial" w:cs="Arial"/>
          <w:i/>
          <w:iCs/>
        </w:rPr>
        <w:instrText xml:space="preserve"> SEQ Figure \* ARABIC </w:instrText>
      </w:r>
      <w:r w:rsidRPr="00DC242E">
        <w:rPr>
          <w:rFonts w:ascii="Arial" w:hAnsi="Arial" w:cs="Arial"/>
          <w:i/>
          <w:iCs/>
        </w:rPr>
        <w:fldChar w:fldCharType="separate"/>
      </w:r>
      <w:r w:rsidR="0063178E">
        <w:rPr>
          <w:rFonts w:ascii="Arial" w:hAnsi="Arial" w:cs="Arial"/>
          <w:i/>
          <w:iCs/>
          <w:noProof/>
        </w:rPr>
        <w:t>13</w:t>
      </w:r>
      <w:r w:rsidRPr="00DC242E">
        <w:rPr>
          <w:rFonts w:ascii="Arial" w:hAnsi="Arial" w:cs="Arial"/>
          <w:i/>
          <w:iCs/>
        </w:rPr>
        <w:fldChar w:fldCharType="end"/>
      </w:r>
      <w:r w:rsidRPr="00DC242E">
        <w:rPr>
          <w:rFonts w:ascii="Arial" w:hAnsi="Arial" w:cs="Arial"/>
          <w:i/>
          <w:iCs/>
        </w:rPr>
        <w:t xml:space="preserve"> - </w:t>
      </w:r>
      <w:r w:rsidR="00E20B69">
        <w:rPr>
          <w:rFonts w:ascii="Arial" w:hAnsi="Arial" w:cs="Arial"/>
          <w:i/>
          <w:iCs/>
        </w:rPr>
        <w:t xml:space="preserve">Bridge </w:t>
      </w:r>
      <w:r w:rsidRPr="00DC242E">
        <w:rPr>
          <w:rFonts w:ascii="Arial" w:hAnsi="Arial" w:cs="Arial"/>
          <w:i/>
          <w:iCs/>
        </w:rPr>
        <w:t>Condition (Planned Preventive)</w:t>
      </w:r>
      <w:bookmarkEnd w:id="166"/>
    </w:p>
    <w:p w14:paraId="7DE1075E" w14:textId="7821B0BB" w:rsidR="00BF43FE" w:rsidRDefault="00CE103E" w:rsidP="00F21C7A">
      <w:pPr>
        <w:spacing w:line="360" w:lineRule="auto"/>
        <w:jc w:val="both"/>
        <w:rPr>
          <w:rFonts w:ascii="Arial" w:hAnsi="Arial" w:cs="Arial"/>
          <w:lang w:eastAsia="en-GB"/>
        </w:rPr>
      </w:pPr>
      <w:r w:rsidRPr="00DC242E">
        <w:rPr>
          <w:i/>
          <w:iCs/>
          <w:noProof/>
        </w:rPr>
        <w:drawing>
          <wp:anchor distT="0" distB="0" distL="114300" distR="114300" simplePos="0" relativeHeight="251656192" behindDoc="0" locked="0" layoutInCell="1" allowOverlap="1" wp14:anchorId="70F196B0" wp14:editId="0FC1CB86">
            <wp:simplePos x="0" y="0"/>
            <wp:positionH relativeFrom="column">
              <wp:posOffset>0</wp:posOffset>
            </wp:positionH>
            <wp:positionV relativeFrom="paragraph">
              <wp:posOffset>782955</wp:posOffset>
            </wp:positionV>
            <wp:extent cx="5731510" cy="2846070"/>
            <wp:effectExtent l="0" t="0" r="2540" b="0"/>
            <wp:wrapSquare wrapText="bothSides"/>
            <wp:docPr id="10" name="Chart 10">
              <a:extLst xmlns:a="http://schemas.openxmlformats.org/drawingml/2006/main">
                <a:ext uri="{FF2B5EF4-FFF2-40B4-BE49-F238E27FC236}">
                  <a16:creationId xmlns:a16="http://schemas.microsoft.com/office/drawing/2014/main" id="{55B73F27-F181-45A1-A530-9A9D1BEF7A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V relativeFrom="margin">
              <wp14:pctHeight>0</wp14:pctHeight>
            </wp14:sizeRelV>
          </wp:anchor>
        </w:drawing>
      </w:r>
      <w:r w:rsidR="00BF43FE">
        <w:rPr>
          <w:rFonts w:ascii="Arial" w:hAnsi="Arial" w:cs="Arial"/>
          <w:lang w:eastAsia="en-GB"/>
        </w:rPr>
        <w:t>In the planned preventive maintenance strategy, t</w:t>
      </w:r>
      <w:r w:rsidR="00BF43FE" w:rsidRPr="00B97DE1">
        <w:rPr>
          <w:rFonts w:ascii="Arial" w:hAnsi="Arial" w:cs="Arial"/>
          <w:lang w:eastAsia="en-GB"/>
        </w:rPr>
        <w:t>he  overall condition (BCIa</w:t>
      </w:r>
      <w:r w:rsidR="00BF43FE">
        <w:rPr>
          <w:rFonts w:ascii="Arial" w:hAnsi="Arial" w:cs="Arial"/>
          <w:lang w:eastAsia="en-GB"/>
        </w:rPr>
        <w:t>v</w:t>
      </w:r>
      <w:r w:rsidR="00BF43FE" w:rsidRPr="00B97DE1">
        <w:rPr>
          <w:rFonts w:ascii="Arial" w:hAnsi="Arial" w:cs="Arial"/>
          <w:lang w:eastAsia="en-GB"/>
        </w:rPr>
        <w:t xml:space="preserve">) </w:t>
      </w:r>
      <w:r w:rsidR="00BF43FE">
        <w:rPr>
          <w:rFonts w:ascii="Arial" w:hAnsi="Arial" w:cs="Arial"/>
          <w:lang w:eastAsia="en-GB"/>
        </w:rPr>
        <w:t>varies</w:t>
      </w:r>
      <w:r w:rsidR="00BF43FE" w:rsidRPr="00B97DE1">
        <w:rPr>
          <w:rFonts w:ascii="Arial" w:hAnsi="Arial" w:cs="Arial"/>
          <w:lang w:eastAsia="en-GB"/>
        </w:rPr>
        <w:t xml:space="preserve"> </w:t>
      </w:r>
      <w:r w:rsidR="00BF43FE">
        <w:rPr>
          <w:rFonts w:ascii="Arial" w:hAnsi="Arial" w:cs="Arial"/>
          <w:lang w:eastAsia="en-GB"/>
        </w:rPr>
        <w:t>from a</w:t>
      </w:r>
      <w:r w:rsidR="00BF43FE" w:rsidRPr="00B97DE1">
        <w:rPr>
          <w:rFonts w:ascii="Arial" w:hAnsi="Arial" w:cs="Arial"/>
          <w:lang w:eastAsia="en-GB"/>
        </w:rPr>
        <w:t xml:space="preserve"> good </w:t>
      </w:r>
      <w:r w:rsidR="00BF43FE">
        <w:rPr>
          <w:rFonts w:ascii="Arial" w:hAnsi="Arial" w:cs="Arial"/>
          <w:lang w:eastAsia="en-GB"/>
        </w:rPr>
        <w:t xml:space="preserve">to fair </w:t>
      </w:r>
      <w:r w:rsidR="00BF43FE" w:rsidRPr="00B97DE1">
        <w:rPr>
          <w:rFonts w:ascii="Arial" w:hAnsi="Arial" w:cs="Arial"/>
          <w:lang w:eastAsia="en-GB"/>
        </w:rPr>
        <w:t xml:space="preserve">condition </w:t>
      </w:r>
      <w:r w:rsidR="00BF43FE">
        <w:rPr>
          <w:rFonts w:ascii="Arial" w:hAnsi="Arial" w:cs="Arial"/>
          <w:lang w:eastAsia="en-GB"/>
        </w:rPr>
        <w:t>with a low score of 74.52%</w:t>
      </w:r>
      <w:r w:rsidR="00B95993">
        <w:rPr>
          <w:rFonts w:ascii="Arial" w:hAnsi="Arial" w:cs="Arial"/>
          <w:lang w:eastAsia="en-GB"/>
        </w:rPr>
        <w:t>; and the</w:t>
      </w:r>
      <w:r w:rsidR="00BF43FE">
        <w:rPr>
          <w:rFonts w:ascii="Arial" w:hAnsi="Arial" w:cs="Arial"/>
          <w:lang w:eastAsia="en-GB"/>
        </w:rPr>
        <w:t xml:space="preserve"> </w:t>
      </w:r>
      <w:r w:rsidR="00BF43FE" w:rsidRPr="00B97DE1">
        <w:rPr>
          <w:rFonts w:ascii="Arial" w:hAnsi="Arial" w:cs="Arial"/>
          <w:lang w:eastAsia="en-GB"/>
        </w:rPr>
        <w:t xml:space="preserve">condition of critical elements (BCI crit) </w:t>
      </w:r>
      <w:r w:rsidR="00BF43FE">
        <w:rPr>
          <w:rFonts w:ascii="Arial" w:hAnsi="Arial" w:cs="Arial"/>
          <w:lang w:eastAsia="en-GB"/>
        </w:rPr>
        <w:t xml:space="preserve">varies from very good to a poor condition with a low score of 55.48%. </w:t>
      </w:r>
    </w:p>
    <w:p w14:paraId="27F2D4FC" w14:textId="1D9B886C" w:rsidR="00C91124" w:rsidRPr="006717B3" w:rsidRDefault="00DC242E" w:rsidP="007348DF">
      <w:pPr>
        <w:pStyle w:val="Caption"/>
        <w:jc w:val="center"/>
        <w:rPr>
          <w:i w:val="0"/>
          <w:iCs w:val="0"/>
          <w:noProof/>
          <w:color w:val="auto"/>
          <w:sz w:val="22"/>
          <w:szCs w:val="22"/>
        </w:rPr>
      </w:pPr>
      <w:bookmarkStart w:id="167" w:name="_Toc66868966"/>
      <w:r w:rsidRPr="006717B3">
        <w:rPr>
          <w:rFonts w:ascii="Arial" w:hAnsi="Arial" w:cs="Arial"/>
          <w:color w:val="auto"/>
          <w:sz w:val="22"/>
          <w:szCs w:val="22"/>
        </w:rPr>
        <w:t xml:space="preserve">Figure </w:t>
      </w:r>
      <w:r w:rsidRPr="006717B3">
        <w:rPr>
          <w:rFonts w:ascii="Arial" w:hAnsi="Arial" w:cs="Arial"/>
          <w:color w:val="auto"/>
          <w:sz w:val="22"/>
          <w:szCs w:val="22"/>
        </w:rPr>
        <w:fldChar w:fldCharType="begin"/>
      </w:r>
      <w:r w:rsidRPr="006717B3">
        <w:rPr>
          <w:rFonts w:ascii="Arial" w:hAnsi="Arial" w:cs="Arial"/>
          <w:color w:val="auto"/>
          <w:sz w:val="22"/>
          <w:szCs w:val="22"/>
        </w:rPr>
        <w:instrText xml:space="preserve"> SEQ Figure \* ARABIC </w:instrText>
      </w:r>
      <w:r w:rsidRPr="006717B3">
        <w:rPr>
          <w:rFonts w:ascii="Arial" w:hAnsi="Arial" w:cs="Arial"/>
          <w:color w:val="auto"/>
          <w:sz w:val="22"/>
          <w:szCs w:val="22"/>
        </w:rPr>
        <w:fldChar w:fldCharType="separate"/>
      </w:r>
      <w:r w:rsidR="0063178E" w:rsidRPr="006717B3">
        <w:rPr>
          <w:rFonts w:ascii="Arial" w:hAnsi="Arial" w:cs="Arial"/>
          <w:noProof/>
          <w:color w:val="auto"/>
          <w:sz w:val="22"/>
          <w:szCs w:val="22"/>
        </w:rPr>
        <w:t>14</w:t>
      </w:r>
      <w:r w:rsidRPr="006717B3">
        <w:rPr>
          <w:rFonts w:ascii="Arial" w:hAnsi="Arial" w:cs="Arial"/>
          <w:color w:val="auto"/>
          <w:sz w:val="22"/>
          <w:szCs w:val="22"/>
        </w:rPr>
        <w:fldChar w:fldCharType="end"/>
      </w:r>
      <w:r w:rsidRPr="006717B3">
        <w:rPr>
          <w:rFonts w:ascii="Arial" w:hAnsi="Arial" w:cs="Arial"/>
          <w:color w:val="auto"/>
          <w:sz w:val="22"/>
          <w:szCs w:val="22"/>
        </w:rPr>
        <w:t xml:space="preserve"> - </w:t>
      </w:r>
      <w:r w:rsidR="00E20B69" w:rsidRPr="006717B3">
        <w:rPr>
          <w:rFonts w:ascii="Arial" w:hAnsi="Arial" w:cs="Arial"/>
          <w:color w:val="auto"/>
          <w:sz w:val="22"/>
          <w:szCs w:val="22"/>
        </w:rPr>
        <w:t>Bridge</w:t>
      </w:r>
      <w:r w:rsidRPr="006717B3">
        <w:rPr>
          <w:rFonts w:ascii="Arial" w:hAnsi="Arial" w:cs="Arial"/>
          <w:color w:val="auto"/>
          <w:sz w:val="22"/>
          <w:szCs w:val="22"/>
        </w:rPr>
        <w:t xml:space="preserve"> Condition (Unplanned Re-active)</w:t>
      </w:r>
      <w:bookmarkEnd w:id="167"/>
    </w:p>
    <w:p w14:paraId="62A15A30" w14:textId="59A92AB0" w:rsidR="0024761B" w:rsidRDefault="00247DF9" w:rsidP="00AF2ED7">
      <w:pPr>
        <w:spacing w:line="360" w:lineRule="auto"/>
        <w:rPr>
          <w:rFonts w:ascii="Arial" w:hAnsi="Arial" w:cs="Arial"/>
          <w:lang w:eastAsia="en-GB"/>
        </w:rPr>
      </w:pPr>
      <w:r>
        <w:rPr>
          <w:rFonts w:ascii="Arial" w:hAnsi="Arial" w:cs="Arial"/>
          <w:lang w:eastAsia="en-GB"/>
        </w:rPr>
        <w:t xml:space="preserve">In the </w:t>
      </w:r>
      <w:r w:rsidR="00C14164">
        <w:rPr>
          <w:rFonts w:ascii="Arial" w:hAnsi="Arial" w:cs="Arial"/>
          <w:lang w:eastAsia="en-GB"/>
        </w:rPr>
        <w:t>unplanned reactive</w:t>
      </w:r>
      <w:r w:rsidR="00AF2ED7">
        <w:rPr>
          <w:rFonts w:ascii="Arial" w:hAnsi="Arial" w:cs="Arial"/>
          <w:lang w:eastAsia="en-GB"/>
        </w:rPr>
        <w:t xml:space="preserve"> maintenance strategy, t</w:t>
      </w:r>
      <w:r w:rsidR="00AF2ED7" w:rsidRPr="00B97DE1">
        <w:rPr>
          <w:rFonts w:ascii="Arial" w:hAnsi="Arial" w:cs="Arial"/>
          <w:lang w:eastAsia="en-GB"/>
        </w:rPr>
        <w:t xml:space="preserve">he  overall condition (BCIav) </w:t>
      </w:r>
      <w:r w:rsidR="00AF2ED7">
        <w:rPr>
          <w:rFonts w:ascii="Arial" w:hAnsi="Arial" w:cs="Arial"/>
          <w:lang w:eastAsia="en-GB"/>
        </w:rPr>
        <w:t>varies</w:t>
      </w:r>
      <w:r w:rsidR="00AF2ED7" w:rsidRPr="00B97DE1">
        <w:rPr>
          <w:rFonts w:ascii="Arial" w:hAnsi="Arial" w:cs="Arial"/>
          <w:lang w:eastAsia="en-GB"/>
        </w:rPr>
        <w:t xml:space="preserve"> </w:t>
      </w:r>
      <w:r w:rsidR="00AF2ED7">
        <w:rPr>
          <w:rFonts w:ascii="Arial" w:hAnsi="Arial" w:cs="Arial"/>
          <w:lang w:eastAsia="en-GB"/>
        </w:rPr>
        <w:t>from a</w:t>
      </w:r>
      <w:r w:rsidR="00AF2ED7" w:rsidRPr="00B97DE1">
        <w:rPr>
          <w:rFonts w:ascii="Arial" w:hAnsi="Arial" w:cs="Arial"/>
          <w:lang w:eastAsia="en-GB"/>
        </w:rPr>
        <w:t xml:space="preserve"> good </w:t>
      </w:r>
      <w:r w:rsidR="00AF2ED7">
        <w:rPr>
          <w:rFonts w:ascii="Arial" w:hAnsi="Arial" w:cs="Arial"/>
          <w:lang w:eastAsia="en-GB"/>
        </w:rPr>
        <w:t xml:space="preserve">to </w:t>
      </w:r>
      <w:r w:rsidR="00671232">
        <w:rPr>
          <w:rFonts w:ascii="Arial" w:hAnsi="Arial" w:cs="Arial"/>
          <w:lang w:eastAsia="en-GB"/>
        </w:rPr>
        <w:t>poor</w:t>
      </w:r>
      <w:r w:rsidR="00AF2ED7">
        <w:rPr>
          <w:rFonts w:ascii="Arial" w:hAnsi="Arial" w:cs="Arial"/>
          <w:lang w:eastAsia="en-GB"/>
        </w:rPr>
        <w:t xml:space="preserve"> </w:t>
      </w:r>
      <w:r w:rsidR="00AF2ED7" w:rsidRPr="00B97DE1">
        <w:rPr>
          <w:rFonts w:ascii="Arial" w:hAnsi="Arial" w:cs="Arial"/>
          <w:lang w:eastAsia="en-GB"/>
        </w:rPr>
        <w:t xml:space="preserve">condition throughout the analysis period </w:t>
      </w:r>
      <w:r w:rsidR="00AF2ED7">
        <w:rPr>
          <w:rFonts w:ascii="Arial" w:hAnsi="Arial" w:cs="Arial"/>
          <w:lang w:eastAsia="en-GB"/>
        </w:rPr>
        <w:t xml:space="preserve">with a low score of </w:t>
      </w:r>
      <w:r w:rsidR="00833B21">
        <w:rPr>
          <w:rFonts w:ascii="Arial" w:hAnsi="Arial" w:cs="Arial"/>
          <w:lang w:eastAsia="en-GB"/>
        </w:rPr>
        <w:t>58.31</w:t>
      </w:r>
      <w:r w:rsidR="00AF2ED7">
        <w:rPr>
          <w:rFonts w:ascii="Arial" w:hAnsi="Arial" w:cs="Arial"/>
          <w:lang w:eastAsia="en-GB"/>
        </w:rPr>
        <w:t>%</w:t>
      </w:r>
      <w:r w:rsidR="00B95993">
        <w:rPr>
          <w:rFonts w:ascii="Arial" w:hAnsi="Arial" w:cs="Arial"/>
          <w:lang w:eastAsia="en-GB"/>
        </w:rPr>
        <w:t>; and t</w:t>
      </w:r>
      <w:r w:rsidR="00AF2ED7">
        <w:rPr>
          <w:rFonts w:ascii="Arial" w:hAnsi="Arial" w:cs="Arial"/>
          <w:lang w:eastAsia="en-GB"/>
        </w:rPr>
        <w:t xml:space="preserve">he </w:t>
      </w:r>
      <w:r w:rsidR="00AF2ED7" w:rsidRPr="00B97DE1">
        <w:rPr>
          <w:rFonts w:ascii="Arial" w:hAnsi="Arial" w:cs="Arial"/>
          <w:lang w:eastAsia="en-GB"/>
        </w:rPr>
        <w:t xml:space="preserve">condition of critical elements (BCI crit) </w:t>
      </w:r>
      <w:r w:rsidR="00AF2ED7">
        <w:rPr>
          <w:rFonts w:ascii="Arial" w:hAnsi="Arial" w:cs="Arial"/>
          <w:lang w:eastAsia="en-GB"/>
        </w:rPr>
        <w:t xml:space="preserve">varies from a very good condition to a </w:t>
      </w:r>
      <w:r w:rsidR="001A6DF6">
        <w:rPr>
          <w:rFonts w:ascii="Arial" w:hAnsi="Arial" w:cs="Arial"/>
          <w:lang w:eastAsia="en-GB"/>
        </w:rPr>
        <w:t xml:space="preserve">very </w:t>
      </w:r>
      <w:r w:rsidR="00AF2ED7">
        <w:rPr>
          <w:rFonts w:ascii="Arial" w:hAnsi="Arial" w:cs="Arial"/>
          <w:lang w:eastAsia="en-GB"/>
        </w:rPr>
        <w:t xml:space="preserve">poor condition with a low score of </w:t>
      </w:r>
      <w:r w:rsidR="001A6DF6">
        <w:rPr>
          <w:rFonts w:ascii="Arial" w:hAnsi="Arial" w:cs="Arial"/>
          <w:lang w:eastAsia="en-GB"/>
        </w:rPr>
        <w:t>9.72</w:t>
      </w:r>
      <w:r w:rsidR="00AF2ED7">
        <w:rPr>
          <w:rFonts w:ascii="Arial" w:hAnsi="Arial" w:cs="Arial"/>
          <w:lang w:eastAsia="en-GB"/>
        </w:rPr>
        <w:t>%.</w:t>
      </w:r>
    </w:p>
    <w:p w14:paraId="2C803449" w14:textId="5386A47E" w:rsidR="00250338" w:rsidRDefault="00250338" w:rsidP="00F02363">
      <w:pPr>
        <w:pStyle w:val="Heading1"/>
        <w:numPr>
          <w:ilvl w:val="0"/>
          <w:numId w:val="0"/>
        </w:numPr>
        <w:spacing w:after="240"/>
        <w:ind w:left="432" w:hanging="432"/>
        <w:jc w:val="both"/>
        <w:rPr>
          <w:rFonts w:ascii="Arial" w:eastAsia="Times New Roman" w:hAnsi="Arial" w:cs="Arial"/>
          <w:b/>
          <w:bCs/>
          <w:color w:val="auto"/>
          <w:sz w:val="28"/>
          <w:szCs w:val="28"/>
          <w:lang w:eastAsia="en-GB"/>
        </w:rPr>
      </w:pPr>
      <w:bookmarkStart w:id="168" w:name="_Toc66868926"/>
      <w:r w:rsidRPr="00C87B8D">
        <w:rPr>
          <w:rFonts w:ascii="Arial" w:eastAsia="Times New Roman" w:hAnsi="Arial" w:cs="Arial"/>
          <w:b/>
          <w:bCs/>
          <w:color w:val="auto"/>
          <w:sz w:val="28"/>
          <w:szCs w:val="28"/>
          <w:lang w:eastAsia="en-GB"/>
        </w:rPr>
        <w:t xml:space="preserve">Chapter </w:t>
      </w:r>
      <w:r w:rsidR="00922FE8">
        <w:rPr>
          <w:rFonts w:ascii="Arial" w:eastAsia="Times New Roman" w:hAnsi="Arial" w:cs="Arial"/>
          <w:b/>
          <w:bCs/>
          <w:color w:val="auto"/>
          <w:sz w:val="28"/>
          <w:szCs w:val="28"/>
          <w:lang w:eastAsia="en-GB"/>
        </w:rPr>
        <w:t>7</w:t>
      </w:r>
      <w:r w:rsidRPr="00C87B8D">
        <w:rPr>
          <w:rFonts w:ascii="Arial" w:eastAsia="Times New Roman" w:hAnsi="Arial" w:cs="Arial"/>
          <w:b/>
          <w:bCs/>
          <w:color w:val="auto"/>
          <w:sz w:val="28"/>
          <w:szCs w:val="28"/>
          <w:lang w:eastAsia="en-GB"/>
        </w:rPr>
        <w:t xml:space="preserve">: </w:t>
      </w:r>
      <w:r w:rsidR="00510203">
        <w:rPr>
          <w:rFonts w:ascii="Arial" w:eastAsia="Times New Roman" w:hAnsi="Arial" w:cs="Arial"/>
          <w:b/>
          <w:bCs/>
          <w:color w:val="auto"/>
          <w:sz w:val="28"/>
          <w:szCs w:val="28"/>
          <w:lang w:eastAsia="en-GB"/>
        </w:rPr>
        <w:t>Discussion</w:t>
      </w:r>
      <w:bookmarkEnd w:id="168"/>
    </w:p>
    <w:p w14:paraId="24358DB7" w14:textId="77777777" w:rsidR="00922FE8" w:rsidRPr="00922FE8" w:rsidRDefault="00922FE8" w:rsidP="00922FE8">
      <w:pPr>
        <w:pStyle w:val="ListParagraph"/>
        <w:keepNext/>
        <w:keepLines/>
        <w:numPr>
          <w:ilvl w:val="0"/>
          <w:numId w:val="37"/>
        </w:numPr>
        <w:spacing w:before="240" w:after="0"/>
        <w:contextualSpacing w:val="0"/>
        <w:outlineLvl w:val="0"/>
        <w:rPr>
          <w:rFonts w:asciiTheme="majorHAnsi" w:eastAsiaTheme="majorEastAsia" w:hAnsiTheme="majorHAnsi" w:cstheme="majorBidi"/>
          <w:vanish/>
          <w:color w:val="1A0FA4" w:themeColor="accent1" w:themeShade="BF"/>
          <w:sz w:val="32"/>
          <w:szCs w:val="32"/>
        </w:rPr>
      </w:pPr>
      <w:bookmarkStart w:id="169" w:name="_Toc66636489"/>
      <w:bookmarkStart w:id="170" w:name="_Toc66868927"/>
      <w:bookmarkEnd w:id="169"/>
      <w:bookmarkEnd w:id="170"/>
    </w:p>
    <w:p w14:paraId="2A56C9C2" w14:textId="77777777" w:rsidR="00922FE8" w:rsidRPr="00922FE8" w:rsidRDefault="00922FE8" w:rsidP="00922FE8">
      <w:pPr>
        <w:pStyle w:val="ListParagraph"/>
        <w:keepNext/>
        <w:keepLines/>
        <w:numPr>
          <w:ilvl w:val="0"/>
          <w:numId w:val="3"/>
        </w:numPr>
        <w:spacing w:before="240" w:after="0"/>
        <w:contextualSpacing w:val="0"/>
        <w:outlineLvl w:val="0"/>
        <w:rPr>
          <w:rFonts w:asciiTheme="majorHAnsi" w:eastAsiaTheme="majorEastAsia" w:hAnsiTheme="majorHAnsi" w:cstheme="majorBidi"/>
          <w:vanish/>
          <w:color w:val="1A0FA4" w:themeColor="accent1" w:themeShade="BF"/>
          <w:sz w:val="32"/>
          <w:szCs w:val="32"/>
        </w:rPr>
      </w:pPr>
      <w:bookmarkStart w:id="171" w:name="_Toc66636490"/>
      <w:bookmarkStart w:id="172" w:name="_Toc66868928"/>
      <w:bookmarkEnd w:id="171"/>
      <w:bookmarkEnd w:id="172"/>
    </w:p>
    <w:p w14:paraId="75B45255" w14:textId="77777777" w:rsidR="00922FE8" w:rsidRPr="00922FE8" w:rsidRDefault="00922FE8" w:rsidP="00922FE8">
      <w:pPr>
        <w:pStyle w:val="ListParagraph"/>
        <w:keepNext/>
        <w:keepLines/>
        <w:numPr>
          <w:ilvl w:val="0"/>
          <w:numId w:val="3"/>
        </w:numPr>
        <w:spacing w:before="240" w:after="0"/>
        <w:contextualSpacing w:val="0"/>
        <w:outlineLvl w:val="0"/>
        <w:rPr>
          <w:rFonts w:asciiTheme="majorHAnsi" w:eastAsiaTheme="majorEastAsia" w:hAnsiTheme="majorHAnsi" w:cstheme="majorBidi"/>
          <w:vanish/>
          <w:color w:val="1A0FA4" w:themeColor="accent1" w:themeShade="BF"/>
          <w:sz w:val="32"/>
          <w:szCs w:val="32"/>
        </w:rPr>
      </w:pPr>
      <w:bookmarkStart w:id="173" w:name="_Toc66636491"/>
      <w:bookmarkStart w:id="174" w:name="_Toc66868929"/>
      <w:bookmarkEnd w:id="173"/>
      <w:bookmarkEnd w:id="174"/>
    </w:p>
    <w:p w14:paraId="7EE95E8C" w14:textId="77777777" w:rsidR="00922FE8" w:rsidRPr="00922FE8" w:rsidRDefault="00922FE8" w:rsidP="00922FE8">
      <w:pPr>
        <w:pStyle w:val="ListParagraph"/>
        <w:keepNext/>
        <w:keepLines/>
        <w:numPr>
          <w:ilvl w:val="0"/>
          <w:numId w:val="3"/>
        </w:numPr>
        <w:spacing w:before="240" w:after="0"/>
        <w:contextualSpacing w:val="0"/>
        <w:outlineLvl w:val="0"/>
        <w:rPr>
          <w:rFonts w:asciiTheme="majorHAnsi" w:eastAsiaTheme="majorEastAsia" w:hAnsiTheme="majorHAnsi" w:cstheme="majorBidi"/>
          <w:vanish/>
          <w:color w:val="1A0FA4" w:themeColor="accent1" w:themeShade="BF"/>
          <w:sz w:val="32"/>
          <w:szCs w:val="32"/>
        </w:rPr>
      </w:pPr>
      <w:bookmarkStart w:id="175" w:name="_Toc66636492"/>
      <w:bookmarkStart w:id="176" w:name="_Toc66868930"/>
      <w:bookmarkEnd w:id="175"/>
      <w:bookmarkEnd w:id="176"/>
    </w:p>
    <w:p w14:paraId="128F5D0B" w14:textId="77777777" w:rsidR="00922FE8" w:rsidRPr="00922FE8" w:rsidRDefault="00922FE8" w:rsidP="00922FE8">
      <w:pPr>
        <w:pStyle w:val="ListParagraph"/>
        <w:keepNext/>
        <w:keepLines/>
        <w:numPr>
          <w:ilvl w:val="0"/>
          <w:numId w:val="3"/>
        </w:numPr>
        <w:spacing w:before="240" w:after="0"/>
        <w:contextualSpacing w:val="0"/>
        <w:outlineLvl w:val="0"/>
        <w:rPr>
          <w:rFonts w:asciiTheme="majorHAnsi" w:eastAsiaTheme="majorEastAsia" w:hAnsiTheme="majorHAnsi" w:cstheme="majorBidi"/>
          <w:vanish/>
          <w:color w:val="1A0FA4" w:themeColor="accent1" w:themeShade="BF"/>
          <w:sz w:val="32"/>
          <w:szCs w:val="32"/>
        </w:rPr>
      </w:pPr>
      <w:bookmarkStart w:id="177" w:name="_Toc66636493"/>
      <w:bookmarkStart w:id="178" w:name="_Toc66868931"/>
      <w:bookmarkEnd w:id="177"/>
      <w:bookmarkEnd w:id="178"/>
    </w:p>
    <w:p w14:paraId="5FAFD783" w14:textId="77777777" w:rsidR="00922FE8" w:rsidRPr="00922FE8" w:rsidRDefault="00922FE8" w:rsidP="00922FE8">
      <w:pPr>
        <w:pStyle w:val="ListParagraph"/>
        <w:keepNext/>
        <w:keepLines/>
        <w:numPr>
          <w:ilvl w:val="0"/>
          <w:numId w:val="3"/>
        </w:numPr>
        <w:spacing w:before="240" w:after="0"/>
        <w:contextualSpacing w:val="0"/>
        <w:outlineLvl w:val="0"/>
        <w:rPr>
          <w:rFonts w:asciiTheme="majorHAnsi" w:eastAsiaTheme="majorEastAsia" w:hAnsiTheme="majorHAnsi" w:cstheme="majorBidi"/>
          <w:vanish/>
          <w:color w:val="1A0FA4" w:themeColor="accent1" w:themeShade="BF"/>
          <w:sz w:val="32"/>
          <w:szCs w:val="32"/>
        </w:rPr>
      </w:pPr>
      <w:bookmarkStart w:id="179" w:name="_Toc66636494"/>
      <w:bookmarkStart w:id="180" w:name="_Toc66868932"/>
      <w:bookmarkEnd w:id="179"/>
      <w:bookmarkEnd w:id="180"/>
    </w:p>
    <w:p w14:paraId="278602A3" w14:textId="77777777" w:rsidR="00922FE8" w:rsidRPr="00922FE8" w:rsidRDefault="00922FE8" w:rsidP="00922FE8">
      <w:pPr>
        <w:pStyle w:val="ListParagraph"/>
        <w:keepNext/>
        <w:keepLines/>
        <w:numPr>
          <w:ilvl w:val="0"/>
          <w:numId w:val="3"/>
        </w:numPr>
        <w:spacing w:before="240" w:after="0"/>
        <w:contextualSpacing w:val="0"/>
        <w:outlineLvl w:val="0"/>
        <w:rPr>
          <w:rFonts w:asciiTheme="majorHAnsi" w:eastAsiaTheme="majorEastAsia" w:hAnsiTheme="majorHAnsi" w:cstheme="majorBidi"/>
          <w:vanish/>
          <w:color w:val="1A0FA4" w:themeColor="accent1" w:themeShade="BF"/>
          <w:sz w:val="32"/>
          <w:szCs w:val="32"/>
        </w:rPr>
      </w:pPr>
      <w:bookmarkStart w:id="181" w:name="_Toc66636495"/>
      <w:bookmarkStart w:id="182" w:name="_Toc66868933"/>
      <w:bookmarkEnd w:id="181"/>
      <w:bookmarkEnd w:id="182"/>
    </w:p>
    <w:p w14:paraId="60B84DFB" w14:textId="0546076F" w:rsidR="00922FE8" w:rsidRPr="00C02C8F" w:rsidRDefault="00922FE8" w:rsidP="00C02C8F">
      <w:pPr>
        <w:pStyle w:val="Heading2"/>
        <w:spacing w:after="240"/>
        <w:rPr>
          <w:rFonts w:ascii="Arial" w:hAnsi="Arial" w:cs="Arial"/>
          <w:b/>
          <w:bCs/>
          <w:color w:val="auto"/>
          <w:sz w:val="24"/>
          <w:szCs w:val="24"/>
          <w:lang w:eastAsia="en-GB"/>
        </w:rPr>
      </w:pPr>
      <w:bookmarkStart w:id="183" w:name="_Toc66868934"/>
      <w:r w:rsidRPr="00C02C8F">
        <w:rPr>
          <w:rFonts w:ascii="Arial" w:hAnsi="Arial" w:cs="Arial"/>
          <w:b/>
          <w:bCs/>
          <w:color w:val="auto"/>
          <w:sz w:val="24"/>
          <w:szCs w:val="24"/>
          <w:lang w:eastAsia="en-GB"/>
        </w:rPr>
        <w:t>General</w:t>
      </w:r>
      <w:bookmarkEnd w:id="183"/>
    </w:p>
    <w:p w14:paraId="08E4D15E" w14:textId="77777777" w:rsidR="0091052B" w:rsidRDefault="0091052B" w:rsidP="0091052B">
      <w:pPr>
        <w:spacing w:after="240" w:line="360" w:lineRule="auto"/>
        <w:jc w:val="both"/>
        <w:rPr>
          <w:rFonts w:ascii="Arial" w:hAnsi="Arial" w:cs="Arial"/>
        </w:rPr>
      </w:pPr>
      <w:r>
        <w:rPr>
          <w:rFonts w:ascii="Arial" w:hAnsi="Arial" w:cs="Arial"/>
          <w:lang w:eastAsia="en-GB"/>
        </w:rPr>
        <w:t xml:space="preserve">The net present value (‘NPV’) which represents all the monetised benefits and disbenefits was significantly lower using a planned preventative strategy, therefore this would be the preferred strategy for the bridge. </w:t>
      </w:r>
      <w:r>
        <w:rPr>
          <w:rFonts w:ascii="Arial" w:hAnsi="Arial" w:cs="Arial"/>
        </w:rPr>
        <w:t xml:space="preserve">The scheme costs are the direct costs incurred by the local authority. Therefore, budget requirements can be determined by taking the non-discounted scheme costs occurring in each year and inflating the costs using the appropriate index.   </w:t>
      </w:r>
    </w:p>
    <w:p w14:paraId="4D40CADB" w14:textId="6E4D7994" w:rsidR="0091052B" w:rsidRPr="00C02C8F" w:rsidRDefault="0091052B" w:rsidP="00C02C8F">
      <w:pPr>
        <w:pStyle w:val="Heading2"/>
        <w:spacing w:after="240"/>
        <w:rPr>
          <w:rFonts w:ascii="Arial" w:hAnsi="Arial" w:cs="Arial"/>
          <w:b/>
          <w:bCs/>
          <w:color w:val="auto"/>
          <w:sz w:val="24"/>
          <w:szCs w:val="24"/>
          <w:lang w:eastAsia="en-GB"/>
        </w:rPr>
      </w:pPr>
      <w:bookmarkStart w:id="184" w:name="_Toc66868935"/>
      <w:r w:rsidRPr="00C02C8F">
        <w:rPr>
          <w:rFonts w:ascii="Arial" w:hAnsi="Arial" w:cs="Arial"/>
          <w:b/>
          <w:bCs/>
          <w:color w:val="auto"/>
          <w:sz w:val="24"/>
          <w:szCs w:val="24"/>
          <w:lang w:eastAsia="en-GB"/>
        </w:rPr>
        <w:t>Maintenance Costs</w:t>
      </w:r>
      <w:bookmarkEnd w:id="184"/>
    </w:p>
    <w:p w14:paraId="4404C1CF" w14:textId="77777777" w:rsidR="00E65050" w:rsidRDefault="0091052B" w:rsidP="0091052B">
      <w:pPr>
        <w:spacing w:line="360" w:lineRule="auto"/>
        <w:jc w:val="both"/>
        <w:rPr>
          <w:rFonts w:ascii="Arial" w:hAnsi="Arial" w:cs="Arial"/>
          <w:lang w:eastAsia="en-GB"/>
        </w:rPr>
      </w:pPr>
      <w:r>
        <w:rPr>
          <w:rFonts w:ascii="Arial" w:hAnsi="Arial" w:cs="Arial"/>
          <w:lang w:eastAsia="en-GB"/>
        </w:rPr>
        <w:t>From the analysis it is evident that the maintenance costs were lower for the planned preventive maintenanc</w:t>
      </w:r>
      <w:r w:rsidRPr="003E552E">
        <w:rPr>
          <w:rFonts w:ascii="Arial" w:hAnsi="Arial" w:cs="Arial"/>
          <w:lang w:eastAsia="en-GB"/>
        </w:rPr>
        <w:t>e strategy as defects were rectified earlier before they required more costly repairs.</w:t>
      </w:r>
      <w:r w:rsidR="000011BD">
        <w:rPr>
          <w:rFonts w:ascii="Arial" w:hAnsi="Arial" w:cs="Arial"/>
          <w:lang w:eastAsia="en-GB"/>
        </w:rPr>
        <w:t xml:space="preserve"> </w:t>
      </w:r>
    </w:p>
    <w:p w14:paraId="49B306E1" w14:textId="6524727F" w:rsidR="0091052B" w:rsidRDefault="00565EC2" w:rsidP="0091052B">
      <w:pPr>
        <w:spacing w:line="360" w:lineRule="auto"/>
        <w:jc w:val="both"/>
        <w:rPr>
          <w:rFonts w:ascii="Arial" w:hAnsi="Arial" w:cs="Arial"/>
          <w:lang w:eastAsia="en-GB"/>
        </w:rPr>
      </w:pPr>
      <w:r>
        <w:rPr>
          <w:rFonts w:ascii="Arial" w:hAnsi="Arial" w:cs="Arial"/>
          <w:lang w:eastAsia="en-GB"/>
        </w:rPr>
        <w:t>Several</w:t>
      </w:r>
      <w:r w:rsidR="00C42886">
        <w:rPr>
          <w:rFonts w:ascii="Arial" w:hAnsi="Arial" w:cs="Arial"/>
          <w:lang w:eastAsia="en-GB"/>
        </w:rPr>
        <w:t xml:space="preserve"> </w:t>
      </w:r>
      <w:r w:rsidR="000011BD">
        <w:rPr>
          <w:rFonts w:ascii="Arial" w:hAnsi="Arial" w:cs="Arial"/>
          <w:lang w:eastAsia="en-GB"/>
        </w:rPr>
        <w:t xml:space="preserve">elements on </w:t>
      </w:r>
      <w:r w:rsidR="00C10A1D">
        <w:rPr>
          <w:rFonts w:ascii="Arial" w:hAnsi="Arial" w:cs="Arial"/>
          <w:lang w:eastAsia="en-GB"/>
        </w:rPr>
        <w:t>the</w:t>
      </w:r>
      <w:r w:rsidR="000011BD">
        <w:rPr>
          <w:rFonts w:ascii="Arial" w:hAnsi="Arial" w:cs="Arial"/>
          <w:lang w:eastAsia="en-GB"/>
        </w:rPr>
        <w:t xml:space="preserve"> bridge</w:t>
      </w:r>
      <w:r w:rsidR="00BE3B3A">
        <w:rPr>
          <w:rFonts w:ascii="Arial" w:hAnsi="Arial" w:cs="Arial"/>
          <w:lang w:eastAsia="en-GB"/>
        </w:rPr>
        <w:t xml:space="preserve"> have a finite life</w:t>
      </w:r>
      <w:r w:rsidR="005A1505">
        <w:rPr>
          <w:rFonts w:ascii="Arial" w:hAnsi="Arial" w:cs="Arial"/>
          <w:lang w:eastAsia="en-GB"/>
        </w:rPr>
        <w:t xml:space="preserve"> which is less than the design life of the structure</w:t>
      </w:r>
      <w:r w:rsidR="005C549B">
        <w:rPr>
          <w:rFonts w:ascii="Arial" w:hAnsi="Arial" w:cs="Arial"/>
          <w:lang w:eastAsia="en-GB"/>
        </w:rPr>
        <w:t xml:space="preserve"> (e.g. expansion joints</w:t>
      </w:r>
      <w:r w:rsidR="00505D2B">
        <w:rPr>
          <w:rFonts w:ascii="Arial" w:hAnsi="Arial" w:cs="Arial"/>
          <w:lang w:eastAsia="en-GB"/>
        </w:rPr>
        <w:t>,</w:t>
      </w:r>
      <w:r w:rsidR="005C549B">
        <w:rPr>
          <w:rFonts w:ascii="Arial" w:hAnsi="Arial" w:cs="Arial"/>
          <w:lang w:eastAsia="en-GB"/>
        </w:rPr>
        <w:t xml:space="preserve"> bearings</w:t>
      </w:r>
      <w:r w:rsidR="00505D2B">
        <w:rPr>
          <w:rFonts w:ascii="Arial" w:hAnsi="Arial" w:cs="Arial"/>
          <w:lang w:eastAsia="en-GB"/>
        </w:rPr>
        <w:t>, etc.</w:t>
      </w:r>
      <w:r>
        <w:rPr>
          <w:rFonts w:ascii="Arial" w:hAnsi="Arial" w:cs="Arial"/>
          <w:lang w:eastAsia="en-GB"/>
        </w:rPr>
        <w:t>) and</w:t>
      </w:r>
      <w:r w:rsidR="005C549B">
        <w:rPr>
          <w:rFonts w:ascii="Arial" w:hAnsi="Arial" w:cs="Arial"/>
          <w:lang w:eastAsia="en-GB"/>
        </w:rPr>
        <w:t xml:space="preserve"> </w:t>
      </w:r>
      <w:r>
        <w:rPr>
          <w:rFonts w:ascii="Arial" w:hAnsi="Arial" w:cs="Arial"/>
          <w:lang w:eastAsia="en-GB"/>
        </w:rPr>
        <w:t>require replacement</w:t>
      </w:r>
      <w:r w:rsidR="00C10A1D">
        <w:rPr>
          <w:rFonts w:ascii="Arial" w:hAnsi="Arial" w:cs="Arial"/>
          <w:lang w:eastAsia="en-GB"/>
        </w:rPr>
        <w:t xml:space="preserve"> </w:t>
      </w:r>
      <w:r w:rsidR="005C549B">
        <w:rPr>
          <w:rFonts w:ascii="Arial" w:hAnsi="Arial" w:cs="Arial"/>
          <w:lang w:eastAsia="en-GB"/>
        </w:rPr>
        <w:t xml:space="preserve">during the </w:t>
      </w:r>
      <w:r>
        <w:rPr>
          <w:rFonts w:ascii="Arial" w:hAnsi="Arial" w:cs="Arial"/>
          <w:lang w:eastAsia="en-GB"/>
        </w:rPr>
        <w:t>service</w:t>
      </w:r>
      <w:r w:rsidR="00E80F9B">
        <w:rPr>
          <w:rFonts w:ascii="Arial" w:hAnsi="Arial" w:cs="Arial"/>
          <w:lang w:eastAsia="en-GB"/>
        </w:rPr>
        <w:t xml:space="preserve"> </w:t>
      </w:r>
      <w:r w:rsidR="00EE59B4">
        <w:rPr>
          <w:rFonts w:ascii="Arial" w:hAnsi="Arial" w:cs="Arial"/>
          <w:lang w:eastAsia="en-GB"/>
        </w:rPr>
        <w:t>life of the bridge</w:t>
      </w:r>
      <w:r w:rsidR="00C42886">
        <w:rPr>
          <w:rFonts w:ascii="Arial" w:hAnsi="Arial" w:cs="Arial"/>
          <w:lang w:eastAsia="en-GB"/>
        </w:rPr>
        <w:t>.</w:t>
      </w:r>
      <w:r w:rsidR="000B4533">
        <w:rPr>
          <w:rFonts w:ascii="Arial" w:hAnsi="Arial" w:cs="Arial"/>
          <w:lang w:eastAsia="en-GB"/>
        </w:rPr>
        <w:t xml:space="preserve"> </w:t>
      </w:r>
      <w:r w:rsidR="0078033A">
        <w:rPr>
          <w:rFonts w:ascii="Arial" w:hAnsi="Arial" w:cs="Arial"/>
          <w:lang w:eastAsia="en-GB"/>
        </w:rPr>
        <w:t>There are also a number of defects that if not rectified</w:t>
      </w:r>
      <w:r w:rsidR="00FD4505">
        <w:rPr>
          <w:rFonts w:ascii="Arial" w:hAnsi="Arial" w:cs="Arial"/>
          <w:lang w:eastAsia="en-GB"/>
        </w:rPr>
        <w:t xml:space="preserve"> will</w:t>
      </w:r>
      <w:r w:rsidR="0078033A">
        <w:rPr>
          <w:rFonts w:ascii="Arial" w:hAnsi="Arial" w:cs="Arial"/>
          <w:lang w:eastAsia="en-GB"/>
        </w:rPr>
        <w:t xml:space="preserve"> </w:t>
      </w:r>
      <w:r w:rsidR="00FD4505">
        <w:rPr>
          <w:rFonts w:ascii="Arial" w:hAnsi="Arial" w:cs="Arial"/>
          <w:lang w:eastAsia="en-GB"/>
        </w:rPr>
        <w:t>affect</w:t>
      </w:r>
      <w:r w:rsidR="00995313">
        <w:rPr>
          <w:rFonts w:ascii="Arial" w:hAnsi="Arial" w:cs="Arial"/>
          <w:lang w:eastAsia="en-GB"/>
        </w:rPr>
        <w:t xml:space="preserve"> the long</w:t>
      </w:r>
      <w:r w:rsidR="008D42E1">
        <w:rPr>
          <w:rFonts w:ascii="Arial" w:hAnsi="Arial" w:cs="Arial"/>
          <w:lang w:eastAsia="en-GB"/>
        </w:rPr>
        <w:t>-</w:t>
      </w:r>
      <w:r w:rsidR="00995313">
        <w:rPr>
          <w:rFonts w:ascii="Arial" w:hAnsi="Arial" w:cs="Arial"/>
          <w:lang w:eastAsia="en-GB"/>
        </w:rPr>
        <w:t xml:space="preserve">term durability of the structure. For example, </w:t>
      </w:r>
      <w:r w:rsidR="008D42E1">
        <w:rPr>
          <w:rFonts w:ascii="Arial" w:hAnsi="Arial" w:cs="Arial"/>
          <w:lang w:eastAsia="en-GB"/>
        </w:rPr>
        <w:t>l</w:t>
      </w:r>
      <w:r w:rsidR="000B4533">
        <w:rPr>
          <w:rFonts w:ascii="Arial" w:hAnsi="Arial" w:cs="Arial"/>
          <w:lang w:eastAsia="en-GB"/>
        </w:rPr>
        <w:t>eaking expansion joints</w:t>
      </w:r>
      <w:r w:rsidR="00995313">
        <w:rPr>
          <w:rFonts w:ascii="Arial" w:hAnsi="Arial" w:cs="Arial"/>
          <w:lang w:eastAsia="en-GB"/>
        </w:rPr>
        <w:t xml:space="preserve">, blocked </w:t>
      </w:r>
      <w:r w:rsidR="00253C8D">
        <w:rPr>
          <w:rFonts w:ascii="Arial" w:hAnsi="Arial" w:cs="Arial"/>
          <w:lang w:eastAsia="en-GB"/>
        </w:rPr>
        <w:t>drainage,</w:t>
      </w:r>
      <w:r w:rsidR="00995313">
        <w:rPr>
          <w:rFonts w:ascii="Arial" w:hAnsi="Arial" w:cs="Arial"/>
          <w:lang w:eastAsia="en-GB"/>
        </w:rPr>
        <w:t xml:space="preserve"> or</w:t>
      </w:r>
      <w:r w:rsidR="000B4533">
        <w:rPr>
          <w:rFonts w:ascii="Arial" w:hAnsi="Arial" w:cs="Arial"/>
          <w:lang w:eastAsia="en-GB"/>
        </w:rPr>
        <w:t xml:space="preserve"> impairment of the waterproofing membrane</w:t>
      </w:r>
      <w:r w:rsidR="00995313">
        <w:rPr>
          <w:rFonts w:ascii="Arial" w:hAnsi="Arial" w:cs="Arial"/>
          <w:lang w:eastAsia="en-GB"/>
        </w:rPr>
        <w:t>.</w:t>
      </w:r>
      <w:r w:rsidR="00BA78B6">
        <w:rPr>
          <w:rFonts w:ascii="Arial" w:hAnsi="Arial" w:cs="Arial"/>
          <w:lang w:eastAsia="en-GB"/>
        </w:rPr>
        <w:t xml:space="preserve"> </w:t>
      </w:r>
      <w:r w:rsidR="00D46334">
        <w:rPr>
          <w:rFonts w:ascii="Arial" w:hAnsi="Arial" w:cs="Arial"/>
          <w:lang w:eastAsia="en-GB"/>
        </w:rPr>
        <w:t xml:space="preserve">If these defects are not </w:t>
      </w:r>
      <w:r w:rsidR="000E144E">
        <w:rPr>
          <w:rFonts w:ascii="Arial" w:hAnsi="Arial" w:cs="Arial"/>
          <w:lang w:eastAsia="en-GB"/>
        </w:rPr>
        <w:t>rectified</w:t>
      </w:r>
      <w:r w:rsidR="00495D5A">
        <w:rPr>
          <w:rFonts w:ascii="Arial" w:hAnsi="Arial" w:cs="Arial"/>
          <w:lang w:eastAsia="en-GB"/>
        </w:rPr>
        <w:t>,</w:t>
      </w:r>
      <w:r w:rsidR="000E144E">
        <w:rPr>
          <w:rFonts w:ascii="Arial" w:hAnsi="Arial" w:cs="Arial"/>
          <w:lang w:eastAsia="en-GB"/>
        </w:rPr>
        <w:t xml:space="preserve"> </w:t>
      </w:r>
      <w:r w:rsidR="00AB567C">
        <w:rPr>
          <w:rFonts w:ascii="Arial" w:hAnsi="Arial" w:cs="Arial"/>
          <w:lang w:eastAsia="en-GB"/>
        </w:rPr>
        <w:t>chloride</w:t>
      </w:r>
      <w:r w:rsidR="005767BC">
        <w:rPr>
          <w:rFonts w:ascii="Arial" w:hAnsi="Arial" w:cs="Arial"/>
          <w:lang w:eastAsia="en-GB"/>
        </w:rPr>
        <w:t>-ion</w:t>
      </w:r>
      <w:r w:rsidR="00AB567C">
        <w:rPr>
          <w:rFonts w:ascii="Arial" w:hAnsi="Arial" w:cs="Arial"/>
          <w:lang w:eastAsia="en-GB"/>
        </w:rPr>
        <w:t xml:space="preserve"> </w:t>
      </w:r>
      <w:r w:rsidR="005767BC">
        <w:rPr>
          <w:rFonts w:ascii="Arial" w:hAnsi="Arial" w:cs="Arial"/>
          <w:lang w:eastAsia="en-GB"/>
        </w:rPr>
        <w:t>contaminated</w:t>
      </w:r>
      <w:r w:rsidR="00AB567C">
        <w:rPr>
          <w:rFonts w:ascii="Arial" w:hAnsi="Arial" w:cs="Arial"/>
          <w:lang w:eastAsia="en-GB"/>
        </w:rPr>
        <w:t xml:space="preserve"> water will </w:t>
      </w:r>
      <w:r w:rsidR="00494AD0">
        <w:rPr>
          <w:rFonts w:ascii="Arial" w:hAnsi="Arial" w:cs="Arial"/>
          <w:lang w:eastAsia="en-GB"/>
        </w:rPr>
        <w:t xml:space="preserve">accelerate deterioration to </w:t>
      </w:r>
      <w:r w:rsidR="00495D5A">
        <w:rPr>
          <w:rFonts w:ascii="Arial" w:hAnsi="Arial" w:cs="Arial"/>
          <w:lang w:eastAsia="en-GB"/>
        </w:rPr>
        <w:t>the bridge deck and substructure elements and result in more costly r</w:t>
      </w:r>
      <w:r w:rsidR="00F72A1A">
        <w:rPr>
          <w:rFonts w:ascii="Arial" w:hAnsi="Arial" w:cs="Arial"/>
          <w:lang w:eastAsia="en-GB"/>
        </w:rPr>
        <w:t xml:space="preserve">epairs. </w:t>
      </w:r>
      <w:r w:rsidR="00E30406">
        <w:rPr>
          <w:rFonts w:ascii="Arial" w:hAnsi="Arial" w:cs="Arial"/>
          <w:lang w:eastAsia="en-GB"/>
        </w:rPr>
        <w:t xml:space="preserve"> </w:t>
      </w:r>
      <w:r w:rsidR="008E76BF">
        <w:rPr>
          <w:rFonts w:ascii="Arial" w:hAnsi="Arial" w:cs="Arial"/>
          <w:lang w:eastAsia="en-GB"/>
        </w:rPr>
        <w:t xml:space="preserve">This is </w:t>
      </w:r>
      <w:r w:rsidR="00920163">
        <w:rPr>
          <w:rFonts w:ascii="Arial" w:hAnsi="Arial" w:cs="Arial"/>
          <w:lang w:eastAsia="en-GB"/>
        </w:rPr>
        <w:t>evidenced</w:t>
      </w:r>
      <w:r w:rsidR="00BC02F4">
        <w:rPr>
          <w:rFonts w:ascii="Arial" w:hAnsi="Arial" w:cs="Arial"/>
          <w:lang w:eastAsia="en-GB"/>
        </w:rPr>
        <w:t xml:space="preserve"> by the </w:t>
      </w:r>
      <w:r w:rsidR="003D3644">
        <w:rPr>
          <w:rFonts w:ascii="Arial" w:hAnsi="Arial" w:cs="Arial"/>
          <w:lang w:eastAsia="en-GB"/>
        </w:rPr>
        <w:t>poorer</w:t>
      </w:r>
      <w:r w:rsidR="005B58F6">
        <w:rPr>
          <w:rFonts w:ascii="Arial" w:hAnsi="Arial" w:cs="Arial"/>
          <w:lang w:eastAsia="en-GB"/>
        </w:rPr>
        <w:t xml:space="preserve"> condition thresholds prior to conducting maintenance </w:t>
      </w:r>
      <w:r w:rsidR="001118AE">
        <w:rPr>
          <w:rFonts w:ascii="Arial" w:hAnsi="Arial" w:cs="Arial"/>
          <w:lang w:eastAsia="en-GB"/>
        </w:rPr>
        <w:t xml:space="preserve">using an unplanned reactive maintenance strategy </w:t>
      </w:r>
      <w:r w:rsidR="003D3644">
        <w:rPr>
          <w:rFonts w:ascii="Arial" w:hAnsi="Arial" w:cs="Arial"/>
          <w:lang w:eastAsia="en-GB"/>
        </w:rPr>
        <w:t xml:space="preserve">and </w:t>
      </w:r>
      <w:r w:rsidR="001118AE">
        <w:rPr>
          <w:rFonts w:ascii="Arial" w:hAnsi="Arial" w:cs="Arial"/>
          <w:lang w:eastAsia="en-GB"/>
        </w:rPr>
        <w:t xml:space="preserve">the </w:t>
      </w:r>
      <w:r w:rsidR="00920163">
        <w:rPr>
          <w:rFonts w:ascii="Arial" w:hAnsi="Arial" w:cs="Arial"/>
          <w:lang w:eastAsia="en-GB"/>
        </w:rPr>
        <w:t xml:space="preserve">higher </w:t>
      </w:r>
      <w:r w:rsidR="003D3644">
        <w:rPr>
          <w:rFonts w:ascii="Arial" w:hAnsi="Arial" w:cs="Arial"/>
          <w:lang w:eastAsia="en-GB"/>
        </w:rPr>
        <w:t xml:space="preserve">overall </w:t>
      </w:r>
      <w:r w:rsidR="00920163">
        <w:rPr>
          <w:rFonts w:ascii="Arial" w:hAnsi="Arial" w:cs="Arial"/>
          <w:lang w:eastAsia="en-GB"/>
        </w:rPr>
        <w:t>expenditure.</w:t>
      </w:r>
    </w:p>
    <w:p w14:paraId="741BBEFA" w14:textId="77777777" w:rsidR="0091052B" w:rsidRPr="00C02C8F" w:rsidRDefault="0091052B" w:rsidP="00C02C8F">
      <w:pPr>
        <w:pStyle w:val="Heading2"/>
        <w:spacing w:after="240"/>
        <w:rPr>
          <w:rFonts w:ascii="Arial" w:hAnsi="Arial" w:cs="Arial"/>
          <w:b/>
          <w:bCs/>
          <w:color w:val="auto"/>
          <w:sz w:val="24"/>
          <w:szCs w:val="24"/>
          <w:lang w:eastAsia="en-GB"/>
        </w:rPr>
      </w:pPr>
      <w:bookmarkStart w:id="185" w:name="_Toc66868936"/>
      <w:r w:rsidRPr="00C02C8F">
        <w:rPr>
          <w:rFonts w:ascii="Arial" w:hAnsi="Arial" w:cs="Arial"/>
          <w:b/>
          <w:bCs/>
          <w:color w:val="auto"/>
          <w:sz w:val="24"/>
          <w:szCs w:val="24"/>
          <w:lang w:eastAsia="en-GB"/>
        </w:rPr>
        <w:t>Traffic Delays</w:t>
      </w:r>
      <w:bookmarkEnd w:id="185"/>
    </w:p>
    <w:p w14:paraId="7362BC3E" w14:textId="5BA07130" w:rsidR="00CA33DB" w:rsidRDefault="0091052B" w:rsidP="00F21C7A">
      <w:pPr>
        <w:spacing w:line="360" w:lineRule="auto"/>
        <w:jc w:val="both"/>
        <w:rPr>
          <w:rFonts w:ascii="Arial" w:hAnsi="Arial" w:cs="Arial"/>
          <w:lang w:eastAsia="en-GB"/>
        </w:rPr>
      </w:pPr>
      <w:r>
        <w:rPr>
          <w:rFonts w:ascii="Arial" w:hAnsi="Arial" w:cs="Arial"/>
          <w:lang w:eastAsia="en-GB"/>
        </w:rPr>
        <w:t>Traffic delay</w:t>
      </w:r>
      <w:r w:rsidR="00C86EDB">
        <w:rPr>
          <w:rFonts w:ascii="Arial" w:hAnsi="Arial" w:cs="Arial"/>
          <w:lang w:eastAsia="en-GB"/>
        </w:rPr>
        <w:t>s</w:t>
      </w:r>
      <w:r>
        <w:rPr>
          <w:rFonts w:ascii="Arial" w:hAnsi="Arial" w:cs="Arial"/>
          <w:lang w:eastAsia="en-GB"/>
        </w:rPr>
        <w:t xml:space="preserve"> </w:t>
      </w:r>
      <w:r w:rsidR="008C6DBF">
        <w:rPr>
          <w:rFonts w:ascii="Arial" w:hAnsi="Arial" w:cs="Arial"/>
          <w:lang w:eastAsia="en-GB"/>
        </w:rPr>
        <w:t xml:space="preserve">for the planned preventive maintenance strategy </w:t>
      </w:r>
      <w:r>
        <w:rPr>
          <w:rFonts w:ascii="Arial" w:hAnsi="Arial" w:cs="Arial"/>
          <w:lang w:eastAsia="en-GB"/>
        </w:rPr>
        <w:t xml:space="preserve">were considerably lower, as maintenance was undertaken to prevent severe deterioration to elements of </w:t>
      </w:r>
      <w:r w:rsidR="00B4406D">
        <w:rPr>
          <w:rFonts w:ascii="Arial" w:hAnsi="Arial" w:cs="Arial"/>
          <w:lang w:eastAsia="en-GB"/>
        </w:rPr>
        <w:t xml:space="preserve">very </w:t>
      </w:r>
      <w:r>
        <w:rPr>
          <w:rFonts w:ascii="Arial" w:hAnsi="Arial" w:cs="Arial"/>
          <w:lang w:eastAsia="en-GB"/>
        </w:rPr>
        <w:t>high importance</w:t>
      </w:r>
      <w:r w:rsidR="00DD7E17">
        <w:rPr>
          <w:rFonts w:ascii="Arial" w:hAnsi="Arial" w:cs="Arial"/>
          <w:lang w:eastAsia="en-GB"/>
        </w:rPr>
        <w:t xml:space="preserve"> (key structural elements)</w:t>
      </w:r>
      <w:r w:rsidR="005E700B">
        <w:rPr>
          <w:rFonts w:ascii="Arial" w:hAnsi="Arial" w:cs="Arial"/>
          <w:lang w:eastAsia="en-GB"/>
        </w:rPr>
        <w:t xml:space="preserve">. </w:t>
      </w:r>
      <w:r w:rsidR="00D40F3C">
        <w:rPr>
          <w:rFonts w:ascii="Arial" w:hAnsi="Arial" w:cs="Arial"/>
          <w:lang w:eastAsia="en-GB"/>
        </w:rPr>
        <w:t>D</w:t>
      </w:r>
      <w:r w:rsidR="00AA4648">
        <w:rPr>
          <w:rFonts w:ascii="Arial" w:hAnsi="Arial" w:cs="Arial"/>
          <w:lang w:eastAsia="en-GB"/>
        </w:rPr>
        <w:t xml:space="preserve">eterioration to </w:t>
      </w:r>
      <w:r w:rsidR="00D40F3C">
        <w:rPr>
          <w:rFonts w:ascii="Arial" w:hAnsi="Arial" w:cs="Arial"/>
          <w:lang w:eastAsia="en-GB"/>
        </w:rPr>
        <w:t xml:space="preserve">key structural </w:t>
      </w:r>
      <w:r w:rsidR="00AA4648">
        <w:rPr>
          <w:rFonts w:ascii="Arial" w:hAnsi="Arial" w:cs="Arial"/>
          <w:lang w:eastAsia="en-GB"/>
        </w:rPr>
        <w:t xml:space="preserve">elements would </w:t>
      </w:r>
      <w:r w:rsidR="00D40F3C">
        <w:rPr>
          <w:rFonts w:ascii="Arial" w:hAnsi="Arial" w:cs="Arial"/>
          <w:lang w:eastAsia="en-GB"/>
        </w:rPr>
        <w:t xml:space="preserve">eventually </w:t>
      </w:r>
      <w:r w:rsidR="00AA4648">
        <w:rPr>
          <w:rFonts w:ascii="Arial" w:hAnsi="Arial" w:cs="Arial"/>
          <w:lang w:eastAsia="en-GB"/>
        </w:rPr>
        <w:t>impact the</w:t>
      </w:r>
      <w:r>
        <w:rPr>
          <w:rFonts w:ascii="Arial" w:hAnsi="Arial" w:cs="Arial"/>
          <w:lang w:eastAsia="en-GB"/>
        </w:rPr>
        <w:t xml:space="preserve"> load carrying capacity of the bridge </w:t>
      </w:r>
      <w:r w:rsidR="00A14619">
        <w:rPr>
          <w:rFonts w:ascii="Arial" w:hAnsi="Arial" w:cs="Arial"/>
          <w:lang w:eastAsia="en-GB"/>
        </w:rPr>
        <w:t>and subsequently result in traffic restrictions</w:t>
      </w:r>
      <w:r w:rsidR="00586C56">
        <w:rPr>
          <w:rFonts w:ascii="Arial" w:hAnsi="Arial" w:cs="Arial"/>
          <w:lang w:eastAsia="en-GB"/>
        </w:rPr>
        <w:t xml:space="preserve"> being implemented on the structure to safeguard road users.</w:t>
      </w:r>
      <w:r w:rsidR="00D40F3C">
        <w:rPr>
          <w:rFonts w:ascii="Arial" w:hAnsi="Arial" w:cs="Arial"/>
          <w:lang w:eastAsia="en-GB"/>
        </w:rPr>
        <w:t xml:space="preserve"> </w:t>
      </w:r>
      <w:r w:rsidR="00EC1394">
        <w:rPr>
          <w:rFonts w:ascii="Arial" w:hAnsi="Arial" w:cs="Arial"/>
          <w:lang w:eastAsia="en-GB"/>
        </w:rPr>
        <w:t>In the unplanned re</w:t>
      </w:r>
      <w:r w:rsidR="0089352C">
        <w:rPr>
          <w:rFonts w:ascii="Arial" w:hAnsi="Arial" w:cs="Arial"/>
          <w:lang w:eastAsia="en-GB"/>
        </w:rPr>
        <w:t>-</w:t>
      </w:r>
      <w:r w:rsidR="00EC1394">
        <w:rPr>
          <w:rFonts w:ascii="Arial" w:hAnsi="Arial" w:cs="Arial"/>
          <w:lang w:eastAsia="en-GB"/>
        </w:rPr>
        <w:t xml:space="preserve">active </w:t>
      </w:r>
      <w:r w:rsidR="00CA33DB">
        <w:rPr>
          <w:rFonts w:ascii="Arial" w:hAnsi="Arial" w:cs="Arial"/>
          <w:lang w:eastAsia="en-GB"/>
        </w:rPr>
        <w:t>maintenance strategy,</w:t>
      </w:r>
      <w:r w:rsidR="00226176">
        <w:rPr>
          <w:rFonts w:ascii="Arial" w:hAnsi="Arial" w:cs="Arial"/>
          <w:lang w:eastAsia="en-GB"/>
        </w:rPr>
        <w:t xml:space="preserve"> </w:t>
      </w:r>
      <w:r w:rsidR="00103AA1">
        <w:rPr>
          <w:rFonts w:ascii="Arial" w:hAnsi="Arial" w:cs="Arial"/>
          <w:lang w:eastAsia="en-GB"/>
        </w:rPr>
        <w:t xml:space="preserve">the condition of </w:t>
      </w:r>
      <w:r w:rsidR="002F603D">
        <w:rPr>
          <w:rFonts w:ascii="Arial" w:hAnsi="Arial" w:cs="Arial"/>
          <w:lang w:eastAsia="en-GB"/>
        </w:rPr>
        <w:t xml:space="preserve">at least one </w:t>
      </w:r>
      <w:r w:rsidR="00103AA1">
        <w:rPr>
          <w:rFonts w:ascii="Arial" w:hAnsi="Arial" w:cs="Arial"/>
          <w:lang w:eastAsia="en-GB"/>
        </w:rPr>
        <w:t xml:space="preserve">element of very high importance </w:t>
      </w:r>
      <w:r w:rsidR="00CA33DB">
        <w:rPr>
          <w:rFonts w:ascii="Arial" w:hAnsi="Arial" w:cs="Arial"/>
          <w:lang w:eastAsia="en-GB"/>
        </w:rPr>
        <w:t xml:space="preserve">was frequently </w:t>
      </w:r>
      <w:r w:rsidR="006716FD">
        <w:rPr>
          <w:rFonts w:ascii="Arial" w:hAnsi="Arial" w:cs="Arial"/>
          <w:lang w:eastAsia="en-GB"/>
        </w:rPr>
        <w:t>in a very poor condition</w:t>
      </w:r>
      <w:r w:rsidR="00F82B61">
        <w:rPr>
          <w:rFonts w:ascii="Arial" w:hAnsi="Arial" w:cs="Arial"/>
          <w:lang w:eastAsia="en-GB"/>
        </w:rPr>
        <w:t>,</w:t>
      </w:r>
      <w:r w:rsidR="006716FD">
        <w:rPr>
          <w:rFonts w:ascii="Arial" w:hAnsi="Arial" w:cs="Arial"/>
          <w:lang w:eastAsia="en-GB"/>
        </w:rPr>
        <w:t xml:space="preserve"> which </w:t>
      </w:r>
      <w:r w:rsidR="0089352C">
        <w:rPr>
          <w:rFonts w:ascii="Arial" w:hAnsi="Arial" w:cs="Arial"/>
          <w:lang w:eastAsia="en-GB"/>
        </w:rPr>
        <w:t xml:space="preserve">meant traffic </w:t>
      </w:r>
      <w:r w:rsidR="00C636F4">
        <w:rPr>
          <w:rFonts w:ascii="Arial" w:hAnsi="Arial" w:cs="Arial"/>
          <w:lang w:eastAsia="en-GB"/>
        </w:rPr>
        <w:t>restrictions</w:t>
      </w:r>
      <w:r w:rsidR="0089352C">
        <w:rPr>
          <w:rFonts w:ascii="Arial" w:hAnsi="Arial" w:cs="Arial"/>
          <w:lang w:eastAsia="en-GB"/>
        </w:rPr>
        <w:t xml:space="preserve"> were </w:t>
      </w:r>
      <w:r w:rsidR="00C636F4">
        <w:rPr>
          <w:rFonts w:ascii="Arial" w:hAnsi="Arial" w:cs="Arial"/>
          <w:lang w:eastAsia="en-GB"/>
        </w:rPr>
        <w:t>imposed on a regular basis</w:t>
      </w:r>
      <w:r w:rsidR="009913FD">
        <w:rPr>
          <w:rFonts w:ascii="Arial" w:hAnsi="Arial" w:cs="Arial"/>
          <w:lang w:eastAsia="en-GB"/>
        </w:rPr>
        <w:t>.</w:t>
      </w:r>
      <w:r w:rsidR="00873861">
        <w:rPr>
          <w:rFonts w:ascii="Arial" w:hAnsi="Arial" w:cs="Arial"/>
          <w:lang w:eastAsia="en-GB"/>
        </w:rPr>
        <w:t xml:space="preserve"> </w:t>
      </w:r>
    </w:p>
    <w:p w14:paraId="7A6CDCDA" w14:textId="190566D3" w:rsidR="007E5FB6" w:rsidRPr="00C02C8F" w:rsidRDefault="007E5FB6" w:rsidP="00C02C8F">
      <w:pPr>
        <w:pStyle w:val="Heading2"/>
        <w:spacing w:after="240"/>
        <w:rPr>
          <w:rFonts w:ascii="Arial" w:hAnsi="Arial" w:cs="Arial"/>
          <w:b/>
          <w:bCs/>
          <w:sz w:val="24"/>
          <w:szCs w:val="24"/>
          <w:lang w:eastAsia="en-GB"/>
        </w:rPr>
      </w:pPr>
      <w:bookmarkStart w:id="186" w:name="_Toc66636499"/>
      <w:bookmarkStart w:id="187" w:name="_Toc66636500"/>
      <w:bookmarkStart w:id="188" w:name="_Toc66636501"/>
      <w:bookmarkStart w:id="189" w:name="_Toc66636502"/>
      <w:bookmarkStart w:id="190" w:name="_Toc66636503"/>
      <w:bookmarkStart w:id="191" w:name="_Toc66636504"/>
      <w:bookmarkStart w:id="192" w:name="_Toc66868937"/>
      <w:bookmarkEnd w:id="186"/>
      <w:bookmarkEnd w:id="187"/>
      <w:bookmarkEnd w:id="188"/>
      <w:bookmarkEnd w:id="189"/>
      <w:bookmarkEnd w:id="190"/>
      <w:bookmarkEnd w:id="191"/>
      <w:r w:rsidRPr="00C02C8F">
        <w:rPr>
          <w:rFonts w:ascii="Arial" w:hAnsi="Arial" w:cs="Arial"/>
          <w:b/>
          <w:bCs/>
          <w:color w:val="auto"/>
          <w:sz w:val="24"/>
          <w:szCs w:val="24"/>
          <w:lang w:eastAsia="en-GB"/>
        </w:rPr>
        <w:t>C</w:t>
      </w:r>
      <w:r w:rsidR="00E34B7D" w:rsidRPr="00C02C8F">
        <w:rPr>
          <w:rFonts w:ascii="Arial" w:hAnsi="Arial" w:cs="Arial"/>
          <w:b/>
          <w:bCs/>
          <w:color w:val="auto"/>
          <w:sz w:val="24"/>
          <w:szCs w:val="24"/>
          <w:lang w:eastAsia="en-GB"/>
        </w:rPr>
        <w:t>O2</w:t>
      </w:r>
      <w:r w:rsidRPr="00C02C8F">
        <w:rPr>
          <w:rFonts w:ascii="Arial" w:hAnsi="Arial" w:cs="Arial"/>
          <w:b/>
          <w:bCs/>
          <w:color w:val="auto"/>
          <w:sz w:val="24"/>
          <w:szCs w:val="24"/>
          <w:lang w:eastAsia="en-GB"/>
        </w:rPr>
        <w:t xml:space="preserve"> Emissions</w:t>
      </w:r>
      <w:bookmarkEnd w:id="192"/>
    </w:p>
    <w:p w14:paraId="1113E083" w14:textId="6792A51E" w:rsidR="00E50C57" w:rsidRDefault="00E50C57" w:rsidP="00E50C57">
      <w:pPr>
        <w:spacing w:line="360" w:lineRule="auto"/>
        <w:jc w:val="both"/>
        <w:rPr>
          <w:rFonts w:ascii="Arial" w:hAnsi="Arial" w:cs="Arial"/>
        </w:rPr>
      </w:pPr>
      <w:r>
        <w:rPr>
          <w:rFonts w:ascii="Arial" w:hAnsi="Arial" w:cs="Arial"/>
          <w:lang w:eastAsia="en-GB"/>
        </w:rPr>
        <w:t>This study did not include C</w:t>
      </w:r>
      <w:r>
        <w:rPr>
          <w:rFonts w:ascii="Arial" w:hAnsi="Arial" w:cs="Arial"/>
        </w:rPr>
        <w:t>O</w:t>
      </w:r>
      <w:r>
        <w:rPr>
          <w:rFonts w:ascii="Arial" w:hAnsi="Arial" w:cs="Arial"/>
          <w:vertAlign w:val="subscript"/>
        </w:rPr>
        <w:t>2</w:t>
      </w:r>
      <w:r>
        <w:rPr>
          <w:rFonts w:ascii="Arial" w:hAnsi="Arial" w:cs="Arial"/>
        </w:rPr>
        <w:t xml:space="preserve"> emissions due to non-maintenance related restrictions or closures. For example, emergency closures </w:t>
      </w:r>
      <w:r w:rsidRPr="00D04C14">
        <w:rPr>
          <w:rFonts w:ascii="Arial" w:hAnsi="Arial" w:cs="Arial"/>
        </w:rPr>
        <w:t>due the structure becoming unsafe or restrictions due the structure no longer being able to support full highway loading</w:t>
      </w:r>
      <w:r w:rsidR="00C361EB">
        <w:rPr>
          <w:rFonts w:ascii="Arial" w:hAnsi="Arial" w:cs="Arial"/>
        </w:rPr>
        <w:t xml:space="preserve"> due to deterioration of elements of very high importance</w:t>
      </w:r>
      <w:r w:rsidRPr="00D04C14">
        <w:rPr>
          <w:rFonts w:ascii="Arial" w:hAnsi="Arial" w:cs="Arial"/>
        </w:rPr>
        <w:t>.</w:t>
      </w:r>
      <w:r>
        <w:rPr>
          <w:rFonts w:ascii="Arial" w:hAnsi="Arial" w:cs="Arial"/>
        </w:rPr>
        <w:t xml:space="preserve"> If CO</w:t>
      </w:r>
      <w:r>
        <w:rPr>
          <w:rFonts w:ascii="Arial" w:hAnsi="Arial" w:cs="Arial"/>
          <w:vertAlign w:val="subscript"/>
        </w:rPr>
        <w:t>2</w:t>
      </w:r>
      <w:r>
        <w:rPr>
          <w:rFonts w:ascii="Arial" w:hAnsi="Arial" w:cs="Arial"/>
        </w:rPr>
        <w:t xml:space="preserve"> emissions arising from these closures or restrictions were incorporated into the analysis it would </w:t>
      </w:r>
      <w:r w:rsidR="00C361EB">
        <w:rPr>
          <w:rFonts w:ascii="Arial" w:hAnsi="Arial" w:cs="Arial"/>
        </w:rPr>
        <w:t xml:space="preserve">have </w:t>
      </w:r>
      <w:r>
        <w:rPr>
          <w:rFonts w:ascii="Arial" w:hAnsi="Arial" w:cs="Arial"/>
        </w:rPr>
        <w:t>demonstrate</w:t>
      </w:r>
      <w:r w:rsidR="00C361EB">
        <w:rPr>
          <w:rFonts w:ascii="Arial" w:hAnsi="Arial" w:cs="Arial"/>
        </w:rPr>
        <w:t>d</w:t>
      </w:r>
      <w:r>
        <w:rPr>
          <w:rFonts w:ascii="Arial" w:hAnsi="Arial" w:cs="Arial"/>
        </w:rPr>
        <w:t xml:space="preserve"> further CO</w:t>
      </w:r>
      <w:r>
        <w:rPr>
          <w:rFonts w:ascii="Arial" w:hAnsi="Arial" w:cs="Arial"/>
          <w:vertAlign w:val="subscript"/>
        </w:rPr>
        <w:t xml:space="preserve">2 </w:t>
      </w:r>
      <w:r w:rsidRPr="00A23217">
        <w:rPr>
          <w:rFonts w:ascii="Arial" w:hAnsi="Arial" w:cs="Arial"/>
        </w:rPr>
        <w:t>reductions</w:t>
      </w:r>
      <w:r>
        <w:rPr>
          <w:rFonts w:ascii="Arial" w:hAnsi="Arial" w:cs="Arial"/>
        </w:rPr>
        <w:t xml:space="preserve"> using the planned preventive strategy.</w:t>
      </w:r>
    </w:p>
    <w:p w14:paraId="15DEA22F" w14:textId="7DB20A3F" w:rsidR="00EF5639" w:rsidRDefault="002E3D1F" w:rsidP="00EF5639">
      <w:pPr>
        <w:spacing w:after="240" w:line="360" w:lineRule="auto"/>
        <w:jc w:val="both"/>
        <w:rPr>
          <w:rFonts w:ascii="Arial" w:hAnsi="Arial" w:cs="Arial"/>
        </w:rPr>
      </w:pPr>
      <w:r>
        <w:rPr>
          <w:rFonts w:ascii="Arial" w:hAnsi="Arial" w:cs="Arial"/>
        </w:rPr>
        <w:t>E</w:t>
      </w:r>
      <w:r w:rsidR="004F5905">
        <w:rPr>
          <w:rFonts w:ascii="Arial" w:hAnsi="Arial" w:cs="Arial"/>
        </w:rPr>
        <w:t xml:space="preserve">missions emitted from construction </w:t>
      </w:r>
      <w:r w:rsidR="000107BB">
        <w:rPr>
          <w:rFonts w:ascii="Arial" w:hAnsi="Arial" w:cs="Arial"/>
        </w:rPr>
        <w:t xml:space="preserve">represented a higher proportion of the carbon footprint </w:t>
      </w:r>
      <w:r w:rsidR="00BE0636">
        <w:rPr>
          <w:rFonts w:ascii="Arial" w:hAnsi="Arial" w:cs="Arial"/>
        </w:rPr>
        <w:t>of</w:t>
      </w:r>
      <w:r w:rsidR="000107BB">
        <w:rPr>
          <w:rFonts w:ascii="Arial" w:hAnsi="Arial" w:cs="Arial"/>
        </w:rPr>
        <w:t xml:space="preserve"> the structure</w:t>
      </w:r>
      <w:r w:rsidR="00DD7364">
        <w:rPr>
          <w:rFonts w:ascii="Arial" w:hAnsi="Arial" w:cs="Arial"/>
        </w:rPr>
        <w:t xml:space="preserve"> in comparison to emissions from maintenance during the analysis period</w:t>
      </w:r>
      <w:r>
        <w:rPr>
          <w:rFonts w:ascii="Arial" w:hAnsi="Arial" w:cs="Arial"/>
        </w:rPr>
        <w:t xml:space="preserve">. </w:t>
      </w:r>
      <w:r w:rsidR="00C361EB">
        <w:rPr>
          <w:rFonts w:ascii="Arial" w:hAnsi="Arial" w:cs="Arial"/>
        </w:rPr>
        <w:t>However,</w:t>
      </w:r>
      <w:r w:rsidR="00EF5639">
        <w:rPr>
          <w:rFonts w:ascii="Arial" w:hAnsi="Arial" w:cs="Arial"/>
        </w:rPr>
        <w:t xml:space="preserve"> the emissions emitted from maintenance are significant considering that the 100-year analysis period represents the remaining service life of the structure and not the initial 20 years which has already lapsed. This demonstrates that reducing emissions during the operational life of the structure is just as important as reducing emissions during construction. </w:t>
      </w:r>
    </w:p>
    <w:p w14:paraId="0BF81FCD" w14:textId="51A55885" w:rsidR="00EF5639" w:rsidRDefault="009A2B73" w:rsidP="00EF5639">
      <w:pPr>
        <w:spacing w:line="360" w:lineRule="auto"/>
        <w:jc w:val="both"/>
        <w:rPr>
          <w:rFonts w:ascii="Arial" w:hAnsi="Arial" w:cs="Arial"/>
        </w:rPr>
      </w:pPr>
      <w:r>
        <w:rPr>
          <w:rFonts w:ascii="Arial" w:hAnsi="Arial" w:cs="Arial"/>
        </w:rPr>
        <w:t xml:space="preserve">The analysis has </w:t>
      </w:r>
      <w:r w:rsidR="005C3820">
        <w:rPr>
          <w:rFonts w:ascii="Arial" w:hAnsi="Arial" w:cs="Arial"/>
        </w:rPr>
        <w:t xml:space="preserve">also </w:t>
      </w:r>
      <w:r>
        <w:rPr>
          <w:rFonts w:ascii="Arial" w:hAnsi="Arial" w:cs="Arial"/>
        </w:rPr>
        <w:t xml:space="preserve">found that </w:t>
      </w:r>
      <w:r w:rsidR="00881D3C">
        <w:rPr>
          <w:rFonts w:ascii="Arial" w:hAnsi="Arial" w:cs="Arial"/>
        </w:rPr>
        <w:t>the main contributors of CO</w:t>
      </w:r>
      <w:r w:rsidR="00881D3C" w:rsidRPr="003960CC">
        <w:rPr>
          <w:rFonts w:ascii="Arial" w:hAnsi="Arial" w:cs="Arial"/>
          <w:vertAlign w:val="subscript"/>
        </w:rPr>
        <w:t>2</w:t>
      </w:r>
      <w:r w:rsidR="00881D3C">
        <w:rPr>
          <w:rFonts w:ascii="Arial" w:hAnsi="Arial" w:cs="Arial"/>
        </w:rPr>
        <w:t xml:space="preserve"> emissions include the embodied CO</w:t>
      </w:r>
      <w:r w:rsidR="00881D3C" w:rsidRPr="003960CC">
        <w:rPr>
          <w:rFonts w:ascii="Arial" w:hAnsi="Arial" w:cs="Arial"/>
          <w:vertAlign w:val="subscript"/>
        </w:rPr>
        <w:t>2</w:t>
      </w:r>
      <w:r w:rsidR="00881D3C">
        <w:rPr>
          <w:rFonts w:ascii="Arial" w:hAnsi="Arial" w:cs="Arial"/>
        </w:rPr>
        <w:t xml:space="preserve"> from construction materials and CO</w:t>
      </w:r>
      <w:r w:rsidR="00881D3C" w:rsidRPr="003960CC">
        <w:rPr>
          <w:rFonts w:ascii="Arial" w:hAnsi="Arial" w:cs="Arial"/>
          <w:vertAlign w:val="subscript"/>
        </w:rPr>
        <w:t>2</w:t>
      </w:r>
      <w:r w:rsidR="00881D3C">
        <w:rPr>
          <w:rFonts w:ascii="Arial" w:hAnsi="Arial" w:cs="Arial"/>
          <w:vertAlign w:val="subscript"/>
        </w:rPr>
        <w:t xml:space="preserve"> </w:t>
      </w:r>
      <w:r w:rsidR="00881D3C">
        <w:rPr>
          <w:rFonts w:ascii="Arial" w:hAnsi="Arial" w:cs="Arial"/>
        </w:rPr>
        <w:t xml:space="preserve">from construction plant. </w:t>
      </w:r>
      <w:r w:rsidR="00EF5639">
        <w:rPr>
          <w:rFonts w:ascii="Arial" w:hAnsi="Arial" w:cs="Arial"/>
        </w:rPr>
        <w:t xml:space="preserve">Although this contradicts previous research, which indicates that traffic delays would result in a significant contribution to the overall emissions, this presents a more accurate depiction and reflects the shift towards electric vehicles. </w:t>
      </w:r>
    </w:p>
    <w:p w14:paraId="5201078B" w14:textId="23A2B001" w:rsidR="001446DB" w:rsidRPr="00C02C8F" w:rsidRDefault="001446DB" w:rsidP="00C02C8F">
      <w:pPr>
        <w:pStyle w:val="Heading2"/>
        <w:spacing w:after="240"/>
        <w:rPr>
          <w:rFonts w:ascii="Arial" w:hAnsi="Arial" w:cs="Arial"/>
          <w:b/>
          <w:bCs/>
          <w:sz w:val="24"/>
          <w:szCs w:val="24"/>
          <w:lang w:eastAsia="en-GB"/>
        </w:rPr>
      </w:pPr>
      <w:bookmarkStart w:id="193" w:name="_Toc66636506"/>
      <w:bookmarkStart w:id="194" w:name="_Toc66636507"/>
      <w:bookmarkStart w:id="195" w:name="_Toc66868938"/>
      <w:bookmarkEnd w:id="193"/>
      <w:bookmarkEnd w:id="194"/>
      <w:r w:rsidRPr="00C02C8F">
        <w:rPr>
          <w:rFonts w:ascii="Arial" w:hAnsi="Arial" w:cs="Arial"/>
          <w:b/>
          <w:bCs/>
          <w:color w:val="auto"/>
          <w:sz w:val="24"/>
          <w:szCs w:val="24"/>
          <w:lang w:eastAsia="en-GB"/>
        </w:rPr>
        <w:t>Condition</w:t>
      </w:r>
      <w:bookmarkEnd w:id="195"/>
    </w:p>
    <w:p w14:paraId="2A45193F" w14:textId="550838B2" w:rsidR="00800C7F" w:rsidRDefault="00A51DF4" w:rsidP="00F21C7A">
      <w:pPr>
        <w:spacing w:line="360" w:lineRule="auto"/>
        <w:jc w:val="both"/>
        <w:rPr>
          <w:rFonts w:ascii="Arial" w:hAnsi="Arial" w:cs="Arial"/>
        </w:rPr>
      </w:pPr>
      <w:r w:rsidRPr="005D2731">
        <w:rPr>
          <w:rFonts w:ascii="Arial" w:hAnsi="Arial" w:cs="Arial"/>
          <w:lang w:eastAsia="en-GB"/>
        </w:rPr>
        <w:t xml:space="preserve">The condition </w:t>
      </w:r>
      <w:r w:rsidR="00652EE8">
        <w:rPr>
          <w:rFonts w:ascii="Arial" w:hAnsi="Arial" w:cs="Arial"/>
          <w:lang w:eastAsia="en-GB"/>
        </w:rPr>
        <w:t xml:space="preserve">of </w:t>
      </w:r>
      <w:r w:rsidRPr="005D2731">
        <w:rPr>
          <w:rFonts w:ascii="Arial" w:hAnsi="Arial" w:cs="Arial"/>
          <w:lang w:eastAsia="en-GB"/>
        </w:rPr>
        <w:t xml:space="preserve">critical load bearing elements of the bridge using an unplanned re-active maintenance strategy becomes in a very poor condition at several points throughout the analysis period. This means that there would be a high </w:t>
      </w:r>
      <w:r w:rsidRPr="005D2731">
        <w:rPr>
          <w:rFonts w:ascii="Arial" w:hAnsi="Arial" w:cs="Arial"/>
        </w:rPr>
        <w:t xml:space="preserve">risk </w:t>
      </w:r>
      <w:r>
        <w:rPr>
          <w:rFonts w:ascii="Arial" w:hAnsi="Arial" w:cs="Arial"/>
        </w:rPr>
        <w:t xml:space="preserve">to public safety. Furthermore, at the end of the analysis the bridge would likely be unserviceable and require replacement. </w:t>
      </w:r>
      <w:r w:rsidR="004B2013">
        <w:rPr>
          <w:rFonts w:ascii="Arial" w:hAnsi="Arial" w:cs="Arial"/>
        </w:rPr>
        <w:t xml:space="preserve">The bridge may even </w:t>
      </w:r>
      <w:r w:rsidR="00040EB9">
        <w:rPr>
          <w:rFonts w:ascii="Arial" w:hAnsi="Arial" w:cs="Arial"/>
        </w:rPr>
        <w:t xml:space="preserve">need to be decommissioned </w:t>
      </w:r>
      <w:r w:rsidR="009742A5">
        <w:rPr>
          <w:rFonts w:ascii="Arial" w:hAnsi="Arial" w:cs="Arial"/>
        </w:rPr>
        <w:t xml:space="preserve">before the structure has reached it’s intended design life. </w:t>
      </w:r>
      <w:r>
        <w:rPr>
          <w:rFonts w:ascii="Arial" w:hAnsi="Arial" w:cs="Arial"/>
        </w:rPr>
        <w:t xml:space="preserve">Dissimilarly, the overall condition of the structure (BCIav) at the end of the analysis period using a planned preventive maintenance strategy is ‘Good’, which means that there is potential to extend the life of the structure beyond the intended design life of 120 years. The estimated emissions from construction using the carbon calculator </w:t>
      </w:r>
      <w:r w:rsidR="00B0100B">
        <w:rPr>
          <w:rFonts w:ascii="Arial" w:hAnsi="Arial" w:cs="Arial"/>
        </w:rPr>
        <w:t xml:space="preserve">design tool </w:t>
      </w:r>
      <w:r>
        <w:rPr>
          <w:rFonts w:ascii="Arial" w:hAnsi="Arial" w:cs="Arial"/>
        </w:rPr>
        <w:t>equated to approximately 558 tCO</w:t>
      </w:r>
      <w:r>
        <w:rPr>
          <w:rFonts w:ascii="Arial" w:hAnsi="Arial" w:cs="Arial"/>
          <w:vertAlign w:val="subscript"/>
        </w:rPr>
        <w:t>2</w:t>
      </w:r>
      <w:r>
        <w:rPr>
          <w:rFonts w:ascii="Arial" w:hAnsi="Arial" w:cs="Arial"/>
        </w:rPr>
        <w:t>. Therefore, extending the life span of the bridge by a further 15 years would save approximately 70</w:t>
      </w:r>
      <w:r w:rsidRPr="00072C5D">
        <w:rPr>
          <w:rFonts w:ascii="Arial" w:hAnsi="Arial" w:cs="Arial"/>
        </w:rPr>
        <w:t xml:space="preserve"> </w:t>
      </w:r>
      <w:r>
        <w:rPr>
          <w:rFonts w:ascii="Arial" w:hAnsi="Arial" w:cs="Arial"/>
        </w:rPr>
        <w:t>tCO</w:t>
      </w:r>
      <w:r>
        <w:rPr>
          <w:rFonts w:ascii="Arial" w:hAnsi="Arial" w:cs="Arial"/>
          <w:vertAlign w:val="subscript"/>
        </w:rPr>
        <w:t>2</w:t>
      </w:r>
      <w:r>
        <w:rPr>
          <w:rFonts w:ascii="Arial" w:hAnsi="Arial" w:cs="Arial"/>
        </w:rPr>
        <w:t>, excluding the difference in CO</w:t>
      </w:r>
      <w:r>
        <w:rPr>
          <w:rFonts w:ascii="Arial" w:hAnsi="Arial" w:cs="Arial"/>
          <w:vertAlign w:val="subscript"/>
        </w:rPr>
        <w:t xml:space="preserve">2 </w:t>
      </w:r>
      <w:r>
        <w:rPr>
          <w:rFonts w:ascii="Arial" w:hAnsi="Arial" w:cs="Arial"/>
        </w:rPr>
        <w:t>arising from maintenance for that period</w:t>
      </w:r>
      <w:r w:rsidR="00D746A9">
        <w:rPr>
          <w:rFonts w:ascii="Arial" w:hAnsi="Arial" w:cs="Arial"/>
        </w:rPr>
        <w:t xml:space="preserve"> and assuming a like-for-like replacement</w:t>
      </w:r>
      <w:r>
        <w:rPr>
          <w:rFonts w:ascii="Arial" w:hAnsi="Arial" w:cs="Arial"/>
        </w:rPr>
        <w:t xml:space="preserve">. </w:t>
      </w:r>
    </w:p>
    <w:p w14:paraId="3773D5E3" w14:textId="71E13B68" w:rsidR="00BC5210" w:rsidRDefault="00BC5210" w:rsidP="00F21C7A">
      <w:pPr>
        <w:spacing w:line="360" w:lineRule="auto"/>
        <w:jc w:val="both"/>
        <w:rPr>
          <w:rFonts w:ascii="Arial" w:hAnsi="Arial" w:cs="Arial"/>
        </w:rPr>
      </w:pPr>
    </w:p>
    <w:p w14:paraId="68B0EBBB" w14:textId="1E5273F9" w:rsidR="00BC5210" w:rsidRDefault="00BC5210" w:rsidP="00F21C7A">
      <w:pPr>
        <w:spacing w:line="360" w:lineRule="auto"/>
        <w:jc w:val="both"/>
        <w:rPr>
          <w:rFonts w:ascii="Arial" w:hAnsi="Arial" w:cs="Arial"/>
        </w:rPr>
      </w:pPr>
    </w:p>
    <w:p w14:paraId="5C37E17C" w14:textId="1186374E" w:rsidR="00BC5210" w:rsidRDefault="00BC5210" w:rsidP="00F21C7A">
      <w:pPr>
        <w:spacing w:line="360" w:lineRule="auto"/>
        <w:jc w:val="both"/>
        <w:rPr>
          <w:rFonts w:ascii="Arial" w:hAnsi="Arial" w:cs="Arial"/>
        </w:rPr>
      </w:pPr>
    </w:p>
    <w:p w14:paraId="65045EE2" w14:textId="77777777" w:rsidR="00BC5210" w:rsidRDefault="00BC5210" w:rsidP="00F21C7A">
      <w:pPr>
        <w:spacing w:line="360" w:lineRule="auto"/>
        <w:jc w:val="both"/>
        <w:rPr>
          <w:rFonts w:ascii="Arial" w:hAnsi="Arial" w:cs="Arial"/>
        </w:rPr>
      </w:pPr>
    </w:p>
    <w:p w14:paraId="12D1B871" w14:textId="6E473D8F" w:rsidR="00B423E2" w:rsidRDefault="006278F3" w:rsidP="00800C7F">
      <w:pPr>
        <w:pStyle w:val="Heading2"/>
        <w:spacing w:after="240"/>
        <w:rPr>
          <w:rFonts w:ascii="Arial" w:hAnsi="Arial" w:cs="Arial"/>
          <w:b/>
          <w:bCs/>
          <w:color w:val="auto"/>
          <w:sz w:val="24"/>
          <w:szCs w:val="24"/>
          <w:lang w:eastAsia="en-GB"/>
        </w:rPr>
      </w:pPr>
      <w:bookmarkStart w:id="196" w:name="_Toc66636509"/>
      <w:bookmarkStart w:id="197" w:name="_Toc66868939"/>
      <w:bookmarkEnd w:id="196"/>
      <w:r>
        <w:rPr>
          <w:rFonts w:ascii="Arial" w:hAnsi="Arial" w:cs="Arial"/>
          <w:b/>
          <w:bCs/>
          <w:color w:val="auto"/>
          <w:sz w:val="24"/>
          <w:szCs w:val="24"/>
          <w:lang w:eastAsia="en-GB"/>
        </w:rPr>
        <w:t>Accuracy of Results</w:t>
      </w:r>
      <w:bookmarkEnd w:id="197"/>
    </w:p>
    <w:p w14:paraId="650C696A" w14:textId="5598D3B5" w:rsidR="00F56EA0" w:rsidRPr="00BD21DC" w:rsidRDefault="00F56EA0" w:rsidP="00F56EA0">
      <w:pPr>
        <w:pStyle w:val="Heading3"/>
        <w:spacing w:after="240"/>
        <w:rPr>
          <w:rFonts w:cs="Arial"/>
          <w:bCs/>
          <w:color w:val="auto"/>
          <w:sz w:val="22"/>
          <w:szCs w:val="22"/>
        </w:rPr>
      </w:pPr>
      <w:bookmarkStart w:id="198" w:name="_Toc66868940"/>
      <w:r>
        <w:rPr>
          <w:rFonts w:cs="Arial"/>
          <w:bCs/>
          <w:color w:val="auto"/>
          <w:sz w:val="22"/>
          <w:szCs w:val="22"/>
        </w:rPr>
        <w:t>General</w:t>
      </w:r>
      <w:bookmarkEnd w:id="198"/>
    </w:p>
    <w:p w14:paraId="2E601946" w14:textId="15F8B981" w:rsidR="00F56EA0" w:rsidRDefault="00F56EA0" w:rsidP="00F56EA0">
      <w:pPr>
        <w:spacing w:line="360" w:lineRule="auto"/>
        <w:jc w:val="both"/>
        <w:rPr>
          <w:rFonts w:ascii="Arial" w:hAnsi="Arial" w:cs="Arial"/>
          <w:lang w:eastAsia="en-GB"/>
        </w:rPr>
      </w:pPr>
      <w:r>
        <w:rPr>
          <w:rFonts w:ascii="Arial" w:hAnsi="Arial" w:cs="Arial"/>
          <w:lang w:eastAsia="en-GB"/>
        </w:rPr>
        <w:t xml:space="preserve">Although the planned preventive strategy was found to be the preferred option for the bridge, this study only considered two different strategies. Further analysis should be undertaken to consider alternative strategies.  </w:t>
      </w:r>
    </w:p>
    <w:p w14:paraId="385FECA7" w14:textId="3977077A" w:rsidR="007107FD" w:rsidRPr="00C02C8F" w:rsidRDefault="00227D72" w:rsidP="00C02C8F">
      <w:pPr>
        <w:pStyle w:val="Heading3"/>
        <w:spacing w:after="240"/>
        <w:rPr>
          <w:rFonts w:cs="Arial"/>
          <w:bCs/>
          <w:color w:val="auto"/>
          <w:sz w:val="22"/>
          <w:szCs w:val="22"/>
        </w:rPr>
      </w:pPr>
      <w:bookmarkStart w:id="199" w:name="_Toc66868941"/>
      <w:r>
        <w:rPr>
          <w:rFonts w:cs="Arial"/>
          <w:bCs/>
          <w:color w:val="auto"/>
          <w:sz w:val="22"/>
          <w:szCs w:val="22"/>
        </w:rPr>
        <w:t>Maintenance Costs</w:t>
      </w:r>
      <w:bookmarkEnd w:id="199"/>
    </w:p>
    <w:p w14:paraId="21606D1B" w14:textId="05DCE13A" w:rsidR="00A51DF4" w:rsidRDefault="00757369" w:rsidP="00F21C7A">
      <w:pPr>
        <w:spacing w:line="360" w:lineRule="auto"/>
        <w:jc w:val="both"/>
        <w:rPr>
          <w:rFonts w:ascii="Arial" w:hAnsi="Arial" w:cs="Arial"/>
          <w:lang w:eastAsia="en-GB"/>
        </w:rPr>
      </w:pPr>
      <w:r>
        <w:rPr>
          <w:rFonts w:ascii="Arial" w:hAnsi="Arial" w:cs="Arial"/>
        </w:rPr>
        <w:t>T</w:t>
      </w:r>
      <w:r w:rsidR="00A51DF4">
        <w:rPr>
          <w:rFonts w:ascii="Arial" w:hAnsi="Arial" w:cs="Arial"/>
        </w:rPr>
        <w:t xml:space="preserve">he </w:t>
      </w:r>
      <w:r w:rsidR="00A51DF4" w:rsidRPr="009D1EDB">
        <w:rPr>
          <w:rFonts w:ascii="Arial" w:hAnsi="Arial" w:cs="Arial"/>
        </w:rPr>
        <w:t>Structures Asset Valuation and Investment Tool (</w:t>
      </w:r>
      <w:r w:rsidR="00195AD1">
        <w:rPr>
          <w:rFonts w:ascii="Arial" w:hAnsi="Arial" w:cs="Arial"/>
        </w:rPr>
        <w:t>‘</w:t>
      </w:r>
      <w:r w:rsidR="00A51DF4" w:rsidRPr="009D1EDB">
        <w:rPr>
          <w:rFonts w:ascii="Arial" w:hAnsi="Arial" w:cs="Arial"/>
        </w:rPr>
        <w:t>SAVI</w:t>
      </w:r>
      <w:r w:rsidR="00195AD1">
        <w:rPr>
          <w:rFonts w:ascii="Arial" w:hAnsi="Arial" w:cs="Arial"/>
        </w:rPr>
        <w:t>’</w:t>
      </w:r>
      <w:r w:rsidR="00A51DF4" w:rsidRPr="009D1EDB">
        <w:rPr>
          <w:rFonts w:ascii="Arial" w:hAnsi="Arial" w:cs="Arial"/>
        </w:rPr>
        <w:t>)</w:t>
      </w:r>
      <w:r w:rsidR="00A51DF4" w:rsidRPr="002E2D57">
        <w:rPr>
          <w:rFonts w:ascii="Arial" w:hAnsi="Arial" w:cs="Arial"/>
          <w:lang w:eastAsia="en-GB"/>
        </w:rPr>
        <w:t xml:space="preserve"> </w:t>
      </w:r>
      <w:r w:rsidR="00A51DF4">
        <w:rPr>
          <w:rFonts w:ascii="Arial" w:hAnsi="Arial" w:cs="Arial"/>
          <w:lang w:eastAsia="en-GB"/>
        </w:rPr>
        <w:t xml:space="preserve">used in this study </w:t>
      </w:r>
      <w:r w:rsidR="00A51DF4" w:rsidRPr="00A239A9">
        <w:rPr>
          <w:rFonts w:ascii="Arial" w:hAnsi="Arial" w:cs="Arial"/>
          <w:lang w:eastAsia="en-GB"/>
        </w:rPr>
        <w:t>assume</w:t>
      </w:r>
      <w:r w:rsidR="00A51DF4">
        <w:rPr>
          <w:rFonts w:ascii="Arial" w:hAnsi="Arial" w:cs="Arial"/>
          <w:lang w:eastAsia="en-GB"/>
        </w:rPr>
        <w:t>s</w:t>
      </w:r>
      <w:r w:rsidR="00A51DF4" w:rsidRPr="00A239A9">
        <w:rPr>
          <w:rFonts w:ascii="Arial" w:hAnsi="Arial" w:cs="Arial"/>
          <w:lang w:eastAsia="en-GB"/>
        </w:rPr>
        <w:t xml:space="preserve"> that routine maintenance is undertaken</w:t>
      </w:r>
      <w:r w:rsidR="00A51DF4">
        <w:rPr>
          <w:rFonts w:ascii="Arial" w:hAnsi="Arial" w:cs="Arial"/>
          <w:lang w:eastAsia="en-GB"/>
        </w:rPr>
        <w:t xml:space="preserve">. </w:t>
      </w:r>
      <w:r w:rsidR="00A51DF4" w:rsidRPr="00A239A9">
        <w:rPr>
          <w:rFonts w:ascii="Arial" w:hAnsi="Arial" w:cs="Arial"/>
          <w:lang w:eastAsia="en-GB"/>
        </w:rPr>
        <w:t>If routine maintenance is not undertaken, the deterioration rates would be accelerated</w:t>
      </w:r>
      <w:r w:rsidR="00A51DF4">
        <w:rPr>
          <w:rFonts w:ascii="Arial" w:hAnsi="Arial" w:cs="Arial"/>
          <w:lang w:eastAsia="en-GB"/>
        </w:rPr>
        <w:t>, so it is important that local authorities have a sufficient routine maintenance regime in place</w:t>
      </w:r>
      <w:r w:rsidR="00A51DF4" w:rsidRPr="00A239A9">
        <w:rPr>
          <w:rFonts w:ascii="Arial" w:hAnsi="Arial" w:cs="Arial"/>
          <w:lang w:eastAsia="en-GB"/>
        </w:rPr>
        <w:t>.</w:t>
      </w:r>
      <w:r w:rsidR="00A51DF4">
        <w:rPr>
          <w:rFonts w:ascii="Arial" w:hAnsi="Arial" w:cs="Arial"/>
          <w:lang w:eastAsia="en-GB"/>
        </w:rPr>
        <w:t xml:space="preserve"> </w:t>
      </w:r>
      <w:r w:rsidR="005833F2">
        <w:rPr>
          <w:rFonts w:ascii="Arial" w:hAnsi="Arial" w:cs="Arial"/>
          <w:lang w:eastAsia="en-GB"/>
        </w:rPr>
        <w:t>Additionally,</w:t>
      </w:r>
      <w:r w:rsidR="00A51DF4">
        <w:rPr>
          <w:rFonts w:ascii="Arial" w:hAnsi="Arial" w:cs="Arial"/>
          <w:lang w:eastAsia="en-GB"/>
        </w:rPr>
        <w:t xml:space="preserve"> costs for routine maintenance activities (e.g. rodding or jetting drainage or vegetation clearance) are not included, so budget requirements for this would need to be determined separately. Additionally, due to SAVI’s predefined assumptions, only one work pattern </w:t>
      </w:r>
      <w:r w:rsidR="002A0E11">
        <w:rPr>
          <w:rFonts w:ascii="Arial" w:hAnsi="Arial" w:cs="Arial"/>
          <w:lang w:eastAsia="en-GB"/>
        </w:rPr>
        <w:t>(d</w:t>
      </w:r>
      <w:r w:rsidR="00A51DF4">
        <w:rPr>
          <w:rFonts w:ascii="Arial" w:hAnsi="Arial" w:cs="Arial"/>
          <w:lang w:eastAsia="en-GB"/>
        </w:rPr>
        <w:t xml:space="preserve">aytime </w:t>
      </w:r>
      <w:r w:rsidR="002A0E11">
        <w:rPr>
          <w:rFonts w:ascii="Arial" w:hAnsi="Arial" w:cs="Arial"/>
          <w:lang w:eastAsia="en-GB"/>
        </w:rPr>
        <w:t>w</w:t>
      </w:r>
      <w:r w:rsidR="00A51DF4">
        <w:rPr>
          <w:rFonts w:ascii="Arial" w:hAnsi="Arial" w:cs="Arial"/>
          <w:lang w:eastAsia="en-GB"/>
        </w:rPr>
        <w:t>orking</w:t>
      </w:r>
      <w:r w:rsidR="002A0E11">
        <w:rPr>
          <w:rFonts w:ascii="Arial" w:hAnsi="Arial" w:cs="Arial"/>
          <w:lang w:eastAsia="en-GB"/>
        </w:rPr>
        <w:t>)</w:t>
      </w:r>
      <w:r w:rsidR="00A51DF4">
        <w:rPr>
          <w:rFonts w:ascii="Arial" w:hAnsi="Arial" w:cs="Arial"/>
          <w:lang w:eastAsia="en-GB"/>
        </w:rPr>
        <w:t xml:space="preserve"> is utilised when determining the scheme costs. In practice, this will not always be the case, as there are often limitations on the availability of traffic management and railway possessions, which subsequently means that night-time working is more common. Therefore, actual costs may be slightly higher than estimates generated using this tool due to uplifts. </w:t>
      </w:r>
    </w:p>
    <w:p w14:paraId="0B4658BD" w14:textId="68247285" w:rsidR="00A51DF4" w:rsidRDefault="00A51DF4" w:rsidP="00F21C7A">
      <w:pPr>
        <w:spacing w:line="360" w:lineRule="auto"/>
        <w:jc w:val="both"/>
        <w:rPr>
          <w:rFonts w:ascii="Arial" w:hAnsi="Arial" w:cs="Arial"/>
        </w:rPr>
      </w:pPr>
      <w:r>
        <w:rPr>
          <w:rFonts w:ascii="Arial" w:hAnsi="Arial" w:cs="Arial"/>
        </w:rPr>
        <w:t xml:space="preserve">The </w:t>
      </w:r>
      <w:r w:rsidRPr="009D1EDB">
        <w:rPr>
          <w:rFonts w:ascii="Arial" w:hAnsi="Arial" w:cs="Arial"/>
        </w:rPr>
        <w:t>Structures Asset Valuation and Investment Tool (SAVI)</w:t>
      </w:r>
      <w:r>
        <w:rPr>
          <w:rFonts w:ascii="Arial" w:hAnsi="Arial" w:cs="Arial"/>
        </w:rPr>
        <w:t xml:space="preserve"> also excludes some maintenance activities including the application of anti-carbonation coatings and cathodic protection so the effects of these could not be considered in th</w:t>
      </w:r>
      <w:r w:rsidR="00020F9B">
        <w:rPr>
          <w:rFonts w:ascii="Arial" w:hAnsi="Arial" w:cs="Arial"/>
        </w:rPr>
        <w:t>e</w:t>
      </w:r>
      <w:r>
        <w:rPr>
          <w:rFonts w:ascii="Arial" w:hAnsi="Arial" w:cs="Arial"/>
        </w:rPr>
        <w:t xml:space="preserve"> analysis.</w:t>
      </w:r>
    </w:p>
    <w:p w14:paraId="594A3D18" w14:textId="04DAAC05" w:rsidR="00464817" w:rsidRDefault="00464817" w:rsidP="00F21C7A">
      <w:pPr>
        <w:spacing w:line="360" w:lineRule="auto"/>
        <w:jc w:val="both"/>
        <w:rPr>
          <w:rFonts w:ascii="Arial" w:hAnsi="Arial" w:cs="Arial"/>
        </w:rPr>
      </w:pPr>
      <w:r>
        <w:rPr>
          <w:rFonts w:ascii="Arial" w:hAnsi="Arial" w:cs="Arial"/>
          <w:lang w:eastAsia="en-GB"/>
        </w:rPr>
        <w:t>Routine bridge inspections were also excluded from this analysis as it was anticipated that the inspection regime for the structure would not differ from one strategy to another, therefore have no influence on the result. However, it is probable that as the condition of the bridge becomes very poor using an unplanned re-active strategy, more frequent inspection, testing or possibly monitoring may be required which would increase cost and emissions. However, consideration into the cost and emissions as a result of  inspections is likely to be more relevant during design. Bridges that incorporate features such as viewing galleries or access walkways could eliminate the need for road or lane closures, which would have a greater impact on the result of reducing CO</w:t>
      </w:r>
      <w:r w:rsidRPr="00D81281">
        <w:rPr>
          <w:rFonts w:ascii="Arial" w:hAnsi="Arial" w:cs="Arial"/>
          <w:vertAlign w:val="subscript"/>
          <w:lang w:eastAsia="en-GB"/>
        </w:rPr>
        <w:t>2</w:t>
      </w:r>
      <w:r>
        <w:rPr>
          <w:rFonts w:ascii="Arial" w:hAnsi="Arial" w:cs="Arial"/>
          <w:lang w:eastAsia="en-GB"/>
        </w:rPr>
        <w:t xml:space="preserve"> emissions.</w:t>
      </w:r>
    </w:p>
    <w:p w14:paraId="31DA77CF" w14:textId="7E7D695E" w:rsidR="007107FD" w:rsidRPr="00C02C8F" w:rsidRDefault="00EE2110" w:rsidP="00C02C8F">
      <w:pPr>
        <w:pStyle w:val="Heading3"/>
        <w:spacing w:after="240"/>
        <w:rPr>
          <w:rFonts w:cs="Arial"/>
          <w:bCs/>
          <w:color w:val="auto"/>
          <w:sz w:val="22"/>
          <w:szCs w:val="22"/>
        </w:rPr>
      </w:pPr>
      <w:bookmarkStart w:id="200" w:name="_Toc66868942"/>
      <w:r w:rsidRPr="00C02C8F">
        <w:rPr>
          <w:rFonts w:cs="Arial"/>
          <w:bCs/>
          <w:color w:val="auto"/>
          <w:sz w:val="22"/>
          <w:szCs w:val="22"/>
        </w:rPr>
        <w:t>Carbon Emissions</w:t>
      </w:r>
      <w:bookmarkEnd w:id="200"/>
    </w:p>
    <w:p w14:paraId="24C6F96B" w14:textId="02CDF5FD" w:rsidR="00A51DF4" w:rsidRDefault="00A51DF4" w:rsidP="00F21C7A">
      <w:pPr>
        <w:spacing w:line="360" w:lineRule="auto"/>
        <w:jc w:val="both"/>
        <w:rPr>
          <w:rFonts w:ascii="Arial" w:hAnsi="Arial" w:cs="Arial"/>
          <w:lang w:eastAsia="en-GB"/>
        </w:rPr>
      </w:pPr>
      <w:r>
        <w:rPr>
          <w:rFonts w:ascii="Arial" w:hAnsi="Arial" w:cs="Arial"/>
          <w:lang w:eastAsia="en-GB"/>
        </w:rPr>
        <w:t xml:space="preserve">The carbon calculator tool developed by Atkins did not include traffic growth or changes in vehicle emissions over time which is expected as the UK moves towards electric vehicles. Therefore, emissions from vehicles were estimated </w:t>
      </w:r>
      <w:r w:rsidR="00BC5437">
        <w:rPr>
          <w:rFonts w:ascii="Arial" w:hAnsi="Arial" w:cs="Arial"/>
          <w:lang w:eastAsia="en-GB"/>
        </w:rPr>
        <w:t>independently</w:t>
      </w:r>
      <w:r>
        <w:rPr>
          <w:rFonts w:ascii="Arial" w:hAnsi="Arial" w:cs="Arial"/>
          <w:lang w:eastAsia="en-GB"/>
        </w:rPr>
        <w:t xml:space="preserve"> using r</w:t>
      </w:r>
      <w:r w:rsidRPr="00A239A9">
        <w:rPr>
          <w:rFonts w:ascii="Arial" w:hAnsi="Arial" w:cs="Arial"/>
          <w:lang w:eastAsia="en-GB"/>
        </w:rPr>
        <w:t>egional traffic forecasts</w:t>
      </w:r>
      <w:r>
        <w:rPr>
          <w:rFonts w:ascii="Arial" w:hAnsi="Arial" w:cs="Arial"/>
          <w:lang w:eastAsia="en-GB"/>
        </w:rPr>
        <w:t xml:space="preserve">.  Zero vehicle emissions were assumed beyond 2050 as it is envisaged that all vehicles will be fully electric, and the UK’s electricity will be produced from renewable energy sources (e.g. wind turbines). </w:t>
      </w:r>
    </w:p>
    <w:p w14:paraId="005B3E8A" w14:textId="061FE6CE" w:rsidR="00A51DF4" w:rsidRDefault="00A51DF4" w:rsidP="00F21C7A">
      <w:pPr>
        <w:spacing w:line="360" w:lineRule="auto"/>
        <w:jc w:val="both"/>
        <w:rPr>
          <w:rFonts w:ascii="Arial" w:hAnsi="Arial" w:cs="Arial"/>
          <w:lang w:eastAsia="en-GB"/>
        </w:rPr>
      </w:pPr>
      <w:r w:rsidRPr="00A239A9">
        <w:rPr>
          <w:rFonts w:ascii="Arial" w:hAnsi="Arial" w:cs="Arial"/>
          <w:lang w:eastAsia="en-GB"/>
        </w:rPr>
        <w:t xml:space="preserve">Carbon values beyond year 2100 were excluded as UK social values of carbon do not exist </w:t>
      </w:r>
      <w:r>
        <w:rPr>
          <w:rFonts w:ascii="Arial" w:hAnsi="Arial" w:cs="Arial"/>
          <w:lang w:eastAsia="en-GB"/>
        </w:rPr>
        <w:t>further than</w:t>
      </w:r>
      <w:r w:rsidRPr="00A239A9">
        <w:rPr>
          <w:rFonts w:ascii="Arial" w:hAnsi="Arial" w:cs="Arial"/>
          <w:lang w:eastAsia="en-GB"/>
        </w:rPr>
        <w:t xml:space="preserve"> </w:t>
      </w:r>
      <w:r>
        <w:rPr>
          <w:rFonts w:ascii="Arial" w:hAnsi="Arial" w:cs="Arial"/>
          <w:lang w:eastAsia="en-GB"/>
        </w:rPr>
        <w:t>2100</w:t>
      </w:r>
      <w:r w:rsidRPr="00A239A9">
        <w:rPr>
          <w:rFonts w:ascii="Arial" w:hAnsi="Arial" w:cs="Arial"/>
          <w:lang w:eastAsia="en-GB"/>
        </w:rPr>
        <w:t>.</w:t>
      </w:r>
      <w:r>
        <w:rPr>
          <w:rFonts w:ascii="Arial" w:hAnsi="Arial" w:cs="Arial"/>
          <w:lang w:eastAsia="en-GB"/>
        </w:rPr>
        <w:t xml:space="preserve"> This meant that carbon emissions for the last 20 years of the analysis period were not given any </w:t>
      </w:r>
      <w:r w:rsidR="000D749D">
        <w:rPr>
          <w:rFonts w:ascii="Arial" w:hAnsi="Arial" w:cs="Arial"/>
          <w:lang w:eastAsia="en-GB"/>
        </w:rPr>
        <w:t>cost</w:t>
      </w:r>
      <w:r>
        <w:rPr>
          <w:rFonts w:ascii="Arial" w:hAnsi="Arial" w:cs="Arial"/>
          <w:lang w:eastAsia="en-GB"/>
        </w:rPr>
        <w:t>. However, the UK carbon values are reflective of the UK’s current targets which will evolve over time</w:t>
      </w:r>
      <w:r w:rsidR="008D6A9A">
        <w:rPr>
          <w:rFonts w:ascii="Arial" w:hAnsi="Arial" w:cs="Arial"/>
          <w:lang w:eastAsia="en-GB"/>
        </w:rPr>
        <w:t>.</w:t>
      </w:r>
      <w:r>
        <w:rPr>
          <w:rFonts w:ascii="Arial" w:hAnsi="Arial" w:cs="Arial"/>
          <w:lang w:eastAsia="en-GB"/>
        </w:rPr>
        <w:t xml:space="preserve"> </w:t>
      </w:r>
      <w:r w:rsidR="008D6A9A">
        <w:rPr>
          <w:rFonts w:ascii="Arial" w:hAnsi="Arial" w:cs="Arial"/>
          <w:lang w:eastAsia="en-GB"/>
        </w:rPr>
        <w:t>T</w:t>
      </w:r>
      <w:r>
        <w:rPr>
          <w:rFonts w:ascii="Arial" w:hAnsi="Arial" w:cs="Arial"/>
          <w:lang w:eastAsia="en-GB"/>
        </w:rPr>
        <w:t>he maintenance strategy will need to be reviewed if there are any changes in UK carbon values or policies relating to carbon emissions.</w:t>
      </w:r>
      <w:r w:rsidR="00236E40">
        <w:rPr>
          <w:rFonts w:ascii="Arial" w:hAnsi="Arial" w:cs="Arial"/>
          <w:lang w:eastAsia="en-GB"/>
        </w:rPr>
        <w:t xml:space="preserve"> </w:t>
      </w:r>
    </w:p>
    <w:p w14:paraId="724EB33A" w14:textId="54C981A8" w:rsidR="00331A55" w:rsidRDefault="00331A55" w:rsidP="00E6059A">
      <w:pPr>
        <w:spacing w:line="360" w:lineRule="auto"/>
        <w:rPr>
          <w:rFonts w:ascii="Arial" w:hAnsi="Arial" w:cs="Arial"/>
        </w:rPr>
      </w:pPr>
    </w:p>
    <w:p w14:paraId="517FFD58" w14:textId="362707B7" w:rsidR="00331A55" w:rsidRDefault="00331A55" w:rsidP="00E6059A">
      <w:pPr>
        <w:spacing w:line="360" w:lineRule="auto"/>
        <w:rPr>
          <w:rFonts w:ascii="Arial" w:hAnsi="Arial" w:cs="Arial"/>
        </w:rPr>
      </w:pPr>
    </w:p>
    <w:p w14:paraId="125FBCCB" w14:textId="7DDA6BE5" w:rsidR="00331A55" w:rsidRDefault="00331A55" w:rsidP="00E6059A">
      <w:pPr>
        <w:spacing w:line="360" w:lineRule="auto"/>
        <w:rPr>
          <w:rFonts w:ascii="Arial" w:hAnsi="Arial" w:cs="Arial"/>
        </w:rPr>
      </w:pPr>
    </w:p>
    <w:p w14:paraId="3F6A1A37" w14:textId="3CFD7468" w:rsidR="00331A55" w:rsidRDefault="00331A55" w:rsidP="00E6059A">
      <w:pPr>
        <w:spacing w:line="360" w:lineRule="auto"/>
        <w:rPr>
          <w:rFonts w:ascii="Arial" w:hAnsi="Arial" w:cs="Arial"/>
        </w:rPr>
      </w:pPr>
    </w:p>
    <w:p w14:paraId="62679F9C" w14:textId="3C630621" w:rsidR="00150036" w:rsidRDefault="00150036" w:rsidP="00E6059A">
      <w:pPr>
        <w:spacing w:line="360" w:lineRule="auto"/>
        <w:rPr>
          <w:rFonts w:ascii="Arial" w:hAnsi="Arial" w:cs="Arial"/>
        </w:rPr>
      </w:pPr>
    </w:p>
    <w:p w14:paraId="3DEEED64" w14:textId="1215E129" w:rsidR="00150036" w:rsidRDefault="00150036" w:rsidP="00E6059A">
      <w:pPr>
        <w:spacing w:line="360" w:lineRule="auto"/>
        <w:rPr>
          <w:rFonts w:ascii="Arial" w:hAnsi="Arial" w:cs="Arial"/>
        </w:rPr>
      </w:pPr>
    </w:p>
    <w:p w14:paraId="6C6B8E79" w14:textId="7545BB14" w:rsidR="00150036" w:rsidRDefault="00150036" w:rsidP="00E6059A">
      <w:pPr>
        <w:spacing w:line="360" w:lineRule="auto"/>
        <w:rPr>
          <w:rFonts w:ascii="Arial" w:hAnsi="Arial" w:cs="Arial"/>
        </w:rPr>
      </w:pPr>
    </w:p>
    <w:p w14:paraId="0F26E9AD" w14:textId="62DF4B9E" w:rsidR="00150036" w:rsidRDefault="00150036" w:rsidP="00E6059A">
      <w:pPr>
        <w:spacing w:line="360" w:lineRule="auto"/>
        <w:rPr>
          <w:rFonts w:ascii="Arial" w:hAnsi="Arial" w:cs="Arial"/>
        </w:rPr>
      </w:pPr>
    </w:p>
    <w:p w14:paraId="2B64C7F6" w14:textId="545800DB" w:rsidR="00150036" w:rsidRDefault="00150036" w:rsidP="00E6059A">
      <w:pPr>
        <w:spacing w:line="360" w:lineRule="auto"/>
        <w:rPr>
          <w:rFonts w:ascii="Arial" w:hAnsi="Arial" w:cs="Arial"/>
        </w:rPr>
      </w:pPr>
    </w:p>
    <w:p w14:paraId="4F25BF41" w14:textId="7626F774" w:rsidR="00150036" w:rsidRDefault="00150036" w:rsidP="00E6059A">
      <w:pPr>
        <w:spacing w:line="360" w:lineRule="auto"/>
        <w:rPr>
          <w:rFonts w:ascii="Arial" w:hAnsi="Arial" w:cs="Arial"/>
        </w:rPr>
      </w:pPr>
    </w:p>
    <w:p w14:paraId="4FF00AFC" w14:textId="46E24A7A" w:rsidR="00150036" w:rsidRDefault="00150036" w:rsidP="00E6059A">
      <w:pPr>
        <w:spacing w:line="360" w:lineRule="auto"/>
        <w:rPr>
          <w:rFonts w:ascii="Arial" w:hAnsi="Arial" w:cs="Arial"/>
        </w:rPr>
      </w:pPr>
    </w:p>
    <w:p w14:paraId="724FF77E" w14:textId="00D6A06D" w:rsidR="00150036" w:rsidRDefault="00150036" w:rsidP="00E6059A">
      <w:pPr>
        <w:spacing w:line="360" w:lineRule="auto"/>
        <w:rPr>
          <w:rFonts w:ascii="Arial" w:hAnsi="Arial" w:cs="Arial"/>
        </w:rPr>
      </w:pPr>
    </w:p>
    <w:p w14:paraId="44D52E9E" w14:textId="416A4601" w:rsidR="00150036" w:rsidRDefault="00150036" w:rsidP="00E6059A">
      <w:pPr>
        <w:spacing w:line="360" w:lineRule="auto"/>
        <w:rPr>
          <w:rFonts w:ascii="Arial" w:hAnsi="Arial" w:cs="Arial"/>
        </w:rPr>
      </w:pPr>
    </w:p>
    <w:p w14:paraId="250C7B2B" w14:textId="6ADDDC30" w:rsidR="00150036" w:rsidRDefault="00150036" w:rsidP="00E6059A">
      <w:pPr>
        <w:spacing w:line="360" w:lineRule="auto"/>
        <w:rPr>
          <w:rFonts w:ascii="Arial" w:hAnsi="Arial" w:cs="Arial"/>
        </w:rPr>
      </w:pPr>
    </w:p>
    <w:p w14:paraId="5C5506C9" w14:textId="44F235D8" w:rsidR="00150036" w:rsidRDefault="00150036" w:rsidP="00E6059A">
      <w:pPr>
        <w:spacing w:line="360" w:lineRule="auto"/>
        <w:rPr>
          <w:rFonts w:ascii="Arial" w:hAnsi="Arial" w:cs="Arial"/>
        </w:rPr>
      </w:pPr>
    </w:p>
    <w:p w14:paraId="48368673" w14:textId="6B99ECE8" w:rsidR="00150036" w:rsidRDefault="00150036" w:rsidP="00E6059A">
      <w:pPr>
        <w:spacing w:line="360" w:lineRule="auto"/>
        <w:rPr>
          <w:rFonts w:ascii="Arial" w:hAnsi="Arial" w:cs="Arial"/>
        </w:rPr>
      </w:pPr>
    </w:p>
    <w:p w14:paraId="0B226CC8" w14:textId="42B3E8BB" w:rsidR="00BC5210" w:rsidRDefault="00BC5210" w:rsidP="00E6059A">
      <w:pPr>
        <w:spacing w:line="360" w:lineRule="auto"/>
        <w:rPr>
          <w:rFonts w:ascii="Arial" w:hAnsi="Arial" w:cs="Arial"/>
        </w:rPr>
      </w:pPr>
    </w:p>
    <w:p w14:paraId="0AF430FE" w14:textId="77777777" w:rsidR="00BC5210" w:rsidRDefault="00BC5210" w:rsidP="00E6059A">
      <w:pPr>
        <w:spacing w:line="360" w:lineRule="auto"/>
        <w:rPr>
          <w:rFonts w:ascii="Arial" w:hAnsi="Arial" w:cs="Arial"/>
        </w:rPr>
      </w:pPr>
    </w:p>
    <w:p w14:paraId="18E28D69" w14:textId="4657C372" w:rsidR="00331A55" w:rsidRDefault="00331A55" w:rsidP="00E6059A">
      <w:pPr>
        <w:spacing w:line="360" w:lineRule="auto"/>
        <w:rPr>
          <w:rFonts w:ascii="Arial" w:hAnsi="Arial" w:cs="Arial"/>
        </w:rPr>
      </w:pPr>
    </w:p>
    <w:p w14:paraId="2FF1BF23" w14:textId="683E6992" w:rsidR="00331A55" w:rsidRDefault="00331A55" w:rsidP="00E6059A">
      <w:pPr>
        <w:spacing w:line="360" w:lineRule="auto"/>
        <w:rPr>
          <w:rFonts w:ascii="Arial" w:hAnsi="Arial" w:cs="Arial"/>
        </w:rPr>
      </w:pPr>
    </w:p>
    <w:p w14:paraId="23FC6A31" w14:textId="209009E7" w:rsidR="00285D29" w:rsidRPr="00B4535E" w:rsidRDefault="009F7A33" w:rsidP="00B4535E">
      <w:pPr>
        <w:pStyle w:val="Heading1"/>
        <w:numPr>
          <w:ilvl w:val="0"/>
          <w:numId w:val="0"/>
        </w:numPr>
        <w:spacing w:after="240"/>
        <w:ind w:left="432" w:hanging="432"/>
        <w:rPr>
          <w:rFonts w:ascii="Arial" w:eastAsia="Times New Roman" w:hAnsi="Arial" w:cs="Arial"/>
          <w:b/>
          <w:bCs/>
          <w:color w:val="auto"/>
          <w:sz w:val="28"/>
          <w:szCs w:val="28"/>
          <w:lang w:eastAsia="en-GB"/>
        </w:rPr>
      </w:pPr>
      <w:bookmarkStart w:id="201" w:name="_Toc66868943"/>
      <w:r w:rsidRPr="00B4535E">
        <w:rPr>
          <w:rFonts w:ascii="Arial" w:eastAsia="Times New Roman" w:hAnsi="Arial" w:cs="Arial"/>
          <w:b/>
          <w:bCs/>
          <w:color w:val="auto"/>
          <w:sz w:val="28"/>
          <w:szCs w:val="28"/>
          <w:lang w:eastAsia="en-GB"/>
        </w:rPr>
        <w:t xml:space="preserve">Chapter </w:t>
      </w:r>
      <w:r w:rsidR="00FB6319" w:rsidRPr="00B4535E">
        <w:rPr>
          <w:rFonts w:ascii="Arial" w:eastAsia="Times New Roman" w:hAnsi="Arial" w:cs="Arial"/>
          <w:b/>
          <w:bCs/>
          <w:color w:val="auto"/>
          <w:sz w:val="28"/>
          <w:szCs w:val="28"/>
          <w:lang w:eastAsia="en-GB"/>
        </w:rPr>
        <w:t>8</w:t>
      </w:r>
      <w:r w:rsidRPr="00B4535E">
        <w:rPr>
          <w:rFonts w:ascii="Arial" w:eastAsia="Times New Roman" w:hAnsi="Arial" w:cs="Arial"/>
          <w:b/>
          <w:bCs/>
          <w:color w:val="auto"/>
          <w:sz w:val="28"/>
          <w:szCs w:val="28"/>
          <w:lang w:eastAsia="en-GB"/>
        </w:rPr>
        <w:t xml:space="preserve">: </w:t>
      </w:r>
      <w:r w:rsidR="00285D29" w:rsidRPr="00B4535E">
        <w:rPr>
          <w:rFonts w:ascii="Arial" w:eastAsia="Times New Roman" w:hAnsi="Arial" w:cs="Arial"/>
          <w:b/>
          <w:bCs/>
          <w:color w:val="auto"/>
          <w:sz w:val="28"/>
          <w:szCs w:val="28"/>
          <w:lang w:eastAsia="en-GB"/>
        </w:rPr>
        <w:t>Conclusion</w:t>
      </w:r>
      <w:bookmarkEnd w:id="201"/>
    </w:p>
    <w:p w14:paraId="50D89CFD" w14:textId="06163782" w:rsidR="008B7E28" w:rsidRDefault="00936337" w:rsidP="00F21C7A">
      <w:pPr>
        <w:spacing w:line="360" w:lineRule="auto"/>
        <w:jc w:val="both"/>
        <w:rPr>
          <w:rFonts w:ascii="Arial" w:eastAsia="Times New Roman" w:hAnsi="Arial" w:cs="Arial"/>
          <w:lang w:eastAsia="en-GB"/>
        </w:rPr>
      </w:pPr>
      <w:r>
        <w:rPr>
          <w:rFonts w:ascii="Arial" w:eastAsia="Times New Roman" w:hAnsi="Arial" w:cs="Arial"/>
          <w:lang w:eastAsia="en-GB"/>
        </w:rPr>
        <w:t>At present</w:t>
      </w:r>
      <w:r w:rsidR="0084044B">
        <w:rPr>
          <w:rFonts w:ascii="Arial" w:eastAsia="Times New Roman" w:hAnsi="Arial" w:cs="Arial"/>
          <w:lang w:eastAsia="en-GB"/>
        </w:rPr>
        <w:t>,</w:t>
      </w:r>
      <w:r>
        <w:rPr>
          <w:rFonts w:ascii="Arial" w:eastAsia="Times New Roman" w:hAnsi="Arial" w:cs="Arial"/>
          <w:lang w:eastAsia="en-GB"/>
        </w:rPr>
        <w:t xml:space="preserve"> maintenance decisions for bridges are entirely cost driven with CO</w:t>
      </w:r>
      <w:r w:rsidRPr="00E6059A">
        <w:rPr>
          <w:rFonts w:ascii="Arial" w:eastAsia="Times New Roman" w:hAnsi="Arial" w:cs="Arial"/>
          <w:vertAlign w:val="subscript"/>
          <w:lang w:eastAsia="en-GB"/>
        </w:rPr>
        <w:t>2</w:t>
      </w:r>
      <w:r>
        <w:rPr>
          <w:rFonts w:ascii="Arial" w:eastAsia="Times New Roman" w:hAnsi="Arial" w:cs="Arial"/>
          <w:vertAlign w:val="subscript"/>
          <w:lang w:eastAsia="en-GB"/>
        </w:rPr>
        <w:t xml:space="preserve"> </w:t>
      </w:r>
      <w:r>
        <w:rPr>
          <w:rFonts w:ascii="Arial" w:eastAsia="Times New Roman" w:hAnsi="Arial" w:cs="Arial"/>
          <w:lang w:eastAsia="en-GB"/>
        </w:rPr>
        <w:t xml:space="preserve">emissions </w:t>
      </w:r>
      <w:r w:rsidR="003076DD">
        <w:rPr>
          <w:rFonts w:ascii="Arial" w:eastAsia="Times New Roman" w:hAnsi="Arial" w:cs="Arial"/>
          <w:lang w:eastAsia="en-GB"/>
        </w:rPr>
        <w:t xml:space="preserve">completely excluded from the </w:t>
      </w:r>
      <w:r w:rsidR="009E2A3E">
        <w:rPr>
          <w:rFonts w:ascii="Arial" w:eastAsia="Times New Roman" w:hAnsi="Arial" w:cs="Arial"/>
          <w:lang w:eastAsia="en-GB"/>
        </w:rPr>
        <w:t>decision-making</w:t>
      </w:r>
      <w:r w:rsidR="003076DD">
        <w:rPr>
          <w:rFonts w:ascii="Arial" w:eastAsia="Times New Roman" w:hAnsi="Arial" w:cs="Arial"/>
          <w:lang w:eastAsia="en-GB"/>
        </w:rPr>
        <w:t xml:space="preserve"> process. </w:t>
      </w:r>
      <w:r w:rsidR="00734D67">
        <w:rPr>
          <w:rFonts w:ascii="Arial" w:eastAsia="Times New Roman" w:hAnsi="Arial" w:cs="Arial"/>
          <w:lang w:eastAsia="en-GB"/>
        </w:rPr>
        <w:t>Furthermore</w:t>
      </w:r>
      <w:r w:rsidR="00796FCA">
        <w:rPr>
          <w:rFonts w:ascii="Arial" w:eastAsia="Times New Roman" w:hAnsi="Arial" w:cs="Arial"/>
          <w:lang w:eastAsia="en-GB"/>
        </w:rPr>
        <w:t>,</w:t>
      </w:r>
      <w:r w:rsidR="003076DD">
        <w:rPr>
          <w:rFonts w:ascii="Arial" w:eastAsia="Times New Roman" w:hAnsi="Arial" w:cs="Arial"/>
          <w:lang w:eastAsia="en-GB"/>
        </w:rPr>
        <w:t xml:space="preserve"> inadequate funding and budget </w:t>
      </w:r>
      <w:r w:rsidR="009E2A3E">
        <w:rPr>
          <w:rFonts w:ascii="Arial" w:eastAsia="Times New Roman" w:hAnsi="Arial" w:cs="Arial"/>
          <w:lang w:eastAsia="en-GB"/>
        </w:rPr>
        <w:t>constraints are inhibiting the delivery of sustainable infrastructure in the UK.</w:t>
      </w:r>
      <w:r w:rsidR="00734D67">
        <w:rPr>
          <w:rFonts w:ascii="Arial" w:eastAsia="Times New Roman" w:hAnsi="Arial" w:cs="Arial"/>
          <w:lang w:eastAsia="en-GB"/>
        </w:rPr>
        <w:t xml:space="preserve"> This is evidenced by the </w:t>
      </w:r>
      <w:r w:rsidR="00994094">
        <w:rPr>
          <w:rFonts w:ascii="Arial" w:eastAsia="Times New Roman" w:hAnsi="Arial" w:cs="Arial"/>
          <w:lang w:eastAsia="en-GB"/>
        </w:rPr>
        <w:t>v</w:t>
      </w:r>
      <w:r w:rsidR="00994094" w:rsidRPr="004F7743">
        <w:rPr>
          <w:rFonts w:ascii="Arial" w:eastAsia="Times New Roman" w:hAnsi="Arial" w:cs="Arial"/>
          <w:lang w:eastAsia="en-GB"/>
        </w:rPr>
        <w:t>ast</w:t>
      </w:r>
      <w:r w:rsidR="00731C56" w:rsidRPr="004F7743">
        <w:rPr>
          <w:rFonts w:ascii="Arial" w:eastAsia="Times New Roman" w:hAnsi="Arial" w:cs="Arial"/>
          <w:lang w:eastAsia="en-GB"/>
        </w:rPr>
        <w:t xml:space="preserve"> backlog of maintenance</w:t>
      </w:r>
      <w:r w:rsidR="007B7C40" w:rsidRPr="004F7743">
        <w:rPr>
          <w:rFonts w:ascii="Arial" w:eastAsia="Times New Roman" w:hAnsi="Arial" w:cs="Arial"/>
          <w:lang w:eastAsia="en-GB"/>
        </w:rPr>
        <w:t xml:space="preserve"> </w:t>
      </w:r>
      <w:r w:rsidR="004F7743" w:rsidRPr="004F7743">
        <w:rPr>
          <w:rFonts w:ascii="Arial" w:hAnsi="Arial" w:cs="Arial"/>
          <w:noProof/>
        </w:rPr>
        <w:t>resulting from extensive and prolonged underfunding</w:t>
      </w:r>
      <w:r w:rsidR="00E2394A" w:rsidRPr="004F7743">
        <w:rPr>
          <w:rFonts w:ascii="Arial" w:eastAsia="Times New Roman" w:hAnsi="Arial" w:cs="Arial"/>
          <w:lang w:eastAsia="en-GB"/>
        </w:rPr>
        <w:t>.</w:t>
      </w:r>
      <w:r w:rsidR="003F0F62">
        <w:rPr>
          <w:rFonts w:ascii="Arial" w:eastAsia="Times New Roman" w:hAnsi="Arial" w:cs="Arial"/>
          <w:lang w:eastAsia="en-GB"/>
        </w:rPr>
        <w:t xml:space="preserve"> The method in this study presents a</w:t>
      </w:r>
      <w:r w:rsidR="00C44D86">
        <w:rPr>
          <w:rFonts w:ascii="Arial" w:eastAsia="Times New Roman" w:hAnsi="Arial" w:cs="Arial"/>
          <w:lang w:eastAsia="en-GB"/>
        </w:rPr>
        <w:t xml:space="preserve"> new method</w:t>
      </w:r>
      <w:r w:rsidR="002A6312">
        <w:rPr>
          <w:rFonts w:ascii="Arial" w:eastAsia="Times New Roman" w:hAnsi="Arial" w:cs="Arial"/>
          <w:lang w:eastAsia="en-GB"/>
        </w:rPr>
        <w:t>ology</w:t>
      </w:r>
      <w:r w:rsidR="00107C5F">
        <w:rPr>
          <w:rFonts w:ascii="Arial" w:eastAsia="Times New Roman" w:hAnsi="Arial" w:cs="Arial"/>
          <w:lang w:eastAsia="en-GB"/>
        </w:rPr>
        <w:t xml:space="preserve"> for </w:t>
      </w:r>
      <w:r w:rsidR="00695883">
        <w:rPr>
          <w:rFonts w:ascii="Arial" w:eastAsia="Times New Roman" w:hAnsi="Arial" w:cs="Arial"/>
          <w:lang w:eastAsia="en-GB"/>
        </w:rPr>
        <w:t xml:space="preserve">evaluating </w:t>
      </w:r>
      <w:r w:rsidR="00D173D3">
        <w:rPr>
          <w:rFonts w:ascii="Arial" w:eastAsia="Times New Roman" w:hAnsi="Arial" w:cs="Arial"/>
          <w:lang w:eastAsia="en-GB"/>
        </w:rPr>
        <w:t>an</w:t>
      </w:r>
      <w:r w:rsidR="00FA3FF5">
        <w:rPr>
          <w:rFonts w:ascii="Arial" w:eastAsia="Times New Roman" w:hAnsi="Arial" w:cs="Arial"/>
          <w:lang w:eastAsia="en-GB"/>
        </w:rPr>
        <w:t>d</w:t>
      </w:r>
      <w:r w:rsidR="00D173D3">
        <w:rPr>
          <w:rFonts w:ascii="Arial" w:eastAsia="Times New Roman" w:hAnsi="Arial" w:cs="Arial"/>
          <w:lang w:eastAsia="en-GB"/>
        </w:rPr>
        <w:t xml:space="preserve"> identifying </w:t>
      </w:r>
      <w:r w:rsidR="00695883">
        <w:rPr>
          <w:rFonts w:ascii="Arial" w:eastAsia="Times New Roman" w:hAnsi="Arial" w:cs="Arial"/>
          <w:lang w:eastAsia="en-GB"/>
        </w:rPr>
        <w:t xml:space="preserve">maintenance </w:t>
      </w:r>
      <w:r w:rsidR="00D173D3">
        <w:rPr>
          <w:rFonts w:ascii="Arial" w:eastAsia="Times New Roman" w:hAnsi="Arial" w:cs="Arial"/>
          <w:lang w:eastAsia="en-GB"/>
        </w:rPr>
        <w:t xml:space="preserve">and funding </w:t>
      </w:r>
      <w:r w:rsidR="00695883">
        <w:rPr>
          <w:rFonts w:ascii="Arial" w:eastAsia="Times New Roman" w:hAnsi="Arial" w:cs="Arial"/>
          <w:lang w:eastAsia="en-GB"/>
        </w:rPr>
        <w:t>requirements</w:t>
      </w:r>
      <w:r w:rsidR="00AE404C">
        <w:rPr>
          <w:rFonts w:ascii="Arial" w:eastAsia="Times New Roman" w:hAnsi="Arial" w:cs="Arial"/>
          <w:lang w:eastAsia="en-GB"/>
        </w:rPr>
        <w:t xml:space="preserve"> </w:t>
      </w:r>
      <w:r w:rsidR="00375E93">
        <w:rPr>
          <w:rFonts w:ascii="Arial" w:eastAsia="Times New Roman" w:hAnsi="Arial" w:cs="Arial"/>
          <w:lang w:eastAsia="en-GB"/>
        </w:rPr>
        <w:t xml:space="preserve">that is consistent with the UK’s </w:t>
      </w:r>
      <w:r w:rsidR="002A6312">
        <w:rPr>
          <w:rFonts w:ascii="Arial" w:eastAsia="Times New Roman" w:hAnsi="Arial" w:cs="Arial"/>
          <w:lang w:eastAsia="en-GB"/>
        </w:rPr>
        <w:t>targets on carbon emissions.</w:t>
      </w:r>
    </w:p>
    <w:p w14:paraId="790F66A2" w14:textId="0E8B8018" w:rsidR="00FA3FF5" w:rsidRDefault="00FA3FF5" w:rsidP="00F21C7A">
      <w:pPr>
        <w:spacing w:line="360" w:lineRule="auto"/>
        <w:jc w:val="both"/>
        <w:rPr>
          <w:rFonts w:ascii="Arial" w:hAnsi="Arial" w:cs="Arial"/>
        </w:rPr>
      </w:pPr>
      <w:r>
        <w:rPr>
          <w:rFonts w:ascii="Arial" w:hAnsi="Arial" w:cs="Arial"/>
        </w:rPr>
        <w:t>This study has demonstrated that adopting an appropriate maintenance strategy can reduce the whole life cost and carbon footprint of a bridge. There are</w:t>
      </w:r>
      <w:r>
        <w:rPr>
          <w:rFonts w:ascii="Arial" w:hAnsi="Arial" w:cs="Arial"/>
          <w:lang w:val="en-US"/>
        </w:rPr>
        <w:t xml:space="preserve"> </w:t>
      </w:r>
      <w:r w:rsidR="00CB48AF">
        <w:rPr>
          <w:rFonts w:ascii="Arial" w:hAnsi="Arial" w:cs="Arial"/>
          <w:lang w:val="en-US"/>
        </w:rPr>
        <w:t>thousands of</w:t>
      </w:r>
      <w:r w:rsidRPr="001F5E1D">
        <w:rPr>
          <w:rFonts w:ascii="Arial" w:hAnsi="Arial" w:cs="Arial"/>
          <w:lang w:val="en-US"/>
        </w:rPr>
        <w:t xml:space="preserve"> </w:t>
      </w:r>
      <w:r>
        <w:rPr>
          <w:rFonts w:ascii="Arial" w:hAnsi="Arial" w:cs="Arial"/>
          <w:lang w:val="en-US"/>
        </w:rPr>
        <w:t xml:space="preserve">local authority managed </w:t>
      </w:r>
      <w:r w:rsidRPr="001F5E1D">
        <w:rPr>
          <w:rFonts w:ascii="Arial" w:hAnsi="Arial" w:cs="Arial"/>
          <w:lang w:val="en-US"/>
        </w:rPr>
        <w:t>bridges</w:t>
      </w:r>
      <w:r>
        <w:rPr>
          <w:rFonts w:ascii="Arial" w:hAnsi="Arial" w:cs="Arial"/>
          <w:lang w:val="en-US"/>
        </w:rPr>
        <w:t xml:space="preserve"> in the UK, therefore if this approach was implemented </w:t>
      </w:r>
      <w:r w:rsidRPr="000A291F">
        <w:rPr>
          <w:rFonts w:ascii="Arial" w:hAnsi="Arial" w:cs="Arial"/>
        </w:rPr>
        <w:t>and sufficient funding was provided to local authorities, there would be a significant reduction in carbon emissions.</w:t>
      </w:r>
      <w:r>
        <w:rPr>
          <w:rFonts w:ascii="Arial" w:hAnsi="Arial" w:cs="Arial"/>
        </w:rPr>
        <w:t xml:space="preserve"> Conversely, </w:t>
      </w:r>
      <w:r w:rsidRPr="000A291F">
        <w:rPr>
          <w:rFonts w:ascii="Arial" w:hAnsi="Arial" w:cs="Arial"/>
        </w:rPr>
        <w:t>if the industry continues to follow the same process</w:t>
      </w:r>
      <w:r>
        <w:rPr>
          <w:rFonts w:ascii="Arial" w:hAnsi="Arial" w:cs="Arial"/>
        </w:rPr>
        <w:t xml:space="preserve"> and inadequate funding is provided</w:t>
      </w:r>
      <w:r w:rsidRPr="000A291F">
        <w:rPr>
          <w:rFonts w:ascii="Arial" w:hAnsi="Arial" w:cs="Arial"/>
        </w:rPr>
        <w:t>, the UK’s target</w:t>
      </w:r>
      <w:r>
        <w:rPr>
          <w:rFonts w:ascii="Arial" w:hAnsi="Arial" w:cs="Arial"/>
        </w:rPr>
        <w:t xml:space="preserve"> to</w:t>
      </w:r>
      <w:r w:rsidRPr="000A291F">
        <w:rPr>
          <w:rFonts w:ascii="Arial" w:hAnsi="Arial" w:cs="Arial"/>
        </w:rPr>
        <w:t xml:space="preserve"> become carbon neutral by 2050 could be in </w:t>
      </w:r>
      <w:r>
        <w:rPr>
          <w:rFonts w:ascii="Arial" w:hAnsi="Arial" w:cs="Arial"/>
        </w:rPr>
        <w:t xml:space="preserve">undermined. </w:t>
      </w:r>
    </w:p>
    <w:p w14:paraId="59302E3B" w14:textId="43703705" w:rsidR="00C90514" w:rsidRDefault="0025125A" w:rsidP="00F21C7A">
      <w:pPr>
        <w:spacing w:line="360" w:lineRule="auto"/>
        <w:jc w:val="both"/>
        <w:rPr>
          <w:rFonts w:ascii="Arial" w:hAnsi="Arial" w:cs="Arial"/>
        </w:rPr>
      </w:pPr>
      <w:r>
        <w:rPr>
          <w:rFonts w:ascii="Arial" w:hAnsi="Arial" w:cs="Arial"/>
        </w:rPr>
        <w:t>T</w:t>
      </w:r>
      <w:r w:rsidR="00560EBE">
        <w:rPr>
          <w:rFonts w:ascii="Arial" w:hAnsi="Arial" w:cs="Arial"/>
        </w:rPr>
        <w:t xml:space="preserve">his study has also found that </w:t>
      </w:r>
      <w:r w:rsidR="00C9622E">
        <w:rPr>
          <w:rFonts w:ascii="Arial" w:hAnsi="Arial" w:cs="Arial"/>
        </w:rPr>
        <w:t xml:space="preserve">the existing tools to assist bridge managers </w:t>
      </w:r>
      <w:r w:rsidR="001F28F1">
        <w:rPr>
          <w:rFonts w:ascii="Arial" w:hAnsi="Arial" w:cs="Arial"/>
        </w:rPr>
        <w:t>are in</w:t>
      </w:r>
      <w:r w:rsidR="00671DDF">
        <w:rPr>
          <w:rFonts w:ascii="Arial" w:hAnsi="Arial" w:cs="Arial"/>
        </w:rPr>
        <w:t>adequate</w:t>
      </w:r>
      <w:r w:rsidR="00301F4B">
        <w:rPr>
          <w:rFonts w:ascii="Arial" w:hAnsi="Arial" w:cs="Arial"/>
        </w:rPr>
        <w:t>.</w:t>
      </w:r>
      <w:r w:rsidR="00301F4B" w:rsidRPr="00301F4B">
        <w:t xml:space="preserve"> </w:t>
      </w:r>
      <w:r w:rsidR="00301F4B" w:rsidRPr="00E6059A">
        <w:rPr>
          <w:rFonts w:ascii="Arial" w:hAnsi="Arial" w:cs="Arial"/>
        </w:rPr>
        <w:t xml:space="preserve">Analysing one bridge is a significantly </w:t>
      </w:r>
      <w:r w:rsidR="00A073A4" w:rsidRPr="00E6059A">
        <w:rPr>
          <w:rFonts w:ascii="Arial" w:hAnsi="Arial" w:cs="Arial"/>
        </w:rPr>
        <w:t>time-consuming</w:t>
      </w:r>
      <w:r w:rsidR="00301F4B" w:rsidRPr="00E6059A">
        <w:rPr>
          <w:rFonts w:ascii="Arial" w:hAnsi="Arial" w:cs="Arial"/>
        </w:rPr>
        <w:t xml:space="preserve"> exercise</w:t>
      </w:r>
      <w:r w:rsidR="006D034B">
        <w:rPr>
          <w:rFonts w:ascii="Arial" w:hAnsi="Arial" w:cs="Arial"/>
        </w:rPr>
        <w:t xml:space="preserve"> </w:t>
      </w:r>
      <w:r w:rsidR="00BC3B07">
        <w:rPr>
          <w:rFonts w:ascii="Arial" w:hAnsi="Arial" w:cs="Arial"/>
        </w:rPr>
        <w:t>and</w:t>
      </w:r>
      <w:r w:rsidR="006D034B">
        <w:rPr>
          <w:rFonts w:ascii="Arial" w:hAnsi="Arial" w:cs="Arial"/>
        </w:rPr>
        <w:t xml:space="preserve"> </w:t>
      </w:r>
      <w:r w:rsidR="00BC3B07">
        <w:rPr>
          <w:rFonts w:ascii="Arial" w:hAnsi="Arial" w:cs="Arial"/>
        </w:rPr>
        <w:t>this</w:t>
      </w:r>
      <w:r w:rsidR="00EE41CA">
        <w:rPr>
          <w:rFonts w:ascii="Arial" w:hAnsi="Arial" w:cs="Arial"/>
        </w:rPr>
        <w:t xml:space="preserve"> level of analysis would </w:t>
      </w:r>
      <w:r w:rsidR="006D034B">
        <w:rPr>
          <w:rFonts w:ascii="Arial" w:hAnsi="Arial" w:cs="Arial"/>
        </w:rPr>
        <w:t xml:space="preserve">not </w:t>
      </w:r>
      <w:r w:rsidR="00A36D5D">
        <w:rPr>
          <w:rFonts w:ascii="Arial" w:hAnsi="Arial" w:cs="Arial"/>
        </w:rPr>
        <w:t xml:space="preserve">be </w:t>
      </w:r>
      <w:r w:rsidR="006D034B">
        <w:rPr>
          <w:rFonts w:ascii="Arial" w:hAnsi="Arial" w:cs="Arial"/>
        </w:rPr>
        <w:t xml:space="preserve">practical for a local authority with </w:t>
      </w:r>
      <w:r w:rsidR="00EE41CA">
        <w:rPr>
          <w:rFonts w:ascii="Arial" w:hAnsi="Arial" w:cs="Arial"/>
        </w:rPr>
        <w:t xml:space="preserve">a bridge stock consisting or </w:t>
      </w:r>
      <w:r w:rsidR="00A80127">
        <w:rPr>
          <w:rFonts w:ascii="Arial" w:hAnsi="Arial" w:cs="Arial"/>
        </w:rPr>
        <w:t>hundreds or thousand</w:t>
      </w:r>
      <w:r w:rsidR="00EE41CA">
        <w:rPr>
          <w:rFonts w:ascii="Arial" w:hAnsi="Arial" w:cs="Arial"/>
        </w:rPr>
        <w:t>s</w:t>
      </w:r>
      <w:r w:rsidR="00A80127">
        <w:rPr>
          <w:rFonts w:ascii="Arial" w:hAnsi="Arial" w:cs="Arial"/>
        </w:rPr>
        <w:t xml:space="preserve"> of structures</w:t>
      </w:r>
      <w:r w:rsidR="00A36D5D">
        <w:rPr>
          <w:rFonts w:ascii="Arial" w:hAnsi="Arial" w:cs="Arial"/>
        </w:rPr>
        <w:t xml:space="preserve">. </w:t>
      </w:r>
      <w:r w:rsidR="00A77F93">
        <w:rPr>
          <w:rFonts w:ascii="Arial" w:hAnsi="Arial" w:cs="Arial"/>
        </w:rPr>
        <w:t>There is an urgent need to refine existing tools or develop new tools to assist bridge managers with maintenance decisions</w:t>
      </w:r>
      <w:r w:rsidR="00F05745">
        <w:rPr>
          <w:rFonts w:ascii="Arial" w:hAnsi="Arial" w:cs="Arial"/>
        </w:rPr>
        <w:t xml:space="preserve"> </w:t>
      </w:r>
      <w:r w:rsidR="00581564">
        <w:rPr>
          <w:rFonts w:ascii="Arial" w:hAnsi="Arial" w:cs="Arial"/>
        </w:rPr>
        <w:t xml:space="preserve">that </w:t>
      </w:r>
      <w:r w:rsidR="00E31708">
        <w:rPr>
          <w:rFonts w:ascii="Arial" w:hAnsi="Arial" w:cs="Arial"/>
        </w:rPr>
        <w:t>consider</w:t>
      </w:r>
      <w:r w:rsidR="00490F57">
        <w:rPr>
          <w:rFonts w:ascii="Arial" w:hAnsi="Arial" w:cs="Arial"/>
        </w:rPr>
        <w:t xml:space="preserve"> the carbon footprint of bridges</w:t>
      </w:r>
      <w:r w:rsidR="00046A95">
        <w:rPr>
          <w:rFonts w:ascii="Arial" w:hAnsi="Arial" w:cs="Arial"/>
        </w:rPr>
        <w:t>. This is essential</w:t>
      </w:r>
      <w:r w:rsidR="00490F57">
        <w:rPr>
          <w:rFonts w:ascii="Arial" w:hAnsi="Arial" w:cs="Arial"/>
        </w:rPr>
        <w:t xml:space="preserve"> </w:t>
      </w:r>
      <w:r w:rsidR="008D2D90">
        <w:rPr>
          <w:rFonts w:ascii="Arial" w:hAnsi="Arial" w:cs="Arial"/>
        </w:rPr>
        <w:t>to</w:t>
      </w:r>
      <w:r w:rsidR="00E31708">
        <w:rPr>
          <w:rFonts w:ascii="Arial" w:hAnsi="Arial" w:cs="Arial"/>
        </w:rPr>
        <w:t xml:space="preserve"> ensure the industry is</w:t>
      </w:r>
      <w:r w:rsidR="00A77F93">
        <w:rPr>
          <w:rFonts w:ascii="Arial" w:hAnsi="Arial" w:cs="Arial"/>
        </w:rPr>
        <w:t xml:space="preserve"> consistent with the UK’s targets to become carbon neutral by 2050. </w:t>
      </w:r>
      <w:r w:rsidR="009776F8">
        <w:rPr>
          <w:rFonts w:ascii="Arial" w:hAnsi="Arial" w:cs="Arial"/>
        </w:rPr>
        <w:t>Monetisation of CO</w:t>
      </w:r>
      <w:r w:rsidR="009776F8" w:rsidRPr="00E6059A">
        <w:rPr>
          <w:rFonts w:ascii="Arial" w:hAnsi="Arial" w:cs="Arial"/>
          <w:vertAlign w:val="subscript"/>
        </w:rPr>
        <w:t>2</w:t>
      </w:r>
      <w:r w:rsidR="009776F8">
        <w:rPr>
          <w:rFonts w:ascii="Arial" w:hAnsi="Arial" w:cs="Arial"/>
        </w:rPr>
        <w:t xml:space="preserve"> using UK carbon valuations </w:t>
      </w:r>
      <w:r w:rsidR="00AE4753">
        <w:rPr>
          <w:rFonts w:ascii="Arial" w:hAnsi="Arial" w:cs="Arial"/>
        </w:rPr>
        <w:t xml:space="preserve">in whole life costing analysis </w:t>
      </w:r>
      <w:r w:rsidR="00AF2EB3">
        <w:rPr>
          <w:rFonts w:ascii="Arial" w:hAnsi="Arial" w:cs="Arial"/>
        </w:rPr>
        <w:t xml:space="preserve">would </w:t>
      </w:r>
      <w:r w:rsidR="00CB3E05">
        <w:rPr>
          <w:rFonts w:ascii="Arial" w:hAnsi="Arial" w:cs="Arial"/>
        </w:rPr>
        <w:t xml:space="preserve">provide a sensible method </w:t>
      </w:r>
      <w:r w:rsidR="00AE4753">
        <w:rPr>
          <w:rFonts w:ascii="Arial" w:hAnsi="Arial" w:cs="Arial"/>
        </w:rPr>
        <w:t>for considering the carbon footprint of bridges</w:t>
      </w:r>
      <w:r w:rsidR="00AF2EB3">
        <w:rPr>
          <w:rFonts w:ascii="Arial" w:hAnsi="Arial" w:cs="Arial"/>
        </w:rPr>
        <w:t>.</w:t>
      </w:r>
    </w:p>
    <w:p w14:paraId="2AF9D1BF" w14:textId="6CE8AD84" w:rsidR="007E606A" w:rsidRDefault="00C427DC" w:rsidP="00F21C7A">
      <w:pPr>
        <w:spacing w:line="360" w:lineRule="auto"/>
        <w:jc w:val="both"/>
        <w:rPr>
          <w:rFonts w:ascii="Arial" w:hAnsi="Arial" w:cs="Arial"/>
        </w:rPr>
      </w:pPr>
      <w:r>
        <w:rPr>
          <w:rFonts w:ascii="Arial" w:hAnsi="Arial" w:cs="Arial"/>
        </w:rPr>
        <w:t xml:space="preserve">Further research </w:t>
      </w:r>
      <w:r w:rsidR="0089404D">
        <w:rPr>
          <w:rFonts w:ascii="Arial" w:hAnsi="Arial" w:cs="Arial"/>
        </w:rPr>
        <w:t>is required</w:t>
      </w:r>
      <w:r>
        <w:rPr>
          <w:rFonts w:ascii="Arial" w:hAnsi="Arial" w:cs="Arial"/>
        </w:rPr>
        <w:t xml:space="preserve"> to evaluate the potential CO</w:t>
      </w:r>
      <w:r w:rsidRPr="00E6059A">
        <w:rPr>
          <w:rFonts w:ascii="Arial" w:hAnsi="Arial" w:cs="Arial"/>
          <w:vertAlign w:val="subscript"/>
        </w:rPr>
        <w:t>2</w:t>
      </w:r>
      <w:r>
        <w:rPr>
          <w:rFonts w:ascii="Arial" w:hAnsi="Arial" w:cs="Arial"/>
          <w:vertAlign w:val="subscript"/>
        </w:rPr>
        <w:t xml:space="preserve"> </w:t>
      </w:r>
      <w:r>
        <w:rPr>
          <w:rFonts w:ascii="Arial" w:hAnsi="Arial" w:cs="Arial"/>
        </w:rPr>
        <w:t xml:space="preserve">emissions </w:t>
      </w:r>
      <w:r w:rsidR="00CF65EF">
        <w:rPr>
          <w:rFonts w:ascii="Arial" w:hAnsi="Arial" w:cs="Arial"/>
        </w:rPr>
        <w:t xml:space="preserve">resulting from </w:t>
      </w:r>
      <w:r w:rsidR="006E725D">
        <w:rPr>
          <w:rFonts w:ascii="Arial" w:hAnsi="Arial" w:cs="Arial"/>
        </w:rPr>
        <w:t xml:space="preserve">traffic </w:t>
      </w:r>
      <w:r w:rsidR="00B55662" w:rsidRPr="00D04C14">
        <w:rPr>
          <w:rFonts w:ascii="Arial" w:hAnsi="Arial" w:cs="Arial"/>
        </w:rPr>
        <w:t>restrictions due the structure no longer being able to support full highway loading</w:t>
      </w:r>
      <w:r w:rsidR="003D1852">
        <w:rPr>
          <w:rFonts w:ascii="Arial" w:hAnsi="Arial" w:cs="Arial"/>
        </w:rPr>
        <w:t xml:space="preserve">. </w:t>
      </w:r>
      <w:r w:rsidR="00920F81">
        <w:rPr>
          <w:rFonts w:ascii="Arial" w:hAnsi="Arial" w:cs="Arial"/>
        </w:rPr>
        <w:t>T</w:t>
      </w:r>
      <w:r w:rsidR="00D2329C">
        <w:rPr>
          <w:rFonts w:ascii="Arial" w:hAnsi="Arial" w:cs="Arial"/>
        </w:rPr>
        <w:t xml:space="preserve">his will enable a more accurate reflection of the carbon savings </w:t>
      </w:r>
      <w:r w:rsidR="009F5734">
        <w:rPr>
          <w:rFonts w:ascii="Arial" w:hAnsi="Arial" w:cs="Arial"/>
        </w:rPr>
        <w:t>using an appropriate maintenance strategy.</w:t>
      </w:r>
      <w:r w:rsidR="009066B4">
        <w:rPr>
          <w:rFonts w:ascii="Arial" w:hAnsi="Arial" w:cs="Arial"/>
        </w:rPr>
        <w:t xml:space="preserve"> Additionally</w:t>
      </w:r>
      <w:r w:rsidR="0089404D">
        <w:rPr>
          <w:rFonts w:ascii="Arial" w:hAnsi="Arial" w:cs="Arial"/>
        </w:rPr>
        <w:t>,</w:t>
      </w:r>
      <w:r w:rsidR="009066B4">
        <w:rPr>
          <w:rFonts w:ascii="Arial" w:hAnsi="Arial" w:cs="Arial"/>
        </w:rPr>
        <w:t xml:space="preserve"> sensitivity analysis </w:t>
      </w:r>
      <w:r w:rsidR="00665CEE">
        <w:rPr>
          <w:rFonts w:ascii="Arial" w:hAnsi="Arial" w:cs="Arial"/>
        </w:rPr>
        <w:t>sh</w:t>
      </w:r>
      <w:r w:rsidR="009066B4">
        <w:rPr>
          <w:rFonts w:ascii="Arial" w:hAnsi="Arial" w:cs="Arial"/>
        </w:rPr>
        <w:t xml:space="preserve">ould be carried out to </w:t>
      </w:r>
      <w:r w:rsidR="00C92092">
        <w:rPr>
          <w:rFonts w:ascii="Arial" w:hAnsi="Arial" w:cs="Arial"/>
        </w:rPr>
        <w:t>identify</w:t>
      </w:r>
      <w:r w:rsidR="009066B4">
        <w:rPr>
          <w:rFonts w:ascii="Arial" w:hAnsi="Arial" w:cs="Arial"/>
        </w:rPr>
        <w:t xml:space="preserve"> the </w:t>
      </w:r>
      <w:r w:rsidR="0020559E">
        <w:rPr>
          <w:rFonts w:ascii="Arial" w:hAnsi="Arial" w:cs="Arial"/>
        </w:rPr>
        <w:t>impact</w:t>
      </w:r>
      <w:r w:rsidR="00BE35B4">
        <w:rPr>
          <w:rFonts w:ascii="Arial" w:hAnsi="Arial" w:cs="Arial"/>
        </w:rPr>
        <w:t>s</w:t>
      </w:r>
      <w:r w:rsidR="0020559E">
        <w:rPr>
          <w:rFonts w:ascii="Arial" w:hAnsi="Arial" w:cs="Arial"/>
        </w:rPr>
        <w:t xml:space="preserve"> of any reductions in funding</w:t>
      </w:r>
      <w:r w:rsidR="00C92092">
        <w:rPr>
          <w:rFonts w:ascii="Arial" w:hAnsi="Arial" w:cs="Arial"/>
        </w:rPr>
        <w:t>.</w:t>
      </w:r>
    </w:p>
    <w:p w14:paraId="158FD6D4" w14:textId="77777777" w:rsidR="00C1711D" w:rsidRPr="00C427DC" w:rsidRDefault="00C1711D" w:rsidP="00753F25">
      <w:pPr>
        <w:spacing w:line="360" w:lineRule="auto"/>
        <w:rPr>
          <w:rFonts w:ascii="Arial" w:hAnsi="Arial" w:cs="Arial"/>
        </w:rPr>
      </w:pPr>
    </w:p>
    <w:p w14:paraId="3D7260A5" w14:textId="2219B2E7" w:rsidR="00C87B8D" w:rsidRDefault="00C87B8D" w:rsidP="00436230">
      <w:pPr>
        <w:rPr>
          <w:rFonts w:ascii="Arial" w:eastAsia="Times New Roman" w:hAnsi="Arial" w:cs="Arial"/>
          <w:b/>
          <w:bCs/>
          <w:lang w:eastAsia="en-GB"/>
        </w:rPr>
      </w:pPr>
    </w:p>
    <w:p w14:paraId="4EF11C36" w14:textId="4F8DB2C5" w:rsidR="00F21C7A" w:rsidRDefault="00F21C7A" w:rsidP="00436230">
      <w:pPr>
        <w:rPr>
          <w:rFonts w:ascii="Arial" w:eastAsia="Times New Roman" w:hAnsi="Arial" w:cs="Arial"/>
          <w:b/>
          <w:bCs/>
          <w:lang w:eastAsia="en-GB"/>
        </w:rPr>
      </w:pPr>
    </w:p>
    <w:p w14:paraId="0A1019D1" w14:textId="77777777" w:rsidR="00150036" w:rsidRDefault="00150036" w:rsidP="00436230">
      <w:pPr>
        <w:rPr>
          <w:rFonts w:ascii="Arial" w:eastAsia="Times New Roman" w:hAnsi="Arial" w:cs="Arial"/>
          <w:b/>
          <w:bCs/>
          <w:lang w:eastAsia="en-GB"/>
        </w:rPr>
      </w:pPr>
    </w:p>
    <w:p w14:paraId="7687AAEC" w14:textId="77777777" w:rsidR="00F21C7A" w:rsidRDefault="00F21C7A" w:rsidP="00436230">
      <w:pPr>
        <w:rPr>
          <w:rFonts w:ascii="Arial" w:eastAsia="Times New Roman" w:hAnsi="Arial" w:cs="Arial"/>
          <w:b/>
          <w:bCs/>
          <w:lang w:eastAsia="en-GB"/>
        </w:rPr>
      </w:pPr>
    </w:p>
    <w:p w14:paraId="58B88F34" w14:textId="3B5A902A" w:rsidR="00C87B8D" w:rsidRDefault="00C87B8D" w:rsidP="00436230">
      <w:pPr>
        <w:rPr>
          <w:rFonts w:ascii="Arial" w:eastAsia="Times New Roman" w:hAnsi="Arial" w:cs="Arial"/>
          <w:b/>
          <w:bCs/>
          <w:lang w:eastAsia="en-GB"/>
        </w:rPr>
      </w:pPr>
    </w:p>
    <w:p w14:paraId="2AA3D548" w14:textId="3B808785" w:rsidR="007364CD" w:rsidRPr="006B589F" w:rsidRDefault="007364CD" w:rsidP="006B589F">
      <w:pPr>
        <w:pStyle w:val="Heading1"/>
        <w:numPr>
          <w:ilvl w:val="0"/>
          <w:numId w:val="0"/>
        </w:numPr>
        <w:rPr>
          <w:rFonts w:ascii="Arial" w:eastAsia="Times New Roman" w:hAnsi="Arial" w:cs="Arial"/>
          <w:b/>
          <w:bCs/>
          <w:color w:val="auto"/>
          <w:sz w:val="28"/>
          <w:szCs w:val="28"/>
          <w:lang w:eastAsia="en-GB"/>
        </w:rPr>
      </w:pPr>
      <w:bookmarkStart w:id="202" w:name="_Toc66868944"/>
      <w:r w:rsidRPr="006B589F">
        <w:rPr>
          <w:rFonts w:ascii="Arial" w:eastAsia="Times New Roman" w:hAnsi="Arial" w:cs="Arial"/>
          <w:b/>
          <w:bCs/>
          <w:color w:val="auto"/>
          <w:sz w:val="28"/>
          <w:szCs w:val="28"/>
          <w:lang w:eastAsia="en-GB"/>
        </w:rPr>
        <w:t>Appendix A – Default Exposure Classification</w:t>
      </w:r>
      <w:bookmarkEnd w:id="202"/>
    </w:p>
    <w:p w14:paraId="1B283C67" w14:textId="77777777" w:rsidR="0071734B" w:rsidRDefault="0071734B" w:rsidP="007364CD">
      <w:pPr>
        <w:rPr>
          <w:rFonts w:ascii="Arial" w:eastAsia="Times New Roman" w:hAnsi="Arial" w:cs="Arial"/>
          <w:b/>
          <w:bCs/>
          <w:sz w:val="32"/>
          <w:szCs w:val="32"/>
          <w:lang w:eastAsia="en-GB"/>
        </w:rPr>
        <w:sectPr w:rsidR="0071734B" w:rsidSect="002276E3">
          <w:pgSz w:w="11906" w:h="16838"/>
          <w:pgMar w:top="1440" w:right="1440" w:bottom="1440" w:left="1440" w:header="708" w:footer="708" w:gutter="0"/>
          <w:cols w:space="708"/>
          <w:titlePg/>
          <w:docGrid w:linePitch="360"/>
        </w:sectPr>
      </w:pPr>
    </w:p>
    <w:p w14:paraId="4E42CCF3" w14:textId="1EA46185" w:rsidR="00436230" w:rsidRPr="006B589F" w:rsidRDefault="004A32D5" w:rsidP="006B589F">
      <w:pPr>
        <w:pStyle w:val="Heading1"/>
        <w:numPr>
          <w:ilvl w:val="0"/>
          <w:numId w:val="0"/>
        </w:numPr>
        <w:rPr>
          <w:rFonts w:ascii="Arial" w:eastAsia="Times New Roman" w:hAnsi="Arial" w:cs="Arial"/>
          <w:b/>
          <w:bCs/>
          <w:color w:val="auto"/>
          <w:sz w:val="28"/>
          <w:szCs w:val="28"/>
          <w:lang w:eastAsia="en-GB"/>
        </w:rPr>
      </w:pPr>
      <w:r w:rsidRPr="006B589F">
        <w:rPr>
          <w:rFonts w:ascii="Arial" w:eastAsia="Times New Roman" w:hAnsi="Arial" w:cs="Arial"/>
          <w:b/>
          <w:bCs/>
          <w:color w:val="auto"/>
          <w:sz w:val="28"/>
          <w:szCs w:val="28"/>
          <w:lang w:eastAsia="en-GB"/>
        </w:rPr>
        <w:t xml:space="preserve"> </w:t>
      </w:r>
      <w:bookmarkStart w:id="203" w:name="_Toc66868945"/>
      <w:r w:rsidR="00436230" w:rsidRPr="006B589F">
        <w:rPr>
          <w:rFonts w:ascii="Arial" w:eastAsia="Times New Roman" w:hAnsi="Arial" w:cs="Arial"/>
          <w:b/>
          <w:bCs/>
          <w:color w:val="auto"/>
          <w:sz w:val="28"/>
          <w:szCs w:val="28"/>
          <w:lang w:eastAsia="en-GB"/>
        </w:rPr>
        <w:t xml:space="preserve">Appendix </w:t>
      </w:r>
      <w:r w:rsidR="0071734B" w:rsidRPr="006B589F">
        <w:rPr>
          <w:rFonts w:ascii="Arial" w:eastAsia="Times New Roman" w:hAnsi="Arial" w:cs="Arial"/>
          <w:b/>
          <w:bCs/>
          <w:color w:val="auto"/>
          <w:sz w:val="28"/>
          <w:szCs w:val="28"/>
          <w:lang w:eastAsia="en-GB"/>
        </w:rPr>
        <w:t>B</w:t>
      </w:r>
      <w:r w:rsidR="00436230" w:rsidRPr="006B589F">
        <w:rPr>
          <w:rFonts w:ascii="Arial" w:eastAsia="Times New Roman" w:hAnsi="Arial" w:cs="Arial"/>
          <w:b/>
          <w:bCs/>
          <w:color w:val="auto"/>
          <w:sz w:val="28"/>
          <w:szCs w:val="28"/>
          <w:lang w:eastAsia="en-GB"/>
        </w:rPr>
        <w:t xml:space="preserve"> – </w:t>
      </w:r>
      <w:r w:rsidR="00791CE9" w:rsidRPr="006B589F">
        <w:rPr>
          <w:rFonts w:ascii="Arial" w:eastAsia="Times New Roman" w:hAnsi="Arial" w:cs="Arial"/>
          <w:b/>
          <w:bCs/>
          <w:color w:val="auto"/>
          <w:sz w:val="28"/>
          <w:szCs w:val="28"/>
          <w:lang w:eastAsia="en-GB"/>
        </w:rPr>
        <w:t>Default Deterioration Profiles</w:t>
      </w:r>
      <w:bookmarkEnd w:id="203"/>
    </w:p>
    <w:p w14:paraId="6B15E8EE" w14:textId="77777777" w:rsidR="004A32D5" w:rsidRDefault="004A32D5" w:rsidP="004A32D5">
      <w:pPr>
        <w:rPr>
          <w:lang w:eastAsia="en-GB"/>
        </w:rPr>
      </w:pPr>
    </w:p>
    <w:p w14:paraId="0C7D01AA" w14:textId="77777777" w:rsidR="008B3FCC" w:rsidRDefault="008B3FCC" w:rsidP="004A32D5">
      <w:pPr>
        <w:rPr>
          <w:lang w:eastAsia="en-GB"/>
        </w:rPr>
      </w:pPr>
    </w:p>
    <w:p w14:paraId="7B0EBFBF" w14:textId="77777777" w:rsidR="008B3FCC" w:rsidRDefault="008B3FCC" w:rsidP="004A32D5">
      <w:pPr>
        <w:rPr>
          <w:lang w:eastAsia="en-GB"/>
        </w:rPr>
      </w:pPr>
    </w:p>
    <w:p w14:paraId="2B02BAB4" w14:textId="77777777" w:rsidR="008B3FCC" w:rsidRDefault="008B3FCC" w:rsidP="004A32D5">
      <w:pPr>
        <w:rPr>
          <w:lang w:eastAsia="en-GB"/>
        </w:rPr>
      </w:pPr>
    </w:p>
    <w:p w14:paraId="6D028062" w14:textId="77777777" w:rsidR="008B3FCC" w:rsidRDefault="008B3FCC" w:rsidP="004A32D5">
      <w:pPr>
        <w:rPr>
          <w:lang w:eastAsia="en-GB"/>
        </w:rPr>
      </w:pPr>
    </w:p>
    <w:p w14:paraId="7E6E91CE" w14:textId="77777777" w:rsidR="008B3FCC" w:rsidRDefault="008B3FCC" w:rsidP="004A32D5">
      <w:pPr>
        <w:rPr>
          <w:lang w:eastAsia="en-GB"/>
        </w:rPr>
      </w:pPr>
    </w:p>
    <w:p w14:paraId="11E10E37" w14:textId="77777777" w:rsidR="008B3FCC" w:rsidRDefault="008B3FCC" w:rsidP="004A32D5">
      <w:pPr>
        <w:rPr>
          <w:lang w:eastAsia="en-GB"/>
        </w:rPr>
      </w:pPr>
    </w:p>
    <w:p w14:paraId="2F0E7640" w14:textId="77777777" w:rsidR="008B3FCC" w:rsidRDefault="008B3FCC" w:rsidP="004A32D5">
      <w:pPr>
        <w:rPr>
          <w:lang w:eastAsia="en-GB"/>
        </w:rPr>
      </w:pPr>
    </w:p>
    <w:p w14:paraId="6BAD851F" w14:textId="77777777" w:rsidR="008B3FCC" w:rsidRDefault="008B3FCC" w:rsidP="004A32D5">
      <w:pPr>
        <w:rPr>
          <w:lang w:eastAsia="en-GB"/>
        </w:rPr>
      </w:pPr>
    </w:p>
    <w:p w14:paraId="6DA84540" w14:textId="77777777" w:rsidR="008B3FCC" w:rsidRDefault="008B3FCC" w:rsidP="004A32D5">
      <w:pPr>
        <w:rPr>
          <w:lang w:eastAsia="en-GB"/>
        </w:rPr>
      </w:pPr>
    </w:p>
    <w:p w14:paraId="1C61B52A" w14:textId="77777777" w:rsidR="008B3FCC" w:rsidRDefault="008B3FCC" w:rsidP="004A32D5">
      <w:pPr>
        <w:rPr>
          <w:lang w:eastAsia="en-GB"/>
        </w:rPr>
      </w:pPr>
    </w:p>
    <w:p w14:paraId="3C79BA2C" w14:textId="77777777" w:rsidR="008B3FCC" w:rsidRDefault="008B3FCC" w:rsidP="004A32D5">
      <w:pPr>
        <w:rPr>
          <w:lang w:eastAsia="en-GB"/>
        </w:rPr>
      </w:pPr>
    </w:p>
    <w:p w14:paraId="728E96D7" w14:textId="77777777" w:rsidR="008B3FCC" w:rsidRDefault="008B3FCC" w:rsidP="004A32D5">
      <w:pPr>
        <w:rPr>
          <w:lang w:eastAsia="en-GB"/>
        </w:rPr>
      </w:pPr>
    </w:p>
    <w:p w14:paraId="50D58E77" w14:textId="77777777" w:rsidR="008B3FCC" w:rsidRDefault="008B3FCC" w:rsidP="004A32D5">
      <w:pPr>
        <w:rPr>
          <w:lang w:eastAsia="en-GB"/>
        </w:rPr>
      </w:pPr>
    </w:p>
    <w:p w14:paraId="15B78077" w14:textId="77777777" w:rsidR="008B3FCC" w:rsidRDefault="008B3FCC" w:rsidP="004A32D5">
      <w:pPr>
        <w:rPr>
          <w:lang w:eastAsia="en-GB"/>
        </w:rPr>
      </w:pPr>
    </w:p>
    <w:p w14:paraId="05EE6351" w14:textId="77777777" w:rsidR="008B3FCC" w:rsidRDefault="008B3FCC" w:rsidP="004A32D5">
      <w:pPr>
        <w:rPr>
          <w:lang w:eastAsia="en-GB"/>
        </w:rPr>
      </w:pPr>
    </w:p>
    <w:p w14:paraId="250B61CF" w14:textId="77777777" w:rsidR="008B3FCC" w:rsidRDefault="008B3FCC" w:rsidP="004A32D5">
      <w:pPr>
        <w:rPr>
          <w:lang w:eastAsia="en-GB"/>
        </w:rPr>
      </w:pPr>
    </w:p>
    <w:p w14:paraId="5845A192" w14:textId="77777777" w:rsidR="008B3FCC" w:rsidRDefault="008B3FCC" w:rsidP="004A32D5">
      <w:pPr>
        <w:rPr>
          <w:lang w:eastAsia="en-GB"/>
        </w:rPr>
      </w:pPr>
    </w:p>
    <w:p w14:paraId="7396AC03" w14:textId="409A3BDB" w:rsidR="00300B48" w:rsidRDefault="00300B48" w:rsidP="00300B48">
      <w:pPr>
        <w:rPr>
          <w:lang w:eastAsia="en-GB"/>
        </w:rPr>
      </w:pPr>
    </w:p>
    <w:p w14:paraId="7651EF97" w14:textId="77777777" w:rsidR="00300B48" w:rsidRDefault="00300B48" w:rsidP="00300B48">
      <w:pPr>
        <w:rPr>
          <w:lang w:eastAsia="en-GB"/>
        </w:rPr>
      </w:pPr>
    </w:p>
    <w:p w14:paraId="7701411A" w14:textId="71A7F404" w:rsidR="008B3FCC" w:rsidRDefault="008B3FCC" w:rsidP="004A32D5">
      <w:pPr>
        <w:rPr>
          <w:lang w:eastAsia="en-GB"/>
        </w:rPr>
      </w:pPr>
    </w:p>
    <w:p w14:paraId="4C4EB96D" w14:textId="77777777" w:rsidR="008B3FCC" w:rsidRDefault="008B3FCC" w:rsidP="004A32D5">
      <w:pPr>
        <w:rPr>
          <w:lang w:eastAsia="en-GB"/>
        </w:rPr>
      </w:pPr>
    </w:p>
    <w:p w14:paraId="5C0FAC16" w14:textId="77777777" w:rsidR="008B3FCC" w:rsidRDefault="008B3FCC" w:rsidP="004A32D5">
      <w:pPr>
        <w:rPr>
          <w:lang w:eastAsia="en-GB"/>
        </w:rPr>
      </w:pPr>
    </w:p>
    <w:p w14:paraId="06D1CE87" w14:textId="77777777" w:rsidR="008B3FCC" w:rsidRDefault="008B3FCC" w:rsidP="004A32D5">
      <w:pPr>
        <w:rPr>
          <w:lang w:eastAsia="en-GB"/>
        </w:rPr>
      </w:pPr>
    </w:p>
    <w:p w14:paraId="4BA36F55" w14:textId="77777777" w:rsidR="008B3FCC" w:rsidRDefault="008B3FCC" w:rsidP="004A32D5">
      <w:pPr>
        <w:rPr>
          <w:lang w:eastAsia="en-GB"/>
        </w:rPr>
      </w:pPr>
    </w:p>
    <w:p w14:paraId="1DAF4180" w14:textId="77777777" w:rsidR="008B3FCC" w:rsidRDefault="008B3FCC" w:rsidP="004A32D5">
      <w:pPr>
        <w:rPr>
          <w:lang w:eastAsia="en-GB"/>
        </w:rPr>
      </w:pPr>
    </w:p>
    <w:p w14:paraId="1674F597" w14:textId="57F2EE5D" w:rsidR="008B3FCC" w:rsidRDefault="008B3FCC" w:rsidP="004A32D5">
      <w:pPr>
        <w:rPr>
          <w:lang w:eastAsia="en-GB"/>
        </w:rPr>
        <w:sectPr w:rsidR="008B3FCC" w:rsidSect="009C5C56">
          <w:pgSz w:w="11906" w:h="16838"/>
          <w:pgMar w:top="1440" w:right="1440" w:bottom="1440" w:left="1440" w:header="708" w:footer="708" w:gutter="0"/>
          <w:cols w:space="708"/>
          <w:titlePg/>
          <w:docGrid w:linePitch="360"/>
        </w:sectPr>
      </w:pPr>
    </w:p>
    <w:p w14:paraId="2EC81E65" w14:textId="19E628E9" w:rsidR="00436230" w:rsidRPr="00AF0B8D" w:rsidRDefault="00436230" w:rsidP="001E38FF">
      <w:pPr>
        <w:pStyle w:val="Heading1"/>
        <w:numPr>
          <w:ilvl w:val="0"/>
          <w:numId w:val="0"/>
        </w:numPr>
        <w:rPr>
          <w:rFonts w:ascii="Arial" w:eastAsia="Times New Roman" w:hAnsi="Arial" w:cs="Arial"/>
          <w:b/>
          <w:bCs/>
          <w:color w:val="auto"/>
          <w:sz w:val="28"/>
          <w:szCs w:val="28"/>
          <w:lang w:eastAsia="en-GB"/>
        </w:rPr>
      </w:pPr>
      <w:bookmarkStart w:id="204" w:name="_Toc66868946"/>
      <w:r w:rsidRPr="00AF0B8D">
        <w:rPr>
          <w:rFonts w:ascii="Arial" w:eastAsia="Times New Roman" w:hAnsi="Arial" w:cs="Arial"/>
          <w:b/>
          <w:bCs/>
          <w:color w:val="auto"/>
          <w:sz w:val="28"/>
          <w:szCs w:val="28"/>
          <w:lang w:eastAsia="en-GB"/>
        </w:rPr>
        <w:t xml:space="preserve">Appendix </w:t>
      </w:r>
      <w:r w:rsidR="0071734B" w:rsidRPr="00AF0B8D">
        <w:rPr>
          <w:rFonts w:ascii="Arial" w:eastAsia="Times New Roman" w:hAnsi="Arial" w:cs="Arial"/>
          <w:b/>
          <w:bCs/>
          <w:color w:val="auto"/>
          <w:sz w:val="28"/>
          <w:szCs w:val="28"/>
          <w:lang w:eastAsia="en-GB"/>
        </w:rPr>
        <w:t>C</w:t>
      </w:r>
      <w:r w:rsidRPr="00AF0B8D">
        <w:rPr>
          <w:rFonts w:ascii="Arial" w:eastAsia="Times New Roman" w:hAnsi="Arial" w:cs="Arial"/>
          <w:b/>
          <w:bCs/>
          <w:color w:val="auto"/>
          <w:sz w:val="28"/>
          <w:szCs w:val="28"/>
          <w:lang w:eastAsia="en-GB"/>
        </w:rPr>
        <w:t xml:space="preserve"> – Element or Structure Size Formula</w:t>
      </w:r>
      <w:bookmarkEnd w:id="204"/>
    </w:p>
    <w:p w14:paraId="655F4C51" w14:textId="13FFA8EE" w:rsidR="000C4A0D" w:rsidRDefault="000C4A0D" w:rsidP="000C4A0D">
      <w:pPr>
        <w:rPr>
          <w:lang w:eastAsia="en-GB"/>
        </w:rPr>
      </w:pPr>
    </w:p>
    <w:p w14:paraId="52005C58" w14:textId="1A37FB4F" w:rsidR="000C4A0D" w:rsidRDefault="000C4A0D" w:rsidP="000C4A0D">
      <w:pPr>
        <w:rPr>
          <w:lang w:eastAsia="en-GB"/>
        </w:rPr>
      </w:pPr>
    </w:p>
    <w:p w14:paraId="056352F0" w14:textId="77777777" w:rsidR="0071734B" w:rsidRDefault="0071734B" w:rsidP="000C4A0D">
      <w:pPr>
        <w:rPr>
          <w:lang w:eastAsia="en-GB"/>
        </w:rPr>
        <w:sectPr w:rsidR="0071734B" w:rsidSect="009C5C56">
          <w:pgSz w:w="11906" w:h="16838"/>
          <w:pgMar w:top="1440" w:right="1440" w:bottom="1440" w:left="1440" w:header="708" w:footer="708" w:gutter="0"/>
          <w:cols w:space="708"/>
          <w:titlePg/>
          <w:docGrid w:linePitch="360"/>
        </w:sectPr>
      </w:pPr>
    </w:p>
    <w:p w14:paraId="6B97242E" w14:textId="25DE6722" w:rsidR="000C4A0D" w:rsidRPr="00AF0B8D" w:rsidRDefault="000C4A0D" w:rsidP="006B589F">
      <w:pPr>
        <w:pStyle w:val="Heading1"/>
        <w:numPr>
          <w:ilvl w:val="0"/>
          <w:numId w:val="0"/>
        </w:numPr>
        <w:rPr>
          <w:rFonts w:ascii="Arial" w:eastAsia="Times New Roman" w:hAnsi="Arial" w:cs="Arial"/>
          <w:b/>
          <w:bCs/>
          <w:color w:val="auto"/>
          <w:sz w:val="28"/>
          <w:szCs w:val="28"/>
          <w:lang w:eastAsia="en-GB"/>
        </w:rPr>
      </w:pPr>
      <w:bookmarkStart w:id="205" w:name="_Toc66868947"/>
      <w:r w:rsidRPr="00AF0B8D">
        <w:rPr>
          <w:rFonts w:ascii="Arial" w:eastAsia="Times New Roman" w:hAnsi="Arial" w:cs="Arial"/>
          <w:b/>
          <w:bCs/>
          <w:color w:val="auto"/>
          <w:sz w:val="28"/>
          <w:szCs w:val="28"/>
          <w:lang w:eastAsia="en-GB"/>
        </w:rPr>
        <w:t xml:space="preserve">Appendix </w:t>
      </w:r>
      <w:r w:rsidR="0071734B" w:rsidRPr="00AF0B8D">
        <w:rPr>
          <w:rFonts w:ascii="Arial" w:eastAsia="Times New Roman" w:hAnsi="Arial" w:cs="Arial"/>
          <w:b/>
          <w:bCs/>
          <w:color w:val="auto"/>
          <w:sz w:val="28"/>
          <w:szCs w:val="28"/>
          <w:lang w:eastAsia="en-GB"/>
        </w:rPr>
        <w:t>D</w:t>
      </w:r>
      <w:r w:rsidRPr="00AF0B8D">
        <w:rPr>
          <w:rFonts w:ascii="Arial" w:eastAsia="Times New Roman" w:hAnsi="Arial" w:cs="Arial"/>
          <w:b/>
          <w:bCs/>
          <w:color w:val="auto"/>
          <w:sz w:val="28"/>
          <w:szCs w:val="28"/>
          <w:lang w:eastAsia="en-GB"/>
        </w:rPr>
        <w:t xml:space="preserve"> – Default Intervention Levels and Effects</w:t>
      </w:r>
      <w:bookmarkEnd w:id="205"/>
      <w:r w:rsidRPr="00AF0B8D">
        <w:rPr>
          <w:rFonts w:ascii="Arial" w:eastAsia="Times New Roman" w:hAnsi="Arial" w:cs="Arial"/>
          <w:b/>
          <w:bCs/>
          <w:color w:val="auto"/>
          <w:sz w:val="28"/>
          <w:szCs w:val="28"/>
          <w:lang w:eastAsia="en-GB"/>
        </w:rPr>
        <w:t xml:space="preserve"> </w:t>
      </w:r>
    </w:p>
    <w:p w14:paraId="62B39A39" w14:textId="77777777" w:rsidR="0071734B" w:rsidRDefault="0071734B" w:rsidP="00B923B0">
      <w:pPr>
        <w:rPr>
          <w:lang w:eastAsia="en-GB"/>
        </w:rPr>
        <w:sectPr w:rsidR="0071734B" w:rsidSect="009C5C56">
          <w:pgSz w:w="11906" w:h="16838"/>
          <w:pgMar w:top="1440" w:right="1440" w:bottom="1440" w:left="1440" w:header="708" w:footer="708" w:gutter="0"/>
          <w:cols w:space="708"/>
          <w:titlePg/>
          <w:docGrid w:linePitch="360"/>
        </w:sectPr>
      </w:pPr>
    </w:p>
    <w:p w14:paraId="36566D44" w14:textId="5A217308" w:rsidR="00B923B0" w:rsidRPr="006B589F" w:rsidRDefault="00B923B0" w:rsidP="006B589F">
      <w:pPr>
        <w:pStyle w:val="Heading1"/>
        <w:numPr>
          <w:ilvl w:val="0"/>
          <w:numId w:val="0"/>
        </w:numPr>
        <w:rPr>
          <w:rFonts w:ascii="Arial" w:eastAsia="Times New Roman" w:hAnsi="Arial" w:cs="Arial"/>
          <w:b/>
          <w:bCs/>
          <w:color w:val="auto"/>
          <w:sz w:val="28"/>
          <w:szCs w:val="28"/>
          <w:lang w:eastAsia="en-GB"/>
        </w:rPr>
      </w:pPr>
      <w:bookmarkStart w:id="206" w:name="_Toc66868948"/>
      <w:r w:rsidRPr="006B589F">
        <w:rPr>
          <w:rFonts w:ascii="Arial" w:eastAsia="Times New Roman" w:hAnsi="Arial" w:cs="Arial"/>
          <w:b/>
          <w:bCs/>
          <w:color w:val="auto"/>
          <w:sz w:val="28"/>
          <w:szCs w:val="28"/>
          <w:lang w:eastAsia="en-GB"/>
        </w:rPr>
        <w:t xml:space="preserve">Appendix </w:t>
      </w:r>
      <w:r w:rsidR="0071734B" w:rsidRPr="006B589F">
        <w:rPr>
          <w:rFonts w:ascii="Arial" w:eastAsia="Times New Roman" w:hAnsi="Arial" w:cs="Arial"/>
          <w:b/>
          <w:bCs/>
          <w:color w:val="auto"/>
          <w:sz w:val="28"/>
          <w:szCs w:val="28"/>
          <w:lang w:eastAsia="en-GB"/>
        </w:rPr>
        <w:t>E</w:t>
      </w:r>
      <w:r w:rsidRPr="006B589F">
        <w:rPr>
          <w:rFonts w:ascii="Arial" w:eastAsia="Times New Roman" w:hAnsi="Arial" w:cs="Arial"/>
          <w:b/>
          <w:bCs/>
          <w:color w:val="auto"/>
          <w:sz w:val="28"/>
          <w:szCs w:val="28"/>
          <w:lang w:eastAsia="en-GB"/>
        </w:rPr>
        <w:t xml:space="preserve"> – Base Unit Rates</w:t>
      </w:r>
      <w:r w:rsidR="00B63E29" w:rsidRPr="006B589F">
        <w:rPr>
          <w:rFonts w:ascii="Arial" w:eastAsia="Times New Roman" w:hAnsi="Arial" w:cs="Arial"/>
          <w:b/>
          <w:bCs/>
          <w:color w:val="auto"/>
          <w:sz w:val="28"/>
          <w:szCs w:val="28"/>
          <w:lang w:eastAsia="en-GB"/>
        </w:rPr>
        <w:t xml:space="preserve"> and </w:t>
      </w:r>
      <w:r w:rsidR="008E18E9" w:rsidRPr="006B589F">
        <w:rPr>
          <w:rFonts w:ascii="Arial" w:eastAsia="Times New Roman" w:hAnsi="Arial" w:cs="Arial"/>
          <w:b/>
          <w:bCs/>
          <w:color w:val="auto"/>
          <w:sz w:val="28"/>
          <w:szCs w:val="28"/>
          <w:lang w:eastAsia="en-GB"/>
        </w:rPr>
        <w:t>Add-on Costs</w:t>
      </w:r>
      <w:bookmarkEnd w:id="206"/>
    </w:p>
    <w:p w14:paraId="727949B2" w14:textId="199AD75E" w:rsidR="001872E9" w:rsidRPr="001872E9" w:rsidRDefault="001872E9" w:rsidP="00DC2DD9">
      <w:pPr>
        <w:spacing w:line="360" w:lineRule="auto"/>
        <w:rPr>
          <w:rFonts w:ascii="Arial" w:eastAsia="Times New Roman" w:hAnsi="Arial" w:cs="Arial"/>
          <w:b/>
          <w:bCs/>
          <w:lang w:eastAsia="en-GB"/>
        </w:rPr>
        <w:sectPr w:rsidR="001872E9" w:rsidRPr="001872E9" w:rsidSect="009C5C56">
          <w:pgSz w:w="11906" w:h="16838"/>
          <w:pgMar w:top="1440" w:right="1440" w:bottom="1440" w:left="1440" w:header="708" w:footer="708" w:gutter="0"/>
          <w:cols w:space="708"/>
          <w:titlePg/>
          <w:docGrid w:linePitch="360"/>
        </w:sectPr>
      </w:pPr>
      <w:r>
        <w:rPr>
          <w:rFonts w:ascii="Arial" w:hAnsi="Arial" w:cs="Arial"/>
          <w:lang w:eastAsia="en-GB"/>
        </w:rPr>
        <w:t>Note:</w:t>
      </w:r>
      <w:r w:rsidR="004D4305">
        <w:rPr>
          <w:rFonts w:ascii="Arial" w:hAnsi="Arial" w:cs="Arial"/>
          <w:lang w:eastAsia="en-GB"/>
        </w:rPr>
        <w:t xml:space="preserve"> All costs</w:t>
      </w:r>
      <w:r w:rsidRPr="001872E9">
        <w:rPr>
          <w:rFonts w:ascii="Arial" w:hAnsi="Arial" w:cs="Arial"/>
          <w:lang w:eastAsia="en-GB"/>
        </w:rPr>
        <w:t xml:space="preserve"> were indexed to the base year in the analysis using ROADCON Tender Price Index of Road Construction.</w:t>
      </w:r>
    </w:p>
    <w:p w14:paraId="621B9F2C" w14:textId="59D1924B" w:rsidR="00B923B0" w:rsidRPr="006B589F" w:rsidRDefault="00B923B0" w:rsidP="006B589F">
      <w:pPr>
        <w:pStyle w:val="Heading1"/>
        <w:numPr>
          <w:ilvl w:val="0"/>
          <w:numId w:val="0"/>
        </w:numPr>
        <w:rPr>
          <w:rFonts w:ascii="Arial" w:eastAsia="Times New Roman" w:hAnsi="Arial" w:cs="Arial"/>
          <w:b/>
          <w:bCs/>
          <w:color w:val="auto"/>
          <w:sz w:val="28"/>
          <w:szCs w:val="28"/>
          <w:lang w:eastAsia="en-GB"/>
        </w:rPr>
      </w:pPr>
      <w:bookmarkStart w:id="207" w:name="_Toc66868949"/>
      <w:r w:rsidRPr="006B589F">
        <w:rPr>
          <w:rFonts w:ascii="Arial" w:eastAsia="Times New Roman" w:hAnsi="Arial" w:cs="Arial"/>
          <w:b/>
          <w:bCs/>
          <w:color w:val="auto"/>
          <w:sz w:val="28"/>
          <w:szCs w:val="28"/>
          <w:lang w:eastAsia="en-GB"/>
        </w:rPr>
        <w:t xml:space="preserve">Appendix </w:t>
      </w:r>
      <w:r w:rsidR="0071734B" w:rsidRPr="006B589F">
        <w:rPr>
          <w:rFonts w:ascii="Arial" w:eastAsia="Times New Roman" w:hAnsi="Arial" w:cs="Arial"/>
          <w:b/>
          <w:bCs/>
          <w:color w:val="auto"/>
          <w:sz w:val="28"/>
          <w:szCs w:val="28"/>
          <w:lang w:eastAsia="en-GB"/>
        </w:rPr>
        <w:t>F</w:t>
      </w:r>
      <w:r w:rsidRPr="006B589F">
        <w:rPr>
          <w:rFonts w:ascii="Arial" w:eastAsia="Times New Roman" w:hAnsi="Arial" w:cs="Arial"/>
          <w:b/>
          <w:bCs/>
          <w:color w:val="auto"/>
          <w:sz w:val="28"/>
          <w:szCs w:val="28"/>
          <w:lang w:eastAsia="en-GB"/>
        </w:rPr>
        <w:t xml:space="preserve"> – Element or Structure Size Formula</w:t>
      </w:r>
      <w:bookmarkEnd w:id="207"/>
    </w:p>
    <w:p w14:paraId="529850BE" w14:textId="77777777" w:rsidR="0071734B" w:rsidRDefault="0071734B" w:rsidP="00B923B0">
      <w:pPr>
        <w:rPr>
          <w:lang w:eastAsia="en-GB"/>
        </w:rPr>
        <w:sectPr w:rsidR="0071734B" w:rsidSect="009C5C56">
          <w:pgSz w:w="11906" w:h="16838"/>
          <w:pgMar w:top="1440" w:right="1440" w:bottom="1440" w:left="1440" w:header="708" w:footer="708" w:gutter="0"/>
          <w:cols w:space="708"/>
          <w:titlePg/>
          <w:docGrid w:linePitch="360"/>
        </w:sectPr>
      </w:pPr>
    </w:p>
    <w:p w14:paraId="519D645C" w14:textId="5BAE3C0F" w:rsidR="007364CD" w:rsidRPr="006B589F" w:rsidRDefault="007364CD" w:rsidP="006B589F">
      <w:pPr>
        <w:pStyle w:val="Heading1"/>
        <w:numPr>
          <w:ilvl w:val="0"/>
          <w:numId w:val="0"/>
        </w:numPr>
        <w:rPr>
          <w:rFonts w:ascii="Arial" w:eastAsia="Times New Roman" w:hAnsi="Arial" w:cs="Arial"/>
          <w:b/>
          <w:bCs/>
          <w:color w:val="auto"/>
          <w:sz w:val="28"/>
          <w:szCs w:val="28"/>
          <w:lang w:eastAsia="en-GB"/>
        </w:rPr>
      </w:pPr>
      <w:bookmarkStart w:id="208" w:name="_Toc66868950"/>
      <w:r w:rsidRPr="006B589F">
        <w:rPr>
          <w:rFonts w:ascii="Arial" w:eastAsia="Times New Roman" w:hAnsi="Arial" w:cs="Arial"/>
          <w:b/>
          <w:bCs/>
          <w:color w:val="auto"/>
          <w:sz w:val="28"/>
          <w:szCs w:val="28"/>
          <w:lang w:eastAsia="en-GB"/>
        </w:rPr>
        <w:t xml:space="preserve">Appendix </w:t>
      </w:r>
      <w:r w:rsidR="006B589F" w:rsidRPr="006B589F">
        <w:rPr>
          <w:rFonts w:ascii="Arial" w:eastAsia="Times New Roman" w:hAnsi="Arial" w:cs="Arial"/>
          <w:b/>
          <w:bCs/>
          <w:color w:val="auto"/>
          <w:sz w:val="28"/>
          <w:szCs w:val="28"/>
          <w:lang w:eastAsia="en-GB"/>
        </w:rPr>
        <w:t>G</w:t>
      </w:r>
      <w:r w:rsidRPr="006B589F">
        <w:rPr>
          <w:rFonts w:ascii="Arial" w:eastAsia="Times New Roman" w:hAnsi="Arial" w:cs="Arial"/>
          <w:b/>
          <w:bCs/>
          <w:color w:val="auto"/>
          <w:sz w:val="28"/>
          <w:szCs w:val="28"/>
          <w:lang w:eastAsia="en-GB"/>
        </w:rPr>
        <w:t xml:space="preserve"> – Vehicle Emissions</w:t>
      </w:r>
      <w:bookmarkEnd w:id="208"/>
    </w:p>
    <w:p w14:paraId="2539FFBB" w14:textId="3D146D0B" w:rsidR="00EC5191" w:rsidRDefault="00EC5191" w:rsidP="007364CD">
      <w:pPr>
        <w:rPr>
          <w:rFonts w:ascii="Arial" w:eastAsia="Times New Roman" w:hAnsi="Arial" w:cs="Arial"/>
          <w:b/>
          <w:bCs/>
          <w:sz w:val="32"/>
          <w:szCs w:val="32"/>
          <w:lang w:eastAsia="en-GB"/>
        </w:rPr>
      </w:pPr>
    </w:p>
    <w:p w14:paraId="53A81D1B" w14:textId="7371740A" w:rsidR="00EC5191" w:rsidRDefault="00EC5191" w:rsidP="007364CD">
      <w:pPr>
        <w:rPr>
          <w:rFonts w:ascii="Arial" w:eastAsia="Times New Roman" w:hAnsi="Arial" w:cs="Arial"/>
          <w:b/>
          <w:bCs/>
          <w:sz w:val="32"/>
          <w:szCs w:val="32"/>
          <w:lang w:eastAsia="en-GB"/>
        </w:rPr>
      </w:pPr>
    </w:p>
    <w:p w14:paraId="627D9EAA" w14:textId="083CC37E" w:rsidR="00EC5191" w:rsidRDefault="00EC5191" w:rsidP="007364CD">
      <w:pPr>
        <w:rPr>
          <w:rFonts w:ascii="Arial" w:eastAsia="Times New Roman" w:hAnsi="Arial" w:cs="Arial"/>
          <w:b/>
          <w:bCs/>
          <w:sz w:val="32"/>
          <w:szCs w:val="32"/>
          <w:lang w:eastAsia="en-GB"/>
        </w:rPr>
      </w:pPr>
    </w:p>
    <w:p w14:paraId="1E24632F" w14:textId="74FDD491" w:rsidR="00EC5191" w:rsidRDefault="00EC5191" w:rsidP="007364CD">
      <w:pPr>
        <w:rPr>
          <w:rFonts w:ascii="Arial" w:eastAsia="Times New Roman" w:hAnsi="Arial" w:cs="Arial"/>
          <w:b/>
          <w:bCs/>
          <w:sz w:val="32"/>
          <w:szCs w:val="32"/>
          <w:lang w:eastAsia="en-GB"/>
        </w:rPr>
      </w:pPr>
    </w:p>
    <w:p w14:paraId="48D0BE5A" w14:textId="0B237052" w:rsidR="00EC5191" w:rsidRDefault="00EC5191" w:rsidP="007364CD">
      <w:pPr>
        <w:rPr>
          <w:rFonts w:ascii="Arial" w:eastAsia="Times New Roman" w:hAnsi="Arial" w:cs="Arial"/>
          <w:b/>
          <w:bCs/>
          <w:sz w:val="32"/>
          <w:szCs w:val="32"/>
          <w:lang w:eastAsia="en-GB"/>
        </w:rPr>
      </w:pPr>
    </w:p>
    <w:p w14:paraId="6998A34C" w14:textId="1FBD8C94" w:rsidR="00EC5191" w:rsidRDefault="00EC5191" w:rsidP="007364CD">
      <w:pPr>
        <w:rPr>
          <w:rFonts w:ascii="Arial" w:eastAsia="Times New Roman" w:hAnsi="Arial" w:cs="Arial"/>
          <w:b/>
          <w:bCs/>
          <w:sz w:val="32"/>
          <w:szCs w:val="32"/>
          <w:lang w:eastAsia="en-GB"/>
        </w:rPr>
      </w:pPr>
    </w:p>
    <w:p w14:paraId="45C6C7CE" w14:textId="75EC12F5" w:rsidR="00EC5191" w:rsidRDefault="00EC5191" w:rsidP="007364CD">
      <w:pPr>
        <w:rPr>
          <w:rFonts w:ascii="Arial" w:eastAsia="Times New Roman" w:hAnsi="Arial" w:cs="Arial"/>
          <w:b/>
          <w:bCs/>
          <w:sz w:val="32"/>
          <w:szCs w:val="32"/>
          <w:lang w:eastAsia="en-GB"/>
        </w:rPr>
      </w:pPr>
    </w:p>
    <w:p w14:paraId="7CA03B22" w14:textId="2A098A8D" w:rsidR="00EC5191" w:rsidRDefault="00EC5191" w:rsidP="007364CD">
      <w:pPr>
        <w:rPr>
          <w:rFonts w:ascii="Arial" w:eastAsia="Times New Roman" w:hAnsi="Arial" w:cs="Arial"/>
          <w:b/>
          <w:bCs/>
          <w:sz w:val="32"/>
          <w:szCs w:val="32"/>
          <w:lang w:eastAsia="en-GB"/>
        </w:rPr>
      </w:pPr>
    </w:p>
    <w:p w14:paraId="4B151F29" w14:textId="04593CDE" w:rsidR="00EC5191" w:rsidRDefault="00EC5191" w:rsidP="007364CD">
      <w:pPr>
        <w:rPr>
          <w:rFonts w:ascii="Arial" w:eastAsia="Times New Roman" w:hAnsi="Arial" w:cs="Arial"/>
          <w:b/>
          <w:bCs/>
          <w:sz w:val="32"/>
          <w:szCs w:val="32"/>
          <w:lang w:eastAsia="en-GB"/>
        </w:rPr>
      </w:pPr>
    </w:p>
    <w:p w14:paraId="6E80C35F" w14:textId="5CD41297" w:rsidR="00EC5191" w:rsidRDefault="00EC5191" w:rsidP="007364CD">
      <w:pPr>
        <w:rPr>
          <w:rFonts w:ascii="Arial" w:eastAsia="Times New Roman" w:hAnsi="Arial" w:cs="Arial"/>
          <w:b/>
          <w:bCs/>
          <w:sz w:val="32"/>
          <w:szCs w:val="32"/>
          <w:lang w:eastAsia="en-GB"/>
        </w:rPr>
      </w:pPr>
    </w:p>
    <w:p w14:paraId="4EDA0717" w14:textId="1D4EEE33" w:rsidR="00EC5191" w:rsidRDefault="00EC5191" w:rsidP="007364CD">
      <w:pPr>
        <w:rPr>
          <w:rFonts w:ascii="Arial" w:eastAsia="Times New Roman" w:hAnsi="Arial" w:cs="Arial"/>
          <w:b/>
          <w:bCs/>
          <w:sz w:val="32"/>
          <w:szCs w:val="32"/>
          <w:lang w:eastAsia="en-GB"/>
        </w:rPr>
      </w:pPr>
    </w:p>
    <w:p w14:paraId="7814E321" w14:textId="545A6990" w:rsidR="00EC5191" w:rsidRDefault="00EC5191" w:rsidP="007364CD">
      <w:pPr>
        <w:rPr>
          <w:rFonts w:ascii="Arial" w:eastAsia="Times New Roman" w:hAnsi="Arial" w:cs="Arial"/>
          <w:b/>
          <w:bCs/>
          <w:sz w:val="32"/>
          <w:szCs w:val="32"/>
          <w:lang w:eastAsia="en-GB"/>
        </w:rPr>
      </w:pPr>
    </w:p>
    <w:p w14:paraId="2B90ADD4" w14:textId="686962CC" w:rsidR="00EC5191" w:rsidRDefault="00EC5191" w:rsidP="007364CD">
      <w:pPr>
        <w:rPr>
          <w:rFonts w:ascii="Arial" w:eastAsia="Times New Roman" w:hAnsi="Arial" w:cs="Arial"/>
          <w:b/>
          <w:bCs/>
          <w:sz w:val="32"/>
          <w:szCs w:val="32"/>
          <w:lang w:eastAsia="en-GB"/>
        </w:rPr>
      </w:pPr>
    </w:p>
    <w:p w14:paraId="2E002293" w14:textId="563B1B8C" w:rsidR="00EC5191" w:rsidRDefault="00EC5191" w:rsidP="007364CD">
      <w:pPr>
        <w:rPr>
          <w:rFonts w:ascii="Arial" w:eastAsia="Times New Roman" w:hAnsi="Arial" w:cs="Arial"/>
          <w:b/>
          <w:bCs/>
          <w:sz w:val="32"/>
          <w:szCs w:val="32"/>
          <w:lang w:eastAsia="en-GB"/>
        </w:rPr>
      </w:pPr>
    </w:p>
    <w:p w14:paraId="349CA1E7" w14:textId="77FBDECD" w:rsidR="00EC5191" w:rsidRDefault="00EC5191" w:rsidP="007364CD">
      <w:pPr>
        <w:rPr>
          <w:rFonts w:ascii="Arial" w:eastAsia="Times New Roman" w:hAnsi="Arial" w:cs="Arial"/>
          <w:b/>
          <w:bCs/>
          <w:sz w:val="32"/>
          <w:szCs w:val="32"/>
          <w:lang w:eastAsia="en-GB"/>
        </w:rPr>
      </w:pPr>
    </w:p>
    <w:p w14:paraId="149F4E0B" w14:textId="3E81C14E" w:rsidR="00EC5191" w:rsidRDefault="00EC5191" w:rsidP="007364CD">
      <w:pPr>
        <w:rPr>
          <w:rFonts w:ascii="Arial" w:eastAsia="Times New Roman" w:hAnsi="Arial" w:cs="Arial"/>
          <w:b/>
          <w:bCs/>
          <w:sz w:val="32"/>
          <w:szCs w:val="32"/>
          <w:lang w:eastAsia="en-GB"/>
        </w:rPr>
      </w:pPr>
    </w:p>
    <w:p w14:paraId="12E1A7DA" w14:textId="75F119DA" w:rsidR="00EC5191" w:rsidRDefault="00EC5191" w:rsidP="007364CD">
      <w:pPr>
        <w:rPr>
          <w:rFonts w:ascii="Arial" w:eastAsia="Times New Roman" w:hAnsi="Arial" w:cs="Arial"/>
          <w:b/>
          <w:bCs/>
          <w:sz w:val="32"/>
          <w:szCs w:val="32"/>
          <w:lang w:eastAsia="en-GB"/>
        </w:rPr>
      </w:pPr>
    </w:p>
    <w:p w14:paraId="3D79C139" w14:textId="02F67975" w:rsidR="00EC5191" w:rsidRDefault="00EC5191" w:rsidP="007364CD">
      <w:pPr>
        <w:rPr>
          <w:rFonts w:ascii="Arial" w:eastAsia="Times New Roman" w:hAnsi="Arial" w:cs="Arial"/>
          <w:b/>
          <w:bCs/>
          <w:sz w:val="32"/>
          <w:szCs w:val="32"/>
          <w:lang w:eastAsia="en-GB"/>
        </w:rPr>
      </w:pPr>
    </w:p>
    <w:p w14:paraId="449E3780" w14:textId="04C3F39C" w:rsidR="00EC5191" w:rsidRDefault="00EC5191" w:rsidP="007364CD">
      <w:pPr>
        <w:rPr>
          <w:rFonts w:ascii="Arial" w:eastAsia="Times New Roman" w:hAnsi="Arial" w:cs="Arial"/>
          <w:b/>
          <w:bCs/>
          <w:sz w:val="32"/>
          <w:szCs w:val="32"/>
          <w:lang w:eastAsia="en-GB"/>
        </w:rPr>
      </w:pPr>
    </w:p>
    <w:p w14:paraId="6C656470" w14:textId="030BD942" w:rsidR="00EC5191" w:rsidRDefault="00EC5191" w:rsidP="007364CD">
      <w:pPr>
        <w:rPr>
          <w:rFonts w:ascii="Arial" w:eastAsia="Times New Roman" w:hAnsi="Arial" w:cs="Arial"/>
          <w:b/>
          <w:bCs/>
          <w:sz w:val="32"/>
          <w:szCs w:val="32"/>
          <w:lang w:eastAsia="en-GB"/>
        </w:rPr>
      </w:pPr>
    </w:p>
    <w:p w14:paraId="789A6123" w14:textId="77777777" w:rsidR="0046035C" w:rsidRDefault="0046035C" w:rsidP="007364CD">
      <w:pPr>
        <w:rPr>
          <w:rFonts w:ascii="Arial" w:eastAsia="Times New Roman" w:hAnsi="Arial" w:cs="Arial"/>
          <w:b/>
          <w:bCs/>
          <w:sz w:val="32"/>
          <w:szCs w:val="32"/>
          <w:lang w:eastAsia="en-GB"/>
        </w:rPr>
      </w:pPr>
    </w:p>
    <w:p w14:paraId="6F29764D" w14:textId="24AC4C3B" w:rsidR="00EC5191" w:rsidRDefault="00EC5191" w:rsidP="007364CD">
      <w:pPr>
        <w:rPr>
          <w:rFonts w:ascii="Arial" w:eastAsia="Times New Roman" w:hAnsi="Arial" w:cs="Arial"/>
          <w:b/>
          <w:bCs/>
          <w:sz w:val="32"/>
          <w:szCs w:val="32"/>
          <w:lang w:eastAsia="en-GB"/>
        </w:rPr>
      </w:pPr>
    </w:p>
    <w:p w14:paraId="00F52869" w14:textId="581C07BB" w:rsidR="00EC5191" w:rsidRDefault="00EC5191" w:rsidP="007364CD">
      <w:pPr>
        <w:rPr>
          <w:rFonts w:ascii="Arial" w:eastAsia="Times New Roman" w:hAnsi="Arial" w:cs="Arial"/>
          <w:b/>
          <w:bCs/>
          <w:sz w:val="32"/>
          <w:szCs w:val="32"/>
          <w:lang w:eastAsia="en-GB"/>
        </w:rPr>
      </w:pPr>
    </w:p>
    <w:p w14:paraId="466164A1" w14:textId="77777777" w:rsidR="00EC5191" w:rsidRPr="0071734B" w:rsidRDefault="00EC5191" w:rsidP="007364CD">
      <w:pPr>
        <w:rPr>
          <w:rFonts w:ascii="Arial" w:eastAsia="Times New Roman" w:hAnsi="Arial" w:cs="Arial"/>
          <w:b/>
          <w:bCs/>
          <w:sz w:val="32"/>
          <w:szCs w:val="32"/>
          <w:lang w:eastAsia="en-GB"/>
        </w:rPr>
      </w:pPr>
    </w:p>
    <w:tbl>
      <w:tblPr>
        <w:tblW w:w="8640" w:type="dxa"/>
        <w:tblLook w:val="04A0" w:firstRow="1" w:lastRow="0" w:firstColumn="1" w:lastColumn="0" w:noHBand="0" w:noVBand="1"/>
      </w:tblPr>
      <w:tblGrid>
        <w:gridCol w:w="960"/>
        <w:gridCol w:w="960"/>
        <w:gridCol w:w="960"/>
        <w:gridCol w:w="960"/>
        <w:gridCol w:w="960"/>
        <w:gridCol w:w="960"/>
        <w:gridCol w:w="960"/>
        <w:gridCol w:w="960"/>
        <w:gridCol w:w="960"/>
      </w:tblGrid>
      <w:tr w:rsidR="00663CAF" w:rsidRPr="00663CAF" w14:paraId="07D500CC" w14:textId="77777777" w:rsidTr="00663CAF">
        <w:trPr>
          <w:trHeight w:val="345"/>
        </w:trPr>
        <w:tc>
          <w:tcPr>
            <w:tcW w:w="960" w:type="dxa"/>
            <w:tcBorders>
              <w:top w:val="single" w:sz="8" w:space="0" w:color="auto"/>
              <w:left w:val="single" w:sz="8" w:space="0" w:color="auto"/>
              <w:bottom w:val="single" w:sz="8" w:space="0" w:color="auto"/>
              <w:right w:val="single" w:sz="8" w:space="0" w:color="auto"/>
            </w:tcBorders>
            <w:shd w:val="clear" w:color="000000" w:fill="000099"/>
            <w:noWrap/>
            <w:vAlign w:val="center"/>
            <w:hideMark/>
          </w:tcPr>
          <w:p w14:paraId="31385918" w14:textId="77777777" w:rsidR="00663CAF" w:rsidRPr="00663CAF" w:rsidRDefault="00663CAF" w:rsidP="00663CAF">
            <w:pPr>
              <w:spacing w:after="0" w:line="240" w:lineRule="auto"/>
              <w:rPr>
                <w:rFonts w:ascii="Arial" w:eastAsia="Times New Roman" w:hAnsi="Arial" w:cs="Arial"/>
                <w:color w:val="000000"/>
                <w:lang w:eastAsia="en-GB"/>
              </w:rPr>
            </w:pPr>
            <w:r w:rsidRPr="00663CAF">
              <w:rPr>
                <w:rFonts w:ascii="Arial" w:eastAsia="Times New Roman" w:hAnsi="Arial" w:cs="Arial"/>
                <w:color w:val="000000"/>
                <w:lang w:eastAsia="en-GB"/>
              </w:rPr>
              <w:t> </w:t>
            </w:r>
          </w:p>
        </w:tc>
        <w:tc>
          <w:tcPr>
            <w:tcW w:w="7680" w:type="dxa"/>
            <w:gridSpan w:val="8"/>
            <w:tcBorders>
              <w:top w:val="single" w:sz="8" w:space="0" w:color="auto"/>
              <w:left w:val="nil"/>
              <w:bottom w:val="single" w:sz="8" w:space="0" w:color="auto"/>
              <w:right w:val="single" w:sz="8" w:space="0" w:color="000000"/>
            </w:tcBorders>
            <w:shd w:val="clear" w:color="000000" w:fill="000099"/>
            <w:noWrap/>
            <w:vAlign w:val="center"/>
            <w:hideMark/>
          </w:tcPr>
          <w:p w14:paraId="59BECD40" w14:textId="77777777" w:rsidR="00663CAF" w:rsidRPr="00663CAF" w:rsidRDefault="00663CAF" w:rsidP="00663CAF">
            <w:pPr>
              <w:spacing w:after="0" w:line="240" w:lineRule="auto"/>
              <w:jc w:val="center"/>
              <w:rPr>
                <w:rFonts w:ascii="Arial" w:eastAsia="Times New Roman" w:hAnsi="Arial" w:cs="Arial"/>
                <w:b/>
                <w:bCs/>
                <w:color w:val="FFFFFF"/>
                <w:lang w:eastAsia="en-GB"/>
              </w:rPr>
            </w:pPr>
            <w:r w:rsidRPr="00663CAF">
              <w:rPr>
                <w:rFonts w:ascii="Arial" w:eastAsia="Times New Roman" w:hAnsi="Arial" w:cs="Arial"/>
                <w:b/>
                <w:bCs/>
                <w:color w:val="FFFFFF"/>
                <w:lang w:eastAsia="en-GB"/>
              </w:rPr>
              <w:t>tCO</w:t>
            </w:r>
            <w:r w:rsidRPr="00663CAF">
              <w:rPr>
                <w:rFonts w:ascii="Arial" w:eastAsia="Times New Roman" w:hAnsi="Arial" w:cs="Arial"/>
                <w:b/>
                <w:bCs/>
                <w:color w:val="FFFFFF"/>
                <w:vertAlign w:val="subscript"/>
                <w:lang w:eastAsia="en-GB"/>
              </w:rPr>
              <w:t>2</w:t>
            </w:r>
            <w:r w:rsidRPr="00663CAF">
              <w:rPr>
                <w:rFonts w:ascii="Arial" w:eastAsia="Times New Roman" w:hAnsi="Arial" w:cs="Arial"/>
                <w:b/>
                <w:bCs/>
                <w:color w:val="FFFFFF"/>
                <w:lang w:eastAsia="en-GB"/>
              </w:rPr>
              <w:t xml:space="preserve"> emitted per Lane Closure - Night</w:t>
            </w:r>
          </w:p>
        </w:tc>
      </w:tr>
      <w:tr w:rsidR="00663CAF" w:rsidRPr="00663CAF" w14:paraId="083A53A7" w14:textId="77777777" w:rsidTr="00663CAF">
        <w:trPr>
          <w:trHeight w:val="315"/>
        </w:trPr>
        <w:tc>
          <w:tcPr>
            <w:tcW w:w="960" w:type="dxa"/>
            <w:tcBorders>
              <w:top w:val="nil"/>
              <w:left w:val="single" w:sz="8" w:space="0" w:color="auto"/>
              <w:bottom w:val="single" w:sz="8" w:space="0" w:color="auto"/>
              <w:right w:val="single" w:sz="8" w:space="0" w:color="auto"/>
            </w:tcBorders>
            <w:shd w:val="clear" w:color="000000" w:fill="99CCFF"/>
            <w:noWrap/>
            <w:vAlign w:val="center"/>
            <w:hideMark/>
          </w:tcPr>
          <w:p w14:paraId="118C3ED8" w14:textId="77777777" w:rsidR="00663CAF" w:rsidRPr="00663CAF" w:rsidRDefault="00663CAF" w:rsidP="00663CAF">
            <w:pPr>
              <w:spacing w:after="0" w:line="240" w:lineRule="auto"/>
              <w:rPr>
                <w:rFonts w:ascii="Arial" w:eastAsia="Times New Roman" w:hAnsi="Arial" w:cs="Arial"/>
                <w:color w:val="000099"/>
                <w:lang w:eastAsia="en-GB"/>
              </w:rPr>
            </w:pPr>
            <w:r w:rsidRPr="00663CAF">
              <w:rPr>
                <w:rFonts w:ascii="Arial" w:eastAsia="Times New Roman" w:hAnsi="Arial" w:cs="Arial"/>
                <w:color w:val="000099"/>
                <w:lang w:eastAsia="en-GB"/>
              </w:rPr>
              <w:t> </w:t>
            </w:r>
          </w:p>
        </w:tc>
        <w:tc>
          <w:tcPr>
            <w:tcW w:w="960" w:type="dxa"/>
            <w:tcBorders>
              <w:top w:val="nil"/>
              <w:left w:val="nil"/>
              <w:bottom w:val="single" w:sz="8" w:space="0" w:color="auto"/>
              <w:right w:val="single" w:sz="8" w:space="0" w:color="auto"/>
            </w:tcBorders>
            <w:shd w:val="clear" w:color="000000" w:fill="99CCFF"/>
            <w:noWrap/>
            <w:vAlign w:val="center"/>
            <w:hideMark/>
          </w:tcPr>
          <w:p w14:paraId="4C53A8CE"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2015</w:t>
            </w:r>
          </w:p>
        </w:tc>
        <w:tc>
          <w:tcPr>
            <w:tcW w:w="960" w:type="dxa"/>
            <w:tcBorders>
              <w:top w:val="nil"/>
              <w:left w:val="nil"/>
              <w:bottom w:val="single" w:sz="8" w:space="0" w:color="auto"/>
              <w:right w:val="single" w:sz="8" w:space="0" w:color="auto"/>
            </w:tcBorders>
            <w:shd w:val="clear" w:color="000000" w:fill="99CCFF"/>
            <w:noWrap/>
            <w:vAlign w:val="center"/>
            <w:hideMark/>
          </w:tcPr>
          <w:p w14:paraId="407FB37D"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2020</w:t>
            </w:r>
          </w:p>
        </w:tc>
        <w:tc>
          <w:tcPr>
            <w:tcW w:w="960" w:type="dxa"/>
            <w:tcBorders>
              <w:top w:val="nil"/>
              <w:left w:val="nil"/>
              <w:bottom w:val="single" w:sz="8" w:space="0" w:color="auto"/>
              <w:right w:val="single" w:sz="8" w:space="0" w:color="auto"/>
            </w:tcBorders>
            <w:shd w:val="clear" w:color="000000" w:fill="99CCFF"/>
            <w:noWrap/>
            <w:vAlign w:val="center"/>
            <w:hideMark/>
          </w:tcPr>
          <w:p w14:paraId="7E159547"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2025</w:t>
            </w:r>
          </w:p>
        </w:tc>
        <w:tc>
          <w:tcPr>
            <w:tcW w:w="960" w:type="dxa"/>
            <w:tcBorders>
              <w:top w:val="nil"/>
              <w:left w:val="nil"/>
              <w:bottom w:val="single" w:sz="8" w:space="0" w:color="auto"/>
              <w:right w:val="single" w:sz="8" w:space="0" w:color="auto"/>
            </w:tcBorders>
            <w:shd w:val="clear" w:color="000000" w:fill="99CCFF"/>
            <w:noWrap/>
            <w:vAlign w:val="center"/>
            <w:hideMark/>
          </w:tcPr>
          <w:p w14:paraId="1D0CC0F4"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2030</w:t>
            </w:r>
          </w:p>
        </w:tc>
        <w:tc>
          <w:tcPr>
            <w:tcW w:w="960" w:type="dxa"/>
            <w:tcBorders>
              <w:top w:val="nil"/>
              <w:left w:val="nil"/>
              <w:bottom w:val="single" w:sz="8" w:space="0" w:color="auto"/>
              <w:right w:val="single" w:sz="8" w:space="0" w:color="auto"/>
            </w:tcBorders>
            <w:shd w:val="clear" w:color="000000" w:fill="99CCFF"/>
            <w:noWrap/>
            <w:vAlign w:val="center"/>
            <w:hideMark/>
          </w:tcPr>
          <w:p w14:paraId="0D53035F"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2035</w:t>
            </w:r>
          </w:p>
        </w:tc>
        <w:tc>
          <w:tcPr>
            <w:tcW w:w="960" w:type="dxa"/>
            <w:tcBorders>
              <w:top w:val="nil"/>
              <w:left w:val="nil"/>
              <w:bottom w:val="single" w:sz="8" w:space="0" w:color="auto"/>
              <w:right w:val="single" w:sz="8" w:space="0" w:color="auto"/>
            </w:tcBorders>
            <w:shd w:val="clear" w:color="000000" w:fill="99CCFF"/>
            <w:noWrap/>
            <w:vAlign w:val="center"/>
            <w:hideMark/>
          </w:tcPr>
          <w:p w14:paraId="44B505DD"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2040</w:t>
            </w:r>
          </w:p>
        </w:tc>
        <w:tc>
          <w:tcPr>
            <w:tcW w:w="960" w:type="dxa"/>
            <w:tcBorders>
              <w:top w:val="nil"/>
              <w:left w:val="nil"/>
              <w:bottom w:val="single" w:sz="8" w:space="0" w:color="auto"/>
              <w:right w:val="single" w:sz="8" w:space="0" w:color="auto"/>
            </w:tcBorders>
            <w:shd w:val="clear" w:color="000000" w:fill="99CCFF"/>
            <w:noWrap/>
            <w:vAlign w:val="center"/>
            <w:hideMark/>
          </w:tcPr>
          <w:p w14:paraId="6FAECB85"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2045</w:t>
            </w:r>
          </w:p>
        </w:tc>
        <w:tc>
          <w:tcPr>
            <w:tcW w:w="960" w:type="dxa"/>
            <w:tcBorders>
              <w:top w:val="nil"/>
              <w:left w:val="nil"/>
              <w:bottom w:val="single" w:sz="8" w:space="0" w:color="auto"/>
              <w:right w:val="single" w:sz="8" w:space="0" w:color="auto"/>
            </w:tcBorders>
            <w:shd w:val="clear" w:color="000000" w:fill="99CCFF"/>
            <w:noWrap/>
            <w:vAlign w:val="center"/>
            <w:hideMark/>
          </w:tcPr>
          <w:p w14:paraId="1FC29E29"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2050</w:t>
            </w:r>
          </w:p>
        </w:tc>
      </w:tr>
      <w:tr w:rsidR="00663CAF" w:rsidRPr="00663CAF" w14:paraId="7419CAB1"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0A7EF75"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Car</w:t>
            </w:r>
          </w:p>
        </w:tc>
        <w:tc>
          <w:tcPr>
            <w:tcW w:w="960" w:type="dxa"/>
            <w:tcBorders>
              <w:top w:val="nil"/>
              <w:left w:val="nil"/>
              <w:bottom w:val="single" w:sz="8" w:space="0" w:color="auto"/>
              <w:right w:val="single" w:sz="8" w:space="0" w:color="auto"/>
            </w:tcBorders>
            <w:shd w:val="clear" w:color="auto" w:fill="auto"/>
            <w:noWrap/>
            <w:vAlign w:val="center"/>
            <w:hideMark/>
          </w:tcPr>
          <w:p w14:paraId="059A216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1.23</w:t>
            </w:r>
          </w:p>
        </w:tc>
        <w:tc>
          <w:tcPr>
            <w:tcW w:w="960" w:type="dxa"/>
            <w:tcBorders>
              <w:top w:val="nil"/>
              <w:left w:val="nil"/>
              <w:bottom w:val="single" w:sz="8" w:space="0" w:color="auto"/>
              <w:right w:val="single" w:sz="8" w:space="0" w:color="auto"/>
            </w:tcBorders>
            <w:shd w:val="clear" w:color="auto" w:fill="auto"/>
            <w:noWrap/>
            <w:vAlign w:val="center"/>
            <w:hideMark/>
          </w:tcPr>
          <w:p w14:paraId="0500A50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1.19</w:t>
            </w:r>
          </w:p>
        </w:tc>
        <w:tc>
          <w:tcPr>
            <w:tcW w:w="960" w:type="dxa"/>
            <w:tcBorders>
              <w:top w:val="nil"/>
              <w:left w:val="nil"/>
              <w:bottom w:val="single" w:sz="8" w:space="0" w:color="auto"/>
              <w:right w:val="single" w:sz="8" w:space="0" w:color="auto"/>
            </w:tcBorders>
            <w:shd w:val="clear" w:color="auto" w:fill="auto"/>
            <w:noWrap/>
            <w:vAlign w:val="center"/>
            <w:hideMark/>
          </w:tcPr>
          <w:p w14:paraId="04C8600E"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1.09</w:t>
            </w:r>
          </w:p>
        </w:tc>
        <w:tc>
          <w:tcPr>
            <w:tcW w:w="960" w:type="dxa"/>
            <w:tcBorders>
              <w:top w:val="nil"/>
              <w:left w:val="nil"/>
              <w:bottom w:val="single" w:sz="8" w:space="0" w:color="auto"/>
              <w:right w:val="single" w:sz="8" w:space="0" w:color="auto"/>
            </w:tcBorders>
            <w:shd w:val="clear" w:color="auto" w:fill="auto"/>
            <w:noWrap/>
            <w:vAlign w:val="center"/>
            <w:hideMark/>
          </w:tcPr>
          <w:p w14:paraId="1619B063"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0.91</w:t>
            </w:r>
          </w:p>
        </w:tc>
        <w:tc>
          <w:tcPr>
            <w:tcW w:w="960" w:type="dxa"/>
            <w:tcBorders>
              <w:top w:val="nil"/>
              <w:left w:val="nil"/>
              <w:bottom w:val="single" w:sz="8" w:space="0" w:color="auto"/>
              <w:right w:val="single" w:sz="8" w:space="0" w:color="auto"/>
            </w:tcBorders>
            <w:shd w:val="clear" w:color="auto" w:fill="auto"/>
            <w:noWrap/>
            <w:vAlign w:val="center"/>
            <w:hideMark/>
          </w:tcPr>
          <w:p w14:paraId="72907B63"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0.61</w:t>
            </w:r>
          </w:p>
        </w:tc>
        <w:tc>
          <w:tcPr>
            <w:tcW w:w="960" w:type="dxa"/>
            <w:tcBorders>
              <w:top w:val="nil"/>
              <w:left w:val="nil"/>
              <w:bottom w:val="single" w:sz="8" w:space="0" w:color="auto"/>
              <w:right w:val="single" w:sz="8" w:space="0" w:color="auto"/>
            </w:tcBorders>
            <w:shd w:val="clear" w:color="auto" w:fill="auto"/>
            <w:noWrap/>
            <w:vAlign w:val="center"/>
            <w:hideMark/>
          </w:tcPr>
          <w:p w14:paraId="2BDA725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0.30</w:t>
            </w:r>
          </w:p>
        </w:tc>
        <w:tc>
          <w:tcPr>
            <w:tcW w:w="960" w:type="dxa"/>
            <w:tcBorders>
              <w:top w:val="nil"/>
              <w:left w:val="nil"/>
              <w:bottom w:val="single" w:sz="8" w:space="0" w:color="auto"/>
              <w:right w:val="single" w:sz="8" w:space="0" w:color="auto"/>
            </w:tcBorders>
            <w:shd w:val="clear" w:color="auto" w:fill="auto"/>
            <w:noWrap/>
            <w:vAlign w:val="center"/>
            <w:hideMark/>
          </w:tcPr>
          <w:p w14:paraId="766214C0"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0.12</w:t>
            </w:r>
          </w:p>
        </w:tc>
        <w:tc>
          <w:tcPr>
            <w:tcW w:w="960" w:type="dxa"/>
            <w:tcBorders>
              <w:top w:val="nil"/>
              <w:left w:val="nil"/>
              <w:bottom w:val="single" w:sz="8" w:space="0" w:color="auto"/>
              <w:right w:val="single" w:sz="8" w:space="0" w:color="auto"/>
            </w:tcBorders>
            <w:shd w:val="clear" w:color="auto" w:fill="auto"/>
            <w:noWrap/>
            <w:vAlign w:val="center"/>
            <w:hideMark/>
          </w:tcPr>
          <w:p w14:paraId="2BC30815"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0.05</w:t>
            </w:r>
          </w:p>
        </w:tc>
      </w:tr>
      <w:tr w:rsidR="00663CAF" w:rsidRPr="00663CAF" w14:paraId="2CEE6C4B"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81E9EE"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LGV</w:t>
            </w:r>
          </w:p>
        </w:tc>
        <w:tc>
          <w:tcPr>
            <w:tcW w:w="960" w:type="dxa"/>
            <w:tcBorders>
              <w:top w:val="nil"/>
              <w:left w:val="nil"/>
              <w:bottom w:val="single" w:sz="8" w:space="0" w:color="auto"/>
              <w:right w:val="single" w:sz="8" w:space="0" w:color="auto"/>
            </w:tcBorders>
            <w:shd w:val="clear" w:color="auto" w:fill="auto"/>
            <w:noWrap/>
            <w:vAlign w:val="center"/>
            <w:hideMark/>
          </w:tcPr>
          <w:p w14:paraId="3EF80C3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0.15</w:t>
            </w:r>
          </w:p>
        </w:tc>
        <w:tc>
          <w:tcPr>
            <w:tcW w:w="960" w:type="dxa"/>
            <w:tcBorders>
              <w:top w:val="nil"/>
              <w:left w:val="nil"/>
              <w:bottom w:val="single" w:sz="8" w:space="0" w:color="auto"/>
              <w:right w:val="single" w:sz="8" w:space="0" w:color="auto"/>
            </w:tcBorders>
            <w:shd w:val="clear" w:color="auto" w:fill="auto"/>
            <w:noWrap/>
            <w:vAlign w:val="center"/>
            <w:hideMark/>
          </w:tcPr>
          <w:p w14:paraId="4CF9F2D3"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0.17</w:t>
            </w:r>
          </w:p>
        </w:tc>
        <w:tc>
          <w:tcPr>
            <w:tcW w:w="960" w:type="dxa"/>
            <w:tcBorders>
              <w:top w:val="nil"/>
              <w:left w:val="nil"/>
              <w:bottom w:val="single" w:sz="8" w:space="0" w:color="auto"/>
              <w:right w:val="single" w:sz="8" w:space="0" w:color="auto"/>
            </w:tcBorders>
            <w:shd w:val="clear" w:color="auto" w:fill="auto"/>
            <w:noWrap/>
            <w:vAlign w:val="center"/>
            <w:hideMark/>
          </w:tcPr>
          <w:p w14:paraId="2BE555C1"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0.16</w:t>
            </w:r>
          </w:p>
        </w:tc>
        <w:tc>
          <w:tcPr>
            <w:tcW w:w="960" w:type="dxa"/>
            <w:tcBorders>
              <w:top w:val="nil"/>
              <w:left w:val="nil"/>
              <w:bottom w:val="single" w:sz="8" w:space="0" w:color="auto"/>
              <w:right w:val="single" w:sz="8" w:space="0" w:color="auto"/>
            </w:tcBorders>
            <w:shd w:val="clear" w:color="auto" w:fill="auto"/>
            <w:noWrap/>
            <w:vAlign w:val="center"/>
            <w:hideMark/>
          </w:tcPr>
          <w:p w14:paraId="1817A36F"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0.14</w:t>
            </w:r>
          </w:p>
        </w:tc>
        <w:tc>
          <w:tcPr>
            <w:tcW w:w="960" w:type="dxa"/>
            <w:tcBorders>
              <w:top w:val="nil"/>
              <w:left w:val="nil"/>
              <w:bottom w:val="single" w:sz="8" w:space="0" w:color="auto"/>
              <w:right w:val="single" w:sz="8" w:space="0" w:color="auto"/>
            </w:tcBorders>
            <w:shd w:val="clear" w:color="auto" w:fill="auto"/>
            <w:noWrap/>
            <w:vAlign w:val="center"/>
            <w:hideMark/>
          </w:tcPr>
          <w:p w14:paraId="5DE59664"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0.11</w:t>
            </w:r>
          </w:p>
        </w:tc>
        <w:tc>
          <w:tcPr>
            <w:tcW w:w="960" w:type="dxa"/>
            <w:tcBorders>
              <w:top w:val="nil"/>
              <w:left w:val="nil"/>
              <w:bottom w:val="single" w:sz="8" w:space="0" w:color="auto"/>
              <w:right w:val="single" w:sz="8" w:space="0" w:color="auto"/>
            </w:tcBorders>
            <w:shd w:val="clear" w:color="auto" w:fill="auto"/>
            <w:noWrap/>
            <w:vAlign w:val="center"/>
            <w:hideMark/>
          </w:tcPr>
          <w:p w14:paraId="4BC75597"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0.07</w:t>
            </w:r>
          </w:p>
        </w:tc>
        <w:tc>
          <w:tcPr>
            <w:tcW w:w="960" w:type="dxa"/>
            <w:tcBorders>
              <w:top w:val="nil"/>
              <w:left w:val="nil"/>
              <w:bottom w:val="single" w:sz="8" w:space="0" w:color="auto"/>
              <w:right w:val="single" w:sz="8" w:space="0" w:color="auto"/>
            </w:tcBorders>
            <w:shd w:val="clear" w:color="auto" w:fill="auto"/>
            <w:noWrap/>
            <w:vAlign w:val="center"/>
            <w:hideMark/>
          </w:tcPr>
          <w:p w14:paraId="392B64D6"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0.03</w:t>
            </w:r>
          </w:p>
        </w:tc>
        <w:tc>
          <w:tcPr>
            <w:tcW w:w="960" w:type="dxa"/>
            <w:tcBorders>
              <w:top w:val="nil"/>
              <w:left w:val="nil"/>
              <w:bottom w:val="single" w:sz="8" w:space="0" w:color="auto"/>
              <w:right w:val="single" w:sz="8" w:space="0" w:color="auto"/>
            </w:tcBorders>
            <w:shd w:val="clear" w:color="auto" w:fill="auto"/>
            <w:noWrap/>
            <w:vAlign w:val="center"/>
            <w:hideMark/>
          </w:tcPr>
          <w:p w14:paraId="50C83D8F"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0.02</w:t>
            </w:r>
          </w:p>
        </w:tc>
      </w:tr>
      <w:tr w:rsidR="00663CAF" w:rsidRPr="00663CAF" w14:paraId="50D8E79E"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BD4ED0"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HGV</w:t>
            </w:r>
          </w:p>
        </w:tc>
        <w:tc>
          <w:tcPr>
            <w:tcW w:w="960" w:type="dxa"/>
            <w:tcBorders>
              <w:top w:val="nil"/>
              <w:left w:val="nil"/>
              <w:bottom w:val="single" w:sz="8" w:space="0" w:color="auto"/>
              <w:right w:val="single" w:sz="8" w:space="0" w:color="auto"/>
            </w:tcBorders>
            <w:shd w:val="clear" w:color="auto" w:fill="auto"/>
            <w:noWrap/>
            <w:vAlign w:val="center"/>
            <w:hideMark/>
          </w:tcPr>
          <w:p w14:paraId="66856C0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0.21</w:t>
            </w:r>
          </w:p>
        </w:tc>
        <w:tc>
          <w:tcPr>
            <w:tcW w:w="960" w:type="dxa"/>
            <w:tcBorders>
              <w:top w:val="nil"/>
              <w:left w:val="nil"/>
              <w:bottom w:val="single" w:sz="8" w:space="0" w:color="auto"/>
              <w:right w:val="single" w:sz="8" w:space="0" w:color="auto"/>
            </w:tcBorders>
            <w:shd w:val="clear" w:color="auto" w:fill="auto"/>
            <w:noWrap/>
            <w:vAlign w:val="center"/>
            <w:hideMark/>
          </w:tcPr>
          <w:p w14:paraId="278E7362"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0.19</w:t>
            </w:r>
          </w:p>
        </w:tc>
        <w:tc>
          <w:tcPr>
            <w:tcW w:w="960" w:type="dxa"/>
            <w:tcBorders>
              <w:top w:val="nil"/>
              <w:left w:val="nil"/>
              <w:bottom w:val="single" w:sz="8" w:space="0" w:color="auto"/>
              <w:right w:val="single" w:sz="8" w:space="0" w:color="auto"/>
            </w:tcBorders>
            <w:shd w:val="clear" w:color="auto" w:fill="auto"/>
            <w:noWrap/>
            <w:vAlign w:val="center"/>
            <w:hideMark/>
          </w:tcPr>
          <w:p w14:paraId="1EED2F7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0.18</w:t>
            </w:r>
          </w:p>
        </w:tc>
        <w:tc>
          <w:tcPr>
            <w:tcW w:w="960" w:type="dxa"/>
            <w:tcBorders>
              <w:top w:val="nil"/>
              <w:left w:val="nil"/>
              <w:bottom w:val="single" w:sz="8" w:space="0" w:color="auto"/>
              <w:right w:val="single" w:sz="8" w:space="0" w:color="auto"/>
            </w:tcBorders>
            <w:shd w:val="clear" w:color="auto" w:fill="auto"/>
            <w:noWrap/>
            <w:vAlign w:val="center"/>
            <w:hideMark/>
          </w:tcPr>
          <w:p w14:paraId="0C4309A1"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0.19</w:t>
            </w:r>
          </w:p>
        </w:tc>
        <w:tc>
          <w:tcPr>
            <w:tcW w:w="960" w:type="dxa"/>
            <w:tcBorders>
              <w:top w:val="nil"/>
              <w:left w:val="nil"/>
              <w:bottom w:val="single" w:sz="8" w:space="0" w:color="auto"/>
              <w:right w:val="single" w:sz="8" w:space="0" w:color="auto"/>
            </w:tcBorders>
            <w:shd w:val="clear" w:color="auto" w:fill="auto"/>
            <w:noWrap/>
            <w:vAlign w:val="center"/>
            <w:hideMark/>
          </w:tcPr>
          <w:p w14:paraId="02D522B5"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0.19</w:t>
            </w:r>
          </w:p>
        </w:tc>
        <w:tc>
          <w:tcPr>
            <w:tcW w:w="960" w:type="dxa"/>
            <w:tcBorders>
              <w:top w:val="nil"/>
              <w:left w:val="nil"/>
              <w:bottom w:val="single" w:sz="8" w:space="0" w:color="auto"/>
              <w:right w:val="single" w:sz="8" w:space="0" w:color="auto"/>
            </w:tcBorders>
            <w:shd w:val="clear" w:color="auto" w:fill="auto"/>
            <w:noWrap/>
            <w:vAlign w:val="center"/>
            <w:hideMark/>
          </w:tcPr>
          <w:p w14:paraId="45A13C97"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0.19</w:t>
            </w:r>
          </w:p>
        </w:tc>
        <w:tc>
          <w:tcPr>
            <w:tcW w:w="960" w:type="dxa"/>
            <w:tcBorders>
              <w:top w:val="nil"/>
              <w:left w:val="nil"/>
              <w:bottom w:val="single" w:sz="8" w:space="0" w:color="auto"/>
              <w:right w:val="single" w:sz="8" w:space="0" w:color="auto"/>
            </w:tcBorders>
            <w:shd w:val="clear" w:color="auto" w:fill="auto"/>
            <w:noWrap/>
            <w:vAlign w:val="center"/>
            <w:hideMark/>
          </w:tcPr>
          <w:p w14:paraId="559E4798"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0.20</w:t>
            </w:r>
          </w:p>
        </w:tc>
        <w:tc>
          <w:tcPr>
            <w:tcW w:w="960" w:type="dxa"/>
            <w:tcBorders>
              <w:top w:val="nil"/>
              <w:left w:val="nil"/>
              <w:bottom w:val="single" w:sz="8" w:space="0" w:color="auto"/>
              <w:right w:val="single" w:sz="8" w:space="0" w:color="auto"/>
            </w:tcBorders>
            <w:shd w:val="clear" w:color="auto" w:fill="auto"/>
            <w:noWrap/>
            <w:vAlign w:val="center"/>
            <w:hideMark/>
          </w:tcPr>
          <w:p w14:paraId="342D81C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0.20</w:t>
            </w:r>
          </w:p>
        </w:tc>
      </w:tr>
      <w:tr w:rsidR="00663CAF" w:rsidRPr="00663CAF" w14:paraId="61BC3C86"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3A6BF2"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PSV</w:t>
            </w:r>
          </w:p>
        </w:tc>
        <w:tc>
          <w:tcPr>
            <w:tcW w:w="960" w:type="dxa"/>
            <w:tcBorders>
              <w:top w:val="nil"/>
              <w:left w:val="nil"/>
              <w:bottom w:val="single" w:sz="8" w:space="0" w:color="auto"/>
              <w:right w:val="single" w:sz="8" w:space="0" w:color="auto"/>
            </w:tcBorders>
            <w:shd w:val="clear" w:color="auto" w:fill="auto"/>
            <w:noWrap/>
            <w:vAlign w:val="center"/>
            <w:hideMark/>
          </w:tcPr>
          <w:p w14:paraId="584BEAB2"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0.11</w:t>
            </w:r>
          </w:p>
        </w:tc>
        <w:tc>
          <w:tcPr>
            <w:tcW w:w="960" w:type="dxa"/>
            <w:tcBorders>
              <w:top w:val="nil"/>
              <w:left w:val="nil"/>
              <w:bottom w:val="single" w:sz="8" w:space="0" w:color="auto"/>
              <w:right w:val="single" w:sz="8" w:space="0" w:color="auto"/>
            </w:tcBorders>
            <w:shd w:val="clear" w:color="auto" w:fill="auto"/>
            <w:noWrap/>
            <w:vAlign w:val="center"/>
            <w:hideMark/>
          </w:tcPr>
          <w:p w14:paraId="737788F3"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0.08</w:t>
            </w:r>
          </w:p>
        </w:tc>
        <w:tc>
          <w:tcPr>
            <w:tcW w:w="960" w:type="dxa"/>
            <w:tcBorders>
              <w:top w:val="nil"/>
              <w:left w:val="nil"/>
              <w:bottom w:val="single" w:sz="8" w:space="0" w:color="auto"/>
              <w:right w:val="single" w:sz="8" w:space="0" w:color="auto"/>
            </w:tcBorders>
            <w:shd w:val="clear" w:color="auto" w:fill="auto"/>
            <w:noWrap/>
            <w:vAlign w:val="center"/>
            <w:hideMark/>
          </w:tcPr>
          <w:p w14:paraId="4BCDCDC2"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0.07</w:t>
            </w:r>
          </w:p>
        </w:tc>
        <w:tc>
          <w:tcPr>
            <w:tcW w:w="960" w:type="dxa"/>
            <w:tcBorders>
              <w:top w:val="nil"/>
              <w:left w:val="nil"/>
              <w:bottom w:val="single" w:sz="8" w:space="0" w:color="auto"/>
              <w:right w:val="single" w:sz="8" w:space="0" w:color="auto"/>
            </w:tcBorders>
            <w:shd w:val="clear" w:color="auto" w:fill="auto"/>
            <w:noWrap/>
            <w:vAlign w:val="center"/>
            <w:hideMark/>
          </w:tcPr>
          <w:p w14:paraId="315B7281"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0.06</w:t>
            </w:r>
          </w:p>
        </w:tc>
        <w:tc>
          <w:tcPr>
            <w:tcW w:w="960" w:type="dxa"/>
            <w:tcBorders>
              <w:top w:val="nil"/>
              <w:left w:val="nil"/>
              <w:bottom w:val="single" w:sz="8" w:space="0" w:color="auto"/>
              <w:right w:val="single" w:sz="8" w:space="0" w:color="auto"/>
            </w:tcBorders>
            <w:shd w:val="clear" w:color="auto" w:fill="auto"/>
            <w:noWrap/>
            <w:vAlign w:val="center"/>
            <w:hideMark/>
          </w:tcPr>
          <w:p w14:paraId="1C448F57"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0.05</w:t>
            </w:r>
          </w:p>
        </w:tc>
        <w:tc>
          <w:tcPr>
            <w:tcW w:w="960" w:type="dxa"/>
            <w:tcBorders>
              <w:top w:val="nil"/>
              <w:left w:val="nil"/>
              <w:bottom w:val="single" w:sz="8" w:space="0" w:color="auto"/>
              <w:right w:val="single" w:sz="8" w:space="0" w:color="auto"/>
            </w:tcBorders>
            <w:shd w:val="clear" w:color="auto" w:fill="auto"/>
            <w:noWrap/>
            <w:vAlign w:val="center"/>
            <w:hideMark/>
          </w:tcPr>
          <w:p w14:paraId="0D3BB33B"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0.05</w:t>
            </w:r>
          </w:p>
        </w:tc>
        <w:tc>
          <w:tcPr>
            <w:tcW w:w="960" w:type="dxa"/>
            <w:tcBorders>
              <w:top w:val="nil"/>
              <w:left w:val="nil"/>
              <w:bottom w:val="single" w:sz="8" w:space="0" w:color="auto"/>
              <w:right w:val="single" w:sz="8" w:space="0" w:color="auto"/>
            </w:tcBorders>
            <w:shd w:val="clear" w:color="auto" w:fill="auto"/>
            <w:noWrap/>
            <w:vAlign w:val="center"/>
            <w:hideMark/>
          </w:tcPr>
          <w:p w14:paraId="4657A1DE"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0.05</w:t>
            </w:r>
          </w:p>
        </w:tc>
        <w:tc>
          <w:tcPr>
            <w:tcW w:w="960" w:type="dxa"/>
            <w:tcBorders>
              <w:top w:val="nil"/>
              <w:left w:val="nil"/>
              <w:bottom w:val="single" w:sz="8" w:space="0" w:color="auto"/>
              <w:right w:val="single" w:sz="8" w:space="0" w:color="auto"/>
            </w:tcBorders>
            <w:shd w:val="clear" w:color="auto" w:fill="auto"/>
            <w:noWrap/>
            <w:vAlign w:val="center"/>
            <w:hideMark/>
          </w:tcPr>
          <w:p w14:paraId="2AE9ADC6"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0.05</w:t>
            </w:r>
          </w:p>
        </w:tc>
      </w:tr>
      <w:tr w:rsidR="00663CAF" w:rsidRPr="00663CAF" w14:paraId="5E2F0492"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6AD858"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Total</w:t>
            </w:r>
          </w:p>
        </w:tc>
        <w:tc>
          <w:tcPr>
            <w:tcW w:w="960" w:type="dxa"/>
            <w:tcBorders>
              <w:top w:val="nil"/>
              <w:left w:val="nil"/>
              <w:bottom w:val="single" w:sz="8" w:space="0" w:color="auto"/>
              <w:right w:val="single" w:sz="8" w:space="0" w:color="auto"/>
            </w:tcBorders>
            <w:shd w:val="clear" w:color="auto" w:fill="auto"/>
            <w:noWrap/>
            <w:vAlign w:val="center"/>
            <w:hideMark/>
          </w:tcPr>
          <w:p w14:paraId="56FA5E84"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1.71</w:t>
            </w:r>
          </w:p>
        </w:tc>
        <w:tc>
          <w:tcPr>
            <w:tcW w:w="960" w:type="dxa"/>
            <w:tcBorders>
              <w:top w:val="nil"/>
              <w:left w:val="nil"/>
              <w:bottom w:val="single" w:sz="8" w:space="0" w:color="auto"/>
              <w:right w:val="single" w:sz="8" w:space="0" w:color="auto"/>
            </w:tcBorders>
            <w:shd w:val="clear" w:color="auto" w:fill="auto"/>
            <w:noWrap/>
            <w:vAlign w:val="center"/>
            <w:hideMark/>
          </w:tcPr>
          <w:p w14:paraId="5E08D0C8"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1.66</w:t>
            </w:r>
          </w:p>
        </w:tc>
        <w:tc>
          <w:tcPr>
            <w:tcW w:w="960" w:type="dxa"/>
            <w:tcBorders>
              <w:top w:val="nil"/>
              <w:left w:val="nil"/>
              <w:bottom w:val="single" w:sz="8" w:space="0" w:color="auto"/>
              <w:right w:val="single" w:sz="8" w:space="0" w:color="auto"/>
            </w:tcBorders>
            <w:shd w:val="clear" w:color="auto" w:fill="auto"/>
            <w:noWrap/>
            <w:vAlign w:val="center"/>
            <w:hideMark/>
          </w:tcPr>
          <w:p w14:paraId="133E78E7"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1.55</w:t>
            </w:r>
          </w:p>
        </w:tc>
        <w:tc>
          <w:tcPr>
            <w:tcW w:w="960" w:type="dxa"/>
            <w:tcBorders>
              <w:top w:val="nil"/>
              <w:left w:val="nil"/>
              <w:bottom w:val="single" w:sz="8" w:space="0" w:color="auto"/>
              <w:right w:val="single" w:sz="8" w:space="0" w:color="auto"/>
            </w:tcBorders>
            <w:shd w:val="clear" w:color="auto" w:fill="auto"/>
            <w:noWrap/>
            <w:vAlign w:val="center"/>
            <w:hideMark/>
          </w:tcPr>
          <w:p w14:paraId="5EB0ED23"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1.37</w:t>
            </w:r>
          </w:p>
        </w:tc>
        <w:tc>
          <w:tcPr>
            <w:tcW w:w="960" w:type="dxa"/>
            <w:tcBorders>
              <w:top w:val="nil"/>
              <w:left w:val="nil"/>
              <w:bottom w:val="single" w:sz="8" w:space="0" w:color="auto"/>
              <w:right w:val="single" w:sz="8" w:space="0" w:color="auto"/>
            </w:tcBorders>
            <w:shd w:val="clear" w:color="auto" w:fill="auto"/>
            <w:noWrap/>
            <w:vAlign w:val="center"/>
            <w:hideMark/>
          </w:tcPr>
          <w:p w14:paraId="448652E6"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1.05</w:t>
            </w:r>
          </w:p>
        </w:tc>
        <w:tc>
          <w:tcPr>
            <w:tcW w:w="960" w:type="dxa"/>
            <w:tcBorders>
              <w:top w:val="nil"/>
              <w:left w:val="nil"/>
              <w:bottom w:val="single" w:sz="8" w:space="0" w:color="auto"/>
              <w:right w:val="single" w:sz="8" w:space="0" w:color="auto"/>
            </w:tcBorders>
            <w:shd w:val="clear" w:color="auto" w:fill="auto"/>
            <w:noWrap/>
            <w:vAlign w:val="center"/>
            <w:hideMark/>
          </w:tcPr>
          <w:p w14:paraId="70270CB5"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0.72</w:t>
            </w:r>
          </w:p>
        </w:tc>
        <w:tc>
          <w:tcPr>
            <w:tcW w:w="960" w:type="dxa"/>
            <w:tcBorders>
              <w:top w:val="nil"/>
              <w:left w:val="nil"/>
              <w:bottom w:val="single" w:sz="8" w:space="0" w:color="auto"/>
              <w:right w:val="single" w:sz="8" w:space="0" w:color="auto"/>
            </w:tcBorders>
            <w:shd w:val="clear" w:color="auto" w:fill="auto"/>
            <w:noWrap/>
            <w:vAlign w:val="center"/>
            <w:hideMark/>
          </w:tcPr>
          <w:p w14:paraId="251F5CB7"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0.51</w:t>
            </w:r>
          </w:p>
        </w:tc>
        <w:tc>
          <w:tcPr>
            <w:tcW w:w="960" w:type="dxa"/>
            <w:tcBorders>
              <w:top w:val="nil"/>
              <w:left w:val="nil"/>
              <w:bottom w:val="single" w:sz="8" w:space="0" w:color="auto"/>
              <w:right w:val="single" w:sz="8" w:space="0" w:color="auto"/>
            </w:tcBorders>
            <w:shd w:val="clear" w:color="auto" w:fill="auto"/>
            <w:noWrap/>
            <w:vAlign w:val="center"/>
            <w:hideMark/>
          </w:tcPr>
          <w:p w14:paraId="3F348DC1"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0.45</w:t>
            </w:r>
          </w:p>
        </w:tc>
      </w:tr>
      <w:tr w:rsidR="00663CAF" w:rsidRPr="00663CAF" w14:paraId="755DBE45" w14:textId="77777777" w:rsidTr="00663CAF">
        <w:trPr>
          <w:trHeight w:val="315"/>
        </w:trPr>
        <w:tc>
          <w:tcPr>
            <w:tcW w:w="960" w:type="dxa"/>
            <w:tcBorders>
              <w:top w:val="nil"/>
              <w:left w:val="nil"/>
              <w:bottom w:val="nil"/>
              <w:right w:val="nil"/>
            </w:tcBorders>
            <w:shd w:val="clear" w:color="auto" w:fill="auto"/>
            <w:noWrap/>
            <w:vAlign w:val="center"/>
            <w:hideMark/>
          </w:tcPr>
          <w:p w14:paraId="4CCF3E9D" w14:textId="77777777" w:rsidR="00663CAF" w:rsidRPr="00663CAF" w:rsidRDefault="00663CAF" w:rsidP="00663CAF">
            <w:pPr>
              <w:spacing w:after="0" w:line="240" w:lineRule="auto"/>
              <w:jc w:val="right"/>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45A1E440"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EBE5592"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6E5B894"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5E6C708"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16E3967"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C9CE06F"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95AEF1F"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09453C0"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r>
      <w:tr w:rsidR="00663CAF" w:rsidRPr="00663CAF" w14:paraId="38892DEA" w14:textId="77777777" w:rsidTr="00663CAF">
        <w:trPr>
          <w:trHeight w:val="345"/>
        </w:trPr>
        <w:tc>
          <w:tcPr>
            <w:tcW w:w="960" w:type="dxa"/>
            <w:tcBorders>
              <w:top w:val="single" w:sz="8" w:space="0" w:color="auto"/>
              <w:left w:val="single" w:sz="8" w:space="0" w:color="auto"/>
              <w:bottom w:val="single" w:sz="8" w:space="0" w:color="auto"/>
              <w:right w:val="single" w:sz="8" w:space="0" w:color="auto"/>
            </w:tcBorders>
            <w:shd w:val="clear" w:color="000000" w:fill="000099"/>
            <w:noWrap/>
            <w:vAlign w:val="center"/>
            <w:hideMark/>
          </w:tcPr>
          <w:p w14:paraId="28594EE2" w14:textId="77777777" w:rsidR="00663CAF" w:rsidRPr="00663CAF" w:rsidRDefault="00663CAF" w:rsidP="00663CAF">
            <w:pPr>
              <w:spacing w:after="0" w:line="240" w:lineRule="auto"/>
              <w:rPr>
                <w:rFonts w:ascii="Arial" w:eastAsia="Times New Roman" w:hAnsi="Arial" w:cs="Arial"/>
                <w:color w:val="000000"/>
                <w:lang w:eastAsia="en-GB"/>
              </w:rPr>
            </w:pPr>
            <w:r w:rsidRPr="00663CAF">
              <w:rPr>
                <w:rFonts w:ascii="Arial" w:eastAsia="Times New Roman" w:hAnsi="Arial" w:cs="Arial"/>
                <w:color w:val="000000"/>
                <w:lang w:eastAsia="en-GB"/>
              </w:rPr>
              <w:t> </w:t>
            </w:r>
          </w:p>
        </w:tc>
        <w:tc>
          <w:tcPr>
            <w:tcW w:w="7680" w:type="dxa"/>
            <w:gridSpan w:val="8"/>
            <w:tcBorders>
              <w:top w:val="single" w:sz="8" w:space="0" w:color="auto"/>
              <w:left w:val="nil"/>
              <w:bottom w:val="single" w:sz="8" w:space="0" w:color="auto"/>
              <w:right w:val="nil"/>
            </w:tcBorders>
            <w:shd w:val="clear" w:color="000000" w:fill="000099"/>
            <w:noWrap/>
            <w:vAlign w:val="center"/>
            <w:hideMark/>
          </w:tcPr>
          <w:p w14:paraId="05340AA6" w14:textId="77777777" w:rsidR="00663CAF" w:rsidRPr="00663CAF" w:rsidRDefault="00663CAF" w:rsidP="00663CAF">
            <w:pPr>
              <w:spacing w:after="0" w:line="240" w:lineRule="auto"/>
              <w:jc w:val="center"/>
              <w:rPr>
                <w:rFonts w:ascii="Arial" w:eastAsia="Times New Roman" w:hAnsi="Arial" w:cs="Arial"/>
                <w:b/>
                <w:bCs/>
                <w:color w:val="FFFFFF"/>
                <w:lang w:eastAsia="en-GB"/>
              </w:rPr>
            </w:pPr>
            <w:r w:rsidRPr="00663CAF">
              <w:rPr>
                <w:rFonts w:ascii="Arial" w:eastAsia="Times New Roman" w:hAnsi="Arial" w:cs="Arial"/>
                <w:b/>
                <w:bCs/>
                <w:color w:val="FFFFFF"/>
                <w:lang w:eastAsia="en-GB"/>
              </w:rPr>
              <w:t>tCO</w:t>
            </w:r>
            <w:r w:rsidRPr="00663CAF">
              <w:rPr>
                <w:rFonts w:ascii="Arial" w:eastAsia="Times New Roman" w:hAnsi="Arial" w:cs="Arial"/>
                <w:b/>
                <w:bCs/>
                <w:color w:val="FFFFFF"/>
                <w:vertAlign w:val="subscript"/>
                <w:lang w:eastAsia="en-GB"/>
              </w:rPr>
              <w:t>2</w:t>
            </w:r>
            <w:r w:rsidRPr="00663CAF">
              <w:rPr>
                <w:rFonts w:ascii="Arial" w:eastAsia="Times New Roman" w:hAnsi="Arial" w:cs="Arial"/>
                <w:b/>
                <w:bCs/>
                <w:color w:val="FFFFFF"/>
                <w:lang w:eastAsia="en-GB"/>
              </w:rPr>
              <w:t xml:space="preserve"> emitted per Lane Closure - Weekend</w:t>
            </w:r>
          </w:p>
        </w:tc>
      </w:tr>
      <w:tr w:rsidR="00663CAF" w:rsidRPr="00663CAF" w14:paraId="7FF0628B" w14:textId="77777777" w:rsidTr="00663CAF">
        <w:trPr>
          <w:trHeight w:val="315"/>
        </w:trPr>
        <w:tc>
          <w:tcPr>
            <w:tcW w:w="960" w:type="dxa"/>
            <w:tcBorders>
              <w:top w:val="nil"/>
              <w:left w:val="single" w:sz="8" w:space="0" w:color="auto"/>
              <w:bottom w:val="single" w:sz="8" w:space="0" w:color="auto"/>
              <w:right w:val="single" w:sz="8" w:space="0" w:color="auto"/>
            </w:tcBorders>
            <w:shd w:val="clear" w:color="000000" w:fill="99CCFF"/>
            <w:noWrap/>
            <w:vAlign w:val="center"/>
            <w:hideMark/>
          </w:tcPr>
          <w:p w14:paraId="01B338E9"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 </w:t>
            </w:r>
          </w:p>
        </w:tc>
        <w:tc>
          <w:tcPr>
            <w:tcW w:w="960" w:type="dxa"/>
            <w:tcBorders>
              <w:top w:val="nil"/>
              <w:left w:val="nil"/>
              <w:bottom w:val="single" w:sz="8" w:space="0" w:color="auto"/>
              <w:right w:val="single" w:sz="8" w:space="0" w:color="auto"/>
            </w:tcBorders>
            <w:shd w:val="clear" w:color="000000" w:fill="99CCFF"/>
            <w:noWrap/>
            <w:vAlign w:val="center"/>
            <w:hideMark/>
          </w:tcPr>
          <w:p w14:paraId="539B0062"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2015</w:t>
            </w:r>
          </w:p>
        </w:tc>
        <w:tc>
          <w:tcPr>
            <w:tcW w:w="960" w:type="dxa"/>
            <w:tcBorders>
              <w:top w:val="nil"/>
              <w:left w:val="nil"/>
              <w:bottom w:val="single" w:sz="8" w:space="0" w:color="auto"/>
              <w:right w:val="single" w:sz="8" w:space="0" w:color="auto"/>
            </w:tcBorders>
            <w:shd w:val="clear" w:color="000000" w:fill="99CCFF"/>
            <w:noWrap/>
            <w:vAlign w:val="center"/>
            <w:hideMark/>
          </w:tcPr>
          <w:p w14:paraId="7C6AA337"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2020</w:t>
            </w:r>
          </w:p>
        </w:tc>
        <w:tc>
          <w:tcPr>
            <w:tcW w:w="960" w:type="dxa"/>
            <w:tcBorders>
              <w:top w:val="nil"/>
              <w:left w:val="nil"/>
              <w:bottom w:val="single" w:sz="8" w:space="0" w:color="auto"/>
              <w:right w:val="single" w:sz="8" w:space="0" w:color="auto"/>
            </w:tcBorders>
            <w:shd w:val="clear" w:color="000000" w:fill="99CCFF"/>
            <w:noWrap/>
            <w:vAlign w:val="center"/>
            <w:hideMark/>
          </w:tcPr>
          <w:p w14:paraId="2204703D"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2025</w:t>
            </w:r>
          </w:p>
        </w:tc>
        <w:tc>
          <w:tcPr>
            <w:tcW w:w="960" w:type="dxa"/>
            <w:tcBorders>
              <w:top w:val="nil"/>
              <w:left w:val="nil"/>
              <w:bottom w:val="single" w:sz="8" w:space="0" w:color="auto"/>
              <w:right w:val="single" w:sz="8" w:space="0" w:color="auto"/>
            </w:tcBorders>
            <w:shd w:val="clear" w:color="000000" w:fill="99CCFF"/>
            <w:noWrap/>
            <w:vAlign w:val="center"/>
            <w:hideMark/>
          </w:tcPr>
          <w:p w14:paraId="1F52A65C"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2030</w:t>
            </w:r>
          </w:p>
        </w:tc>
        <w:tc>
          <w:tcPr>
            <w:tcW w:w="960" w:type="dxa"/>
            <w:tcBorders>
              <w:top w:val="nil"/>
              <w:left w:val="nil"/>
              <w:bottom w:val="single" w:sz="8" w:space="0" w:color="auto"/>
              <w:right w:val="single" w:sz="8" w:space="0" w:color="auto"/>
            </w:tcBorders>
            <w:shd w:val="clear" w:color="000000" w:fill="99CCFF"/>
            <w:noWrap/>
            <w:vAlign w:val="center"/>
            <w:hideMark/>
          </w:tcPr>
          <w:p w14:paraId="40C4D4DD"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2035</w:t>
            </w:r>
          </w:p>
        </w:tc>
        <w:tc>
          <w:tcPr>
            <w:tcW w:w="960" w:type="dxa"/>
            <w:tcBorders>
              <w:top w:val="nil"/>
              <w:left w:val="nil"/>
              <w:bottom w:val="single" w:sz="8" w:space="0" w:color="auto"/>
              <w:right w:val="single" w:sz="8" w:space="0" w:color="auto"/>
            </w:tcBorders>
            <w:shd w:val="clear" w:color="000000" w:fill="99CCFF"/>
            <w:noWrap/>
            <w:vAlign w:val="center"/>
            <w:hideMark/>
          </w:tcPr>
          <w:p w14:paraId="5A26FA06"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2040</w:t>
            </w:r>
          </w:p>
        </w:tc>
        <w:tc>
          <w:tcPr>
            <w:tcW w:w="960" w:type="dxa"/>
            <w:tcBorders>
              <w:top w:val="nil"/>
              <w:left w:val="nil"/>
              <w:bottom w:val="single" w:sz="8" w:space="0" w:color="auto"/>
              <w:right w:val="single" w:sz="8" w:space="0" w:color="auto"/>
            </w:tcBorders>
            <w:shd w:val="clear" w:color="000000" w:fill="99CCFF"/>
            <w:noWrap/>
            <w:vAlign w:val="center"/>
            <w:hideMark/>
          </w:tcPr>
          <w:p w14:paraId="2452ACEC"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2045</w:t>
            </w:r>
          </w:p>
        </w:tc>
        <w:tc>
          <w:tcPr>
            <w:tcW w:w="960" w:type="dxa"/>
            <w:tcBorders>
              <w:top w:val="nil"/>
              <w:left w:val="nil"/>
              <w:bottom w:val="single" w:sz="8" w:space="0" w:color="auto"/>
              <w:right w:val="single" w:sz="8" w:space="0" w:color="auto"/>
            </w:tcBorders>
            <w:shd w:val="clear" w:color="000000" w:fill="99CCFF"/>
            <w:noWrap/>
            <w:vAlign w:val="center"/>
            <w:hideMark/>
          </w:tcPr>
          <w:p w14:paraId="12C08D10"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2050</w:t>
            </w:r>
          </w:p>
        </w:tc>
      </w:tr>
      <w:tr w:rsidR="00663CAF" w:rsidRPr="00663CAF" w14:paraId="0ADC6D89"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01767E"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Car</w:t>
            </w:r>
          </w:p>
        </w:tc>
        <w:tc>
          <w:tcPr>
            <w:tcW w:w="960" w:type="dxa"/>
            <w:tcBorders>
              <w:top w:val="nil"/>
              <w:left w:val="nil"/>
              <w:bottom w:val="single" w:sz="8" w:space="0" w:color="auto"/>
              <w:right w:val="single" w:sz="8" w:space="0" w:color="auto"/>
            </w:tcBorders>
            <w:shd w:val="clear" w:color="auto" w:fill="auto"/>
            <w:noWrap/>
            <w:vAlign w:val="center"/>
            <w:hideMark/>
          </w:tcPr>
          <w:p w14:paraId="072B8D54"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29.68</w:t>
            </w:r>
          </w:p>
        </w:tc>
        <w:tc>
          <w:tcPr>
            <w:tcW w:w="960" w:type="dxa"/>
            <w:tcBorders>
              <w:top w:val="nil"/>
              <w:left w:val="nil"/>
              <w:bottom w:val="single" w:sz="8" w:space="0" w:color="auto"/>
              <w:right w:val="single" w:sz="8" w:space="0" w:color="auto"/>
            </w:tcBorders>
            <w:shd w:val="clear" w:color="auto" w:fill="auto"/>
            <w:noWrap/>
            <w:vAlign w:val="center"/>
            <w:hideMark/>
          </w:tcPr>
          <w:p w14:paraId="2CD982EB"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28.58</w:t>
            </w:r>
          </w:p>
        </w:tc>
        <w:tc>
          <w:tcPr>
            <w:tcW w:w="960" w:type="dxa"/>
            <w:tcBorders>
              <w:top w:val="nil"/>
              <w:left w:val="nil"/>
              <w:bottom w:val="single" w:sz="8" w:space="0" w:color="auto"/>
              <w:right w:val="single" w:sz="8" w:space="0" w:color="auto"/>
            </w:tcBorders>
            <w:shd w:val="clear" w:color="auto" w:fill="auto"/>
            <w:noWrap/>
            <w:vAlign w:val="center"/>
            <w:hideMark/>
          </w:tcPr>
          <w:p w14:paraId="2F803C13"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26.20</w:t>
            </w:r>
          </w:p>
        </w:tc>
        <w:tc>
          <w:tcPr>
            <w:tcW w:w="960" w:type="dxa"/>
            <w:tcBorders>
              <w:top w:val="nil"/>
              <w:left w:val="nil"/>
              <w:bottom w:val="single" w:sz="8" w:space="0" w:color="auto"/>
              <w:right w:val="single" w:sz="8" w:space="0" w:color="auto"/>
            </w:tcBorders>
            <w:shd w:val="clear" w:color="auto" w:fill="auto"/>
            <w:noWrap/>
            <w:vAlign w:val="center"/>
            <w:hideMark/>
          </w:tcPr>
          <w:p w14:paraId="658D826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21.86</w:t>
            </w:r>
          </w:p>
        </w:tc>
        <w:tc>
          <w:tcPr>
            <w:tcW w:w="960" w:type="dxa"/>
            <w:tcBorders>
              <w:top w:val="nil"/>
              <w:left w:val="nil"/>
              <w:bottom w:val="single" w:sz="8" w:space="0" w:color="auto"/>
              <w:right w:val="single" w:sz="8" w:space="0" w:color="auto"/>
            </w:tcBorders>
            <w:shd w:val="clear" w:color="auto" w:fill="auto"/>
            <w:noWrap/>
            <w:vAlign w:val="center"/>
            <w:hideMark/>
          </w:tcPr>
          <w:p w14:paraId="00D0EA5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14.58</w:t>
            </w:r>
          </w:p>
        </w:tc>
        <w:tc>
          <w:tcPr>
            <w:tcW w:w="960" w:type="dxa"/>
            <w:tcBorders>
              <w:top w:val="nil"/>
              <w:left w:val="nil"/>
              <w:bottom w:val="single" w:sz="8" w:space="0" w:color="auto"/>
              <w:right w:val="single" w:sz="8" w:space="0" w:color="auto"/>
            </w:tcBorders>
            <w:shd w:val="clear" w:color="auto" w:fill="auto"/>
            <w:noWrap/>
            <w:vAlign w:val="center"/>
            <w:hideMark/>
          </w:tcPr>
          <w:p w14:paraId="69BB9AB2"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7.32</w:t>
            </w:r>
          </w:p>
        </w:tc>
        <w:tc>
          <w:tcPr>
            <w:tcW w:w="960" w:type="dxa"/>
            <w:tcBorders>
              <w:top w:val="nil"/>
              <w:left w:val="nil"/>
              <w:bottom w:val="single" w:sz="8" w:space="0" w:color="auto"/>
              <w:right w:val="single" w:sz="8" w:space="0" w:color="auto"/>
            </w:tcBorders>
            <w:shd w:val="clear" w:color="auto" w:fill="auto"/>
            <w:noWrap/>
            <w:vAlign w:val="center"/>
            <w:hideMark/>
          </w:tcPr>
          <w:p w14:paraId="5D2A7F3F"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2.82</w:t>
            </w:r>
          </w:p>
        </w:tc>
        <w:tc>
          <w:tcPr>
            <w:tcW w:w="960" w:type="dxa"/>
            <w:tcBorders>
              <w:top w:val="nil"/>
              <w:left w:val="nil"/>
              <w:bottom w:val="single" w:sz="8" w:space="0" w:color="auto"/>
              <w:right w:val="single" w:sz="8" w:space="0" w:color="auto"/>
            </w:tcBorders>
            <w:shd w:val="clear" w:color="auto" w:fill="auto"/>
            <w:noWrap/>
            <w:vAlign w:val="center"/>
            <w:hideMark/>
          </w:tcPr>
          <w:p w14:paraId="42607E5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1.30</w:t>
            </w:r>
          </w:p>
        </w:tc>
      </w:tr>
      <w:tr w:rsidR="00663CAF" w:rsidRPr="00663CAF" w14:paraId="268CF207"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62D9A4"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LGV</w:t>
            </w:r>
          </w:p>
        </w:tc>
        <w:tc>
          <w:tcPr>
            <w:tcW w:w="960" w:type="dxa"/>
            <w:tcBorders>
              <w:top w:val="nil"/>
              <w:left w:val="nil"/>
              <w:bottom w:val="single" w:sz="8" w:space="0" w:color="auto"/>
              <w:right w:val="single" w:sz="8" w:space="0" w:color="auto"/>
            </w:tcBorders>
            <w:shd w:val="clear" w:color="auto" w:fill="auto"/>
            <w:noWrap/>
            <w:vAlign w:val="center"/>
            <w:hideMark/>
          </w:tcPr>
          <w:p w14:paraId="7C443D3E"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3.50</w:t>
            </w:r>
          </w:p>
        </w:tc>
        <w:tc>
          <w:tcPr>
            <w:tcW w:w="960" w:type="dxa"/>
            <w:tcBorders>
              <w:top w:val="nil"/>
              <w:left w:val="nil"/>
              <w:bottom w:val="single" w:sz="8" w:space="0" w:color="auto"/>
              <w:right w:val="single" w:sz="8" w:space="0" w:color="auto"/>
            </w:tcBorders>
            <w:shd w:val="clear" w:color="auto" w:fill="auto"/>
            <w:noWrap/>
            <w:vAlign w:val="center"/>
            <w:hideMark/>
          </w:tcPr>
          <w:p w14:paraId="60EE7D77"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3.84</w:t>
            </w:r>
          </w:p>
        </w:tc>
        <w:tc>
          <w:tcPr>
            <w:tcW w:w="960" w:type="dxa"/>
            <w:tcBorders>
              <w:top w:val="nil"/>
              <w:left w:val="nil"/>
              <w:bottom w:val="single" w:sz="8" w:space="0" w:color="auto"/>
              <w:right w:val="single" w:sz="8" w:space="0" w:color="auto"/>
            </w:tcBorders>
            <w:shd w:val="clear" w:color="auto" w:fill="auto"/>
            <w:noWrap/>
            <w:vAlign w:val="center"/>
            <w:hideMark/>
          </w:tcPr>
          <w:p w14:paraId="38502781"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3.60</w:t>
            </w:r>
          </w:p>
        </w:tc>
        <w:tc>
          <w:tcPr>
            <w:tcW w:w="960" w:type="dxa"/>
            <w:tcBorders>
              <w:top w:val="nil"/>
              <w:left w:val="nil"/>
              <w:bottom w:val="single" w:sz="8" w:space="0" w:color="auto"/>
              <w:right w:val="single" w:sz="8" w:space="0" w:color="auto"/>
            </w:tcBorders>
            <w:shd w:val="clear" w:color="auto" w:fill="auto"/>
            <w:noWrap/>
            <w:vAlign w:val="center"/>
            <w:hideMark/>
          </w:tcPr>
          <w:p w14:paraId="76086191"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3.19</w:t>
            </w:r>
          </w:p>
        </w:tc>
        <w:tc>
          <w:tcPr>
            <w:tcW w:w="960" w:type="dxa"/>
            <w:tcBorders>
              <w:top w:val="nil"/>
              <w:left w:val="nil"/>
              <w:bottom w:val="single" w:sz="8" w:space="0" w:color="auto"/>
              <w:right w:val="single" w:sz="8" w:space="0" w:color="auto"/>
            </w:tcBorders>
            <w:shd w:val="clear" w:color="auto" w:fill="auto"/>
            <w:noWrap/>
            <w:vAlign w:val="center"/>
            <w:hideMark/>
          </w:tcPr>
          <w:p w14:paraId="3A93F27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2.48</w:t>
            </w:r>
          </w:p>
        </w:tc>
        <w:tc>
          <w:tcPr>
            <w:tcW w:w="960" w:type="dxa"/>
            <w:tcBorders>
              <w:top w:val="nil"/>
              <w:left w:val="nil"/>
              <w:bottom w:val="single" w:sz="8" w:space="0" w:color="auto"/>
              <w:right w:val="single" w:sz="8" w:space="0" w:color="auto"/>
            </w:tcBorders>
            <w:shd w:val="clear" w:color="auto" w:fill="auto"/>
            <w:noWrap/>
            <w:vAlign w:val="center"/>
            <w:hideMark/>
          </w:tcPr>
          <w:p w14:paraId="58CA4DC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1.53</w:t>
            </w:r>
          </w:p>
        </w:tc>
        <w:tc>
          <w:tcPr>
            <w:tcW w:w="960" w:type="dxa"/>
            <w:tcBorders>
              <w:top w:val="nil"/>
              <w:left w:val="nil"/>
              <w:bottom w:val="single" w:sz="8" w:space="0" w:color="auto"/>
              <w:right w:val="single" w:sz="8" w:space="0" w:color="auto"/>
            </w:tcBorders>
            <w:shd w:val="clear" w:color="auto" w:fill="auto"/>
            <w:noWrap/>
            <w:vAlign w:val="center"/>
            <w:hideMark/>
          </w:tcPr>
          <w:p w14:paraId="64176146"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0.71</w:t>
            </w:r>
          </w:p>
        </w:tc>
        <w:tc>
          <w:tcPr>
            <w:tcW w:w="960" w:type="dxa"/>
            <w:tcBorders>
              <w:top w:val="nil"/>
              <w:left w:val="nil"/>
              <w:bottom w:val="single" w:sz="8" w:space="0" w:color="auto"/>
              <w:right w:val="single" w:sz="8" w:space="0" w:color="auto"/>
            </w:tcBorders>
            <w:shd w:val="clear" w:color="auto" w:fill="auto"/>
            <w:noWrap/>
            <w:vAlign w:val="center"/>
            <w:hideMark/>
          </w:tcPr>
          <w:p w14:paraId="6FFBB64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0.37</w:t>
            </w:r>
          </w:p>
        </w:tc>
      </w:tr>
      <w:tr w:rsidR="00663CAF" w:rsidRPr="00663CAF" w14:paraId="4BAB7183"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2DB26A"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HGV</w:t>
            </w:r>
          </w:p>
        </w:tc>
        <w:tc>
          <w:tcPr>
            <w:tcW w:w="960" w:type="dxa"/>
            <w:tcBorders>
              <w:top w:val="nil"/>
              <w:left w:val="nil"/>
              <w:bottom w:val="single" w:sz="8" w:space="0" w:color="auto"/>
              <w:right w:val="single" w:sz="8" w:space="0" w:color="auto"/>
            </w:tcBorders>
            <w:shd w:val="clear" w:color="auto" w:fill="auto"/>
            <w:noWrap/>
            <w:vAlign w:val="center"/>
            <w:hideMark/>
          </w:tcPr>
          <w:p w14:paraId="5C224501"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2.75</w:t>
            </w:r>
          </w:p>
        </w:tc>
        <w:tc>
          <w:tcPr>
            <w:tcW w:w="960" w:type="dxa"/>
            <w:tcBorders>
              <w:top w:val="nil"/>
              <w:left w:val="nil"/>
              <w:bottom w:val="single" w:sz="8" w:space="0" w:color="auto"/>
              <w:right w:val="single" w:sz="8" w:space="0" w:color="auto"/>
            </w:tcBorders>
            <w:shd w:val="clear" w:color="auto" w:fill="auto"/>
            <w:noWrap/>
            <w:vAlign w:val="center"/>
            <w:hideMark/>
          </w:tcPr>
          <w:p w14:paraId="29BE0F8E"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2.42</w:t>
            </w:r>
          </w:p>
        </w:tc>
        <w:tc>
          <w:tcPr>
            <w:tcW w:w="960" w:type="dxa"/>
            <w:tcBorders>
              <w:top w:val="nil"/>
              <w:left w:val="nil"/>
              <w:bottom w:val="single" w:sz="8" w:space="0" w:color="auto"/>
              <w:right w:val="single" w:sz="8" w:space="0" w:color="auto"/>
            </w:tcBorders>
            <w:shd w:val="clear" w:color="auto" w:fill="auto"/>
            <w:noWrap/>
            <w:vAlign w:val="center"/>
            <w:hideMark/>
          </w:tcPr>
          <w:p w14:paraId="7B678C68"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2.38</w:t>
            </w:r>
          </w:p>
        </w:tc>
        <w:tc>
          <w:tcPr>
            <w:tcW w:w="960" w:type="dxa"/>
            <w:tcBorders>
              <w:top w:val="nil"/>
              <w:left w:val="nil"/>
              <w:bottom w:val="single" w:sz="8" w:space="0" w:color="auto"/>
              <w:right w:val="single" w:sz="8" w:space="0" w:color="auto"/>
            </w:tcBorders>
            <w:shd w:val="clear" w:color="auto" w:fill="auto"/>
            <w:noWrap/>
            <w:vAlign w:val="center"/>
            <w:hideMark/>
          </w:tcPr>
          <w:p w14:paraId="4E82591B"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2.43</w:t>
            </w:r>
          </w:p>
        </w:tc>
        <w:tc>
          <w:tcPr>
            <w:tcW w:w="960" w:type="dxa"/>
            <w:tcBorders>
              <w:top w:val="nil"/>
              <w:left w:val="nil"/>
              <w:bottom w:val="single" w:sz="8" w:space="0" w:color="auto"/>
              <w:right w:val="single" w:sz="8" w:space="0" w:color="auto"/>
            </w:tcBorders>
            <w:shd w:val="clear" w:color="auto" w:fill="auto"/>
            <w:noWrap/>
            <w:vAlign w:val="center"/>
            <w:hideMark/>
          </w:tcPr>
          <w:p w14:paraId="79A14D3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2.47</w:t>
            </w:r>
          </w:p>
        </w:tc>
        <w:tc>
          <w:tcPr>
            <w:tcW w:w="960" w:type="dxa"/>
            <w:tcBorders>
              <w:top w:val="nil"/>
              <w:left w:val="nil"/>
              <w:bottom w:val="single" w:sz="8" w:space="0" w:color="auto"/>
              <w:right w:val="single" w:sz="8" w:space="0" w:color="auto"/>
            </w:tcBorders>
            <w:shd w:val="clear" w:color="auto" w:fill="auto"/>
            <w:noWrap/>
            <w:vAlign w:val="center"/>
            <w:hideMark/>
          </w:tcPr>
          <w:p w14:paraId="3C1CA3E7"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2.51</w:t>
            </w:r>
          </w:p>
        </w:tc>
        <w:tc>
          <w:tcPr>
            <w:tcW w:w="960" w:type="dxa"/>
            <w:tcBorders>
              <w:top w:val="nil"/>
              <w:left w:val="nil"/>
              <w:bottom w:val="single" w:sz="8" w:space="0" w:color="auto"/>
              <w:right w:val="single" w:sz="8" w:space="0" w:color="auto"/>
            </w:tcBorders>
            <w:shd w:val="clear" w:color="auto" w:fill="auto"/>
            <w:noWrap/>
            <w:vAlign w:val="center"/>
            <w:hideMark/>
          </w:tcPr>
          <w:p w14:paraId="31C8BC3F"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2.57</w:t>
            </w:r>
          </w:p>
        </w:tc>
        <w:tc>
          <w:tcPr>
            <w:tcW w:w="960" w:type="dxa"/>
            <w:tcBorders>
              <w:top w:val="nil"/>
              <w:left w:val="nil"/>
              <w:bottom w:val="single" w:sz="8" w:space="0" w:color="auto"/>
              <w:right w:val="single" w:sz="8" w:space="0" w:color="auto"/>
            </w:tcBorders>
            <w:shd w:val="clear" w:color="auto" w:fill="auto"/>
            <w:noWrap/>
            <w:vAlign w:val="center"/>
            <w:hideMark/>
          </w:tcPr>
          <w:p w14:paraId="7CEA82DE"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2.66</w:t>
            </w:r>
          </w:p>
        </w:tc>
      </w:tr>
      <w:tr w:rsidR="00663CAF" w:rsidRPr="00663CAF" w14:paraId="38FB29A2"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2E99F7"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PSV</w:t>
            </w:r>
          </w:p>
        </w:tc>
        <w:tc>
          <w:tcPr>
            <w:tcW w:w="960" w:type="dxa"/>
            <w:tcBorders>
              <w:top w:val="nil"/>
              <w:left w:val="nil"/>
              <w:bottom w:val="single" w:sz="8" w:space="0" w:color="auto"/>
              <w:right w:val="single" w:sz="8" w:space="0" w:color="auto"/>
            </w:tcBorders>
            <w:shd w:val="clear" w:color="auto" w:fill="auto"/>
            <w:noWrap/>
            <w:vAlign w:val="center"/>
            <w:hideMark/>
          </w:tcPr>
          <w:p w14:paraId="15D55760"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2.45</w:t>
            </w:r>
          </w:p>
        </w:tc>
        <w:tc>
          <w:tcPr>
            <w:tcW w:w="960" w:type="dxa"/>
            <w:tcBorders>
              <w:top w:val="nil"/>
              <w:left w:val="nil"/>
              <w:bottom w:val="single" w:sz="8" w:space="0" w:color="auto"/>
              <w:right w:val="single" w:sz="8" w:space="0" w:color="auto"/>
            </w:tcBorders>
            <w:shd w:val="clear" w:color="auto" w:fill="auto"/>
            <w:noWrap/>
            <w:vAlign w:val="center"/>
            <w:hideMark/>
          </w:tcPr>
          <w:p w14:paraId="3485ABA8"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1.78</w:t>
            </w:r>
          </w:p>
        </w:tc>
        <w:tc>
          <w:tcPr>
            <w:tcW w:w="960" w:type="dxa"/>
            <w:tcBorders>
              <w:top w:val="nil"/>
              <w:left w:val="nil"/>
              <w:bottom w:val="single" w:sz="8" w:space="0" w:color="auto"/>
              <w:right w:val="single" w:sz="8" w:space="0" w:color="auto"/>
            </w:tcBorders>
            <w:shd w:val="clear" w:color="auto" w:fill="auto"/>
            <w:noWrap/>
            <w:vAlign w:val="center"/>
            <w:hideMark/>
          </w:tcPr>
          <w:p w14:paraId="07172533"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1.56</w:t>
            </w:r>
          </w:p>
        </w:tc>
        <w:tc>
          <w:tcPr>
            <w:tcW w:w="960" w:type="dxa"/>
            <w:tcBorders>
              <w:top w:val="nil"/>
              <w:left w:val="nil"/>
              <w:bottom w:val="single" w:sz="8" w:space="0" w:color="auto"/>
              <w:right w:val="single" w:sz="8" w:space="0" w:color="auto"/>
            </w:tcBorders>
            <w:shd w:val="clear" w:color="auto" w:fill="auto"/>
            <w:noWrap/>
            <w:vAlign w:val="center"/>
            <w:hideMark/>
          </w:tcPr>
          <w:p w14:paraId="1DFACED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1.29</w:t>
            </w:r>
          </w:p>
        </w:tc>
        <w:tc>
          <w:tcPr>
            <w:tcW w:w="960" w:type="dxa"/>
            <w:tcBorders>
              <w:top w:val="nil"/>
              <w:left w:val="nil"/>
              <w:bottom w:val="single" w:sz="8" w:space="0" w:color="auto"/>
              <w:right w:val="single" w:sz="8" w:space="0" w:color="auto"/>
            </w:tcBorders>
            <w:shd w:val="clear" w:color="auto" w:fill="auto"/>
            <w:noWrap/>
            <w:vAlign w:val="center"/>
            <w:hideMark/>
          </w:tcPr>
          <w:p w14:paraId="39DE32F3"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1.14</w:t>
            </w:r>
          </w:p>
        </w:tc>
        <w:tc>
          <w:tcPr>
            <w:tcW w:w="960" w:type="dxa"/>
            <w:tcBorders>
              <w:top w:val="nil"/>
              <w:left w:val="nil"/>
              <w:bottom w:val="single" w:sz="8" w:space="0" w:color="auto"/>
              <w:right w:val="single" w:sz="8" w:space="0" w:color="auto"/>
            </w:tcBorders>
            <w:shd w:val="clear" w:color="auto" w:fill="auto"/>
            <w:noWrap/>
            <w:vAlign w:val="center"/>
            <w:hideMark/>
          </w:tcPr>
          <w:p w14:paraId="1C555F22"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1.06</w:t>
            </w:r>
          </w:p>
        </w:tc>
        <w:tc>
          <w:tcPr>
            <w:tcW w:w="960" w:type="dxa"/>
            <w:tcBorders>
              <w:top w:val="nil"/>
              <w:left w:val="nil"/>
              <w:bottom w:val="single" w:sz="8" w:space="0" w:color="auto"/>
              <w:right w:val="single" w:sz="8" w:space="0" w:color="auto"/>
            </w:tcBorders>
            <w:shd w:val="clear" w:color="auto" w:fill="auto"/>
            <w:noWrap/>
            <w:vAlign w:val="center"/>
            <w:hideMark/>
          </w:tcPr>
          <w:p w14:paraId="122F6070"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1.04</w:t>
            </w:r>
          </w:p>
        </w:tc>
        <w:tc>
          <w:tcPr>
            <w:tcW w:w="960" w:type="dxa"/>
            <w:tcBorders>
              <w:top w:val="nil"/>
              <w:left w:val="nil"/>
              <w:bottom w:val="single" w:sz="8" w:space="0" w:color="auto"/>
              <w:right w:val="single" w:sz="8" w:space="0" w:color="auto"/>
            </w:tcBorders>
            <w:shd w:val="clear" w:color="auto" w:fill="auto"/>
            <w:noWrap/>
            <w:vAlign w:val="center"/>
            <w:hideMark/>
          </w:tcPr>
          <w:p w14:paraId="3E936E4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1.03</w:t>
            </w:r>
          </w:p>
        </w:tc>
      </w:tr>
      <w:tr w:rsidR="00663CAF" w:rsidRPr="00663CAF" w14:paraId="5F830233"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790565"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Total</w:t>
            </w:r>
          </w:p>
        </w:tc>
        <w:tc>
          <w:tcPr>
            <w:tcW w:w="960" w:type="dxa"/>
            <w:tcBorders>
              <w:top w:val="nil"/>
              <w:left w:val="nil"/>
              <w:bottom w:val="single" w:sz="8" w:space="0" w:color="auto"/>
              <w:right w:val="single" w:sz="8" w:space="0" w:color="auto"/>
            </w:tcBorders>
            <w:shd w:val="clear" w:color="auto" w:fill="auto"/>
            <w:noWrap/>
            <w:vAlign w:val="center"/>
            <w:hideMark/>
          </w:tcPr>
          <w:p w14:paraId="3BD0A97E"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38.38</w:t>
            </w:r>
          </w:p>
        </w:tc>
        <w:tc>
          <w:tcPr>
            <w:tcW w:w="960" w:type="dxa"/>
            <w:tcBorders>
              <w:top w:val="nil"/>
              <w:left w:val="nil"/>
              <w:bottom w:val="single" w:sz="8" w:space="0" w:color="auto"/>
              <w:right w:val="single" w:sz="8" w:space="0" w:color="auto"/>
            </w:tcBorders>
            <w:shd w:val="clear" w:color="auto" w:fill="auto"/>
            <w:noWrap/>
            <w:vAlign w:val="center"/>
            <w:hideMark/>
          </w:tcPr>
          <w:p w14:paraId="4F030A4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37.35</w:t>
            </w:r>
          </w:p>
        </w:tc>
        <w:tc>
          <w:tcPr>
            <w:tcW w:w="960" w:type="dxa"/>
            <w:tcBorders>
              <w:top w:val="nil"/>
              <w:left w:val="nil"/>
              <w:bottom w:val="single" w:sz="8" w:space="0" w:color="auto"/>
              <w:right w:val="single" w:sz="8" w:space="0" w:color="auto"/>
            </w:tcBorders>
            <w:shd w:val="clear" w:color="auto" w:fill="auto"/>
            <w:noWrap/>
            <w:vAlign w:val="center"/>
            <w:hideMark/>
          </w:tcPr>
          <w:p w14:paraId="42AE5F3F"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34.93</w:t>
            </w:r>
          </w:p>
        </w:tc>
        <w:tc>
          <w:tcPr>
            <w:tcW w:w="960" w:type="dxa"/>
            <w:tcBorders>
              <w:top w:val="nil"/>
              <w:left w:val="nil"/>
              <w:bottom w:val="single" w:sz="8" w:space="0" w:color="auto"/>
              <w:right w:val="single" w:sz="8" w:space="0" w:color="auto"/>
            </w:tcBorders>
            <w:shd w:val="clear" w:color="auto" w:fill="auto"/>
            <w:noWrap/>
            <w:vAlign w:val="center"/>
            <w:hideMark/>
          </w:tcPr>
          <w:p w14:paraId="3688CDB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30.72</w:t>
            </w:r>
          </w:p>
        </w:tc>
        <w:tc>
          <w:tcPr>
            <w:tcW w:w="960" w:type="dxa"/>
            <w:tcBorders>
              <w:top w:val="nil"/>
              <w:left w:val="nil"/>
              <w:bottom w:val="single" w:sz="8" w:space="0" w:color="auto"/>
              <w:right w:val="single" w:sz="8" w:space="0" w:color="auto"/>
            </w:tcBorders>
            <w:shd w:val="clear" w:color="auto" w:fill="auto"/>
            <w:noWrap/>
            <w:vAlign w:val="center"/>
            <w:hideMark/>
          </w:tcPr>
          <w:p w14:paraId="39492A3E"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23.59</w:t>
            </w:r>
          </w:p>
        </w:tc>
        <w:tc>
          <w:tcPr>
            <w:tcW w:w="960" w:type="dxa"/>
            <w:tcBorders>
              <w:top w:val="nil"/>
              <w:left w:val="nil"/>
              <w:bottom w:val="single" w:sz="8" w:space="0" w:color="auto"/>
              <w:right w:val="single" w:sz="8" w:space="0" w:color="auto"/>
            </w:tcBorders>
            <w:shd w:val="clear" w:color="auto" w:fill="auto"/>
            <w:noWrap/>
            <w:vAlign w:val="center"/>
            <w:hideMark/>
          </w:tcPr>
          <w:p w14:paraId="46E665E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16.18</w:t>
            </w:r>
          </w:p>
        </w:tc>
        <w:tc>
          <w:tcPr>
            <w:tcW w:w="960" w:type="dxa"/>
            <w:tcBorders>
              <w:top w:val="nil"/>
              <w:left w:val="nil"/>
              <w:bottom w:val="single" w:sz="8" w:space="0" w:color="auto"/>
              <w:right w:val="single" w:sz="8" w:space="0" w:color="auto"/>
            </w:tcBorders>
            <w:shd w:val="clear" w:color="auto" w:fill="auto"/>
            <w:noWrap/>
            <w:vAlign w:val="center"/>
            <w:hideMark/>
          </w:tcPr>
          <w:p w14:paraId="0FE0903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11.46</w:t>
            </w:r>
          </w:p>
        </w:tc>
        <w:tc>
          <w:tcPr>
            <w:tcW w:w="960" w:type="dxa"/>
            <w:tcBorders>
              <w:top w:val="nil"/>
              <w:left w:val="nil"/>
              <w:bottom w:val="single" w:sz="8" w:space="0" w:color="auto"/>
              <w:right w:val="single" w:sz="8" w:space="0" w:color="auto"/>
            </w:tcBorders>
            <w:shd w:val="clear" w:color="auto" w:fill="auto"/>
            <w:noWrap/>
            <w:vAlign w:val="center"/>
            <w:hideMark/>
          </w:tcPr>
          <w:p w14:paraId="350A198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10.07</w:t>
            </w:r>
          </w:p>
        </w:tc>
      </w:tr>
      <w:tr w:rsidR="00663CAF" w:rsidRPr="00663CAF" w14:paraId="170E7F15" w14:textId="77777777" w:rsidTr="00663CAF">
        <w:trPr>
          <w:trHeight w:val="315"/>
        </w:trPr>
        <w:tc>
          <w:tcPr>
            <w:tcW w:w="960" w:type="dxa"/>
            <w:tcBorders>
              <w:top w:val="nil"/>
              <w:left w:val="nil"/>
              <w:bottom w:val="nil"/>
              <w:right w:val="nil"/>
            </w:tcBorders>
            <w:shd w:val="clear" w:color="auto" w:fill="auto"/>
            <w:noWrap/>
            <w:vAlign w:val="center"/>
            <w:hideMark/>
          </w:tcPr>
          <w:p w14:paraId="3FF83F69" w14:textId="77777777" w:rsidR="00663CAF" w:rsidRPr="00663CAF" w:rsidRDefault="00663CAF" w:rsidP="00663CAF">
            <w:pPr>
              <w:spacing w:after="0" w:line="240" w:lineRule="auto"/>
              <w:jc w:val="right"/>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31A573AA"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3531667"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58F3880"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2773A20"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2FDBD3C"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B5177F1"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F734DE3"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57FE8B1"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r>
      <w:tr w:rsidR="00663CAF" w:rsidRPr="00663CAF" w14:paraId="7322F52F" w14:textId="77777777" w:rsidTr="00663CAF">
        <w:trPr>
          <w:trHeight w:val="345"/>
        </w:trPr>
        <w:tc>
          <w:tcPr>
            <w:tcW w:w="960" w:type="dxa"/>
            <w:tcBorders>
              <w:top w:val="single" w:sz="8" w:space="0" w:color="auto"/>
              <w:left w:val="single" w:sz="8" w:space="0" w:color="auto"/>
              <w:bottom w:val="single" w:sz="8" w:space="0" w:color="auto"/>
              <w:right w:val="single" w:sz="8" w:space="0" w:color="auto"/>
            </w:tcBorders>
            <w:shd w:val="clear" w:color="000000" w:fill="000099"/>
            <w:noWrap/>
            <w:vAlign w:val="bottom"/>
            <w:hideMark/>
          </w:tcPr>
          <w:p w14:paraId="222E059F" w14:textId="77777777" w:rsidR="00663CAF" w:rsidRPr="00663CAF" w:rsidRDefault="00663CAF" w:rsidP="00663CAF">
            <w:pPr>
              <w:spacing w:after="0" w:line="240" w:lineRule="auto"/>
              <w:rPr>
                <w:rFonts w:ascii="Jacobs Chronos" w:eastAsia="Times New Roman" w:hAnsi="Jacobs Chronos" w:cs="Jacobs Chronos"/>
                <w:color w:val="000000"/>
                <w:lang w:eastAsia="en-GB"/>
              </w:rPr>
            </w:pPr>
            <w:r w:rsidRPr="00663CAF">
              <w:rPr>
                <w:rFonts w:ascii="Jacobs Chronos" w:eastAsia="Times New Roman" w:hAnsi="Jacobs Chronos" w:cs="Jacobs Chronos"/>
                <w:color w:val="000000"/>
                <w:lang w:eastAsia="en-GB"/>
              </w:rPr>
              <w:t> </w:t>
            </w:r>
          </w:p>
        </w:tc>
        <w:tc>
          <w:tcPr>
            <w:tcW w:w="7680" w:type="dxa"/>
            <w:gridSpan w:val="8"/>
            <w:tcBorders>
              <w:top w:val="single" w:sz="8" w:space="0" w:color="auto"/>
              <w:left w:val="nil"/>
              <w:bottom w:val="single" w:sz="8" w:space="0" w:color="auto"/>
              <w:right w:val="nil"/>
            </w:tcBorders>
            <w:shd w:val="clear" w:color="000000" w:fill="000099"/>
            <w:noWrap/>
            <w:vAlign w:val="center"/>
            <w:hideMark/>
          </w:tcPr>
          <w:p w14:paraId="5A9A790E" w14:textId="77777777" w:rsidR="00663CAF" w:rsidRPr="00663CAF" w:rsidRDefault="00663CAF" w:rsidP="00663CAF">
            <w:pPr>
              <w:spacing w:after="0" w:line="240" w:lineRule="auto"/>
              <w:jc w:val="center"/>
              <w:rPr>
                <w:rFonts w:ascii="Arial" w:eastAsia="Times New Roman" w:hAnsi="Arial" w:cs="Arial"/>
                <w:b/>
                <w:bCs/>
                <w:color w:val="FFFFFF"/>
                <w:lang w:eastAsia="en-GB"/>
              </w:rPr>
            </w:pPr>
            <w:r w:rsidRPr="00663CAF">
              <w:rPr>
                <w:rFonts w:ascii="Arial" w:eastAsia="Times New Roman" w:hAnsi="Arial" w:cs="Arial"/>
                <w:b/>
                <w:bCs/>
                <w:color w:val="FFFFFF"/>
                <w:lang w:eastAsia="en-GB"/>
              </w:rPr>
              <w:t>tCO</w:t>
            </w:r>
            <w:r w:rsidRPr="00663CAF">
              <w:rPr>
                <w:rFonts w:ascii="Arial" w:eastAsia="Times New Roman" w:hAnsi="Arial" w:cs="Arial"/>
                <w:b/>
                <w:bCs/>
                <w:color w:val="FFFFFF"/>
                <w:vertAlign w:val="subscript"/>
                <w:lang w:eastAsia="en-GB"/>
              </w:rPr>
              <w:t>2</w:t>
            </w:r>
            <w:r w:rsidRPr="00663CAF">
              <w:rPr>
                <w:rFonts w:ascii="Arial" w:eastAsia="Times New Roman" w:hAnsi="Arial" w:cs="Arial"/>
                <w:b/>
                <w:bCs/>
                <w:color w:val="FFFFFF"/>
                <w:lang w:eastAsia="en-GB"/>
              </w:rPr>
              <w:t xml:space="preserve"> emitted per Lane Closure 24 hrs </w:t>
            </w:r>
          </w:p>
        </w:tc>
      </w:tr>
      <w:tr w:rsidR="00663CAF" w:rsidRPr="00663CAF" w14:paraId="0425A285" w14:textId="77777777" w:rsidTr="00663CAF">
        <w:trPr>
          <w:trHeight w:val="315"/>
        </w:trPr>
        <w:tc>
          <w:tcPr>
            <w:tcW w:w="960" w:type="dxa"/>
            <w:tcBorders>
              <w:top w:val="nil"/>
              <w:left w:val="single" w:sz="8" w:space="0" w:color="auto"/>
              <w:bottom w:val="single" w:sz="8" w:space="0" w:color="auto"/>
              <w:right w:val="single" w:sz="8" w:space="0" w:color="auto"/>
            </w:tcBorders>
            <w:shd w:val="clear" w:color="000000" w:fill="99CCFF"/>
            <w:noWrap/>
            <w:vAlign w:val="center"/>
            <w:hideMark/>
          </w:tcPr>
          <w:p w14:paraId="1F2509E2"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 </w:t>
            </w:r>
          </w:p>
        </w:tc>
        <w:tc>
          <w:tcPr>
            <w:tcW w:w="960" w:type="dxa"/>
            <w:tcBorders>
              <w:top w:val="nil"/>
              <w:left w:val="nil"/>
              <w:bottom w:val="single" w:sz="8" w:space="0" w:color="auto"/>
              <w:right w:val="single" w:sz="8" w:space="0" w:color="auto"/>
            </w:tcBorders>
            <w:shd w:val="clear" w:color="000000" w:fill="99CCFF"/>
            <w:noWrap/>
            <w:vAlign w:val="center"/>
            <w:hideMark/>
          </w:tcPr>
          <w:p w14:paraId="6AF8D5AD"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2015</w:t>
            </w:r>
          </w:p>
        </w:tc>
        <w:tc>
          <w:tcPr>
            <w:tcW w:w="960" w:type="dxa"/>
            <w:tcBorders>
              <w:top w:val="nil"/>
              <w:left w:val="nil"/>
              <w:bottom w:val="single" w:sz="8" w:space="0" w:color="auto"/>
              <w:right w:val="single" w:sz="8" w:space="0" w:color="auto"/>
            </w:tcBorders>
            <w:shd w:val="clear" w:color="000000" w:fill="99CCFF"/>
            <w:noWrap/>
            <w:vAlign w:val="center"/>
            <w:hideMark/>
          </w:tcPr>
          <w:p w14:paraId="672A3EFD"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2020</w:t>
            </w:r>
          </w:p>
        </w:tc>
        <w:tc>
          <w:tcPr>
            <w:tcW w:w="960" w:type="dxa"/>
            <w:tcBorders>
              <w:top w:val="nil"/>
              <w:left w:val="nil"/>
              <w:bottom w:val="single" w:sz="8" w:space="0" w:color="auto"/>
              <w:right w:val="single" w:sz="8" w:space="0" w:color="auto"/>
            </w:tcBorders>
            <w:shd w:val="clear" w:color="000000" w:fill="99CCFF"/>
            <w:noWrap/>
            <w:vAlign w:val="center"/>
            <w:hideMark/>
          </w:tcPr>
          <w:p w14:paraId="5ABF548A"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2025</w:t>
            </w:r>
          </w:p>
        </w:tc>
        <w:tc>
          <w:tcPr>
            <w:tcW w:w="960" w:type="dxa"/>
            <w:tcBorders>
              <w:top w:val="nil"/>
              <w:left w:val="nil"/>
              <w:bottom w:val="single" w:sz="8" w:space="0" w:color="auto"/>
              <w:right w:val="single" w:sz="8" w:space="0" w:color="auto"/>
            </w:tcBorders>
            <w:shd w:val="clear" w:color="000000" w:fill="99CCFF"/>
            <w:noWrap/>
            <w:vAlign w:val="center"/>
            <w:hideMark/>
          </w:tcPr>
          <w:p w14:paraId="791B09CC"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2030</w:t>
            </w:r>
          </w:p>
        </w:tc>
        <w:tc>
          <w:tcPr>
            <w:tcW w:w="960" w:type="dxa"/>
            <w:tcBorders>
              <w:top w:val="nil"/>
              <w:left w:val="nil"/>
              <w:bottom w:val="single" w:sz="8" w:space="0" w:color="auto"/>
              <w:right w:val="single" w:sz="8" w:space="0" w:color="auto"/>
            </w:tcBorders>
            <w:shd w:val="clear" w:color="000000" w:fill="99CCFF"/>
            <w:noWrap/>
            <w:vAlign w:val="center"/>
            <w:hideMark/>
          </w:tcPr>
          <w:p w14:paraId="1D53C4E2"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2035</w:t>
            </w:r>
          </w:p>
        </w:tc>
        <w:tc>
          <w:tcPr>
            <w:tcW w:w="960" w:type="dxa"/>
            <w:tcBorders>
              <w:top w:val="nil"/>
              <w:left w:val="nil"/>
              <w:bottom w:val="single" w:sz="8" w:space="0" w:color="auto"/>
              <w:right w:val="single" w:sz="8" w:space="0" w:color="auto"/>
            </w:tcBorders>
            <w:shd w:val="clear" w:color="000000" w:fill="99CCFF"/>
            <w:noWrap/>
            <w:vAlign w:val="center"/>
            <w:hideMark/>
          </w:tcPr>
          <w:p w14:paraId="31B4C9A0"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2040</w:t>
            </w:r>
          </w:p>
        </w:tc>
        <w:tc>
          <w:tcPr>
            <w:tcW w:w="960" w:type="dxa"/>
            <w:tcBorders>
              <w:top w:val="nil"/>
              <w:left w:val="nil"/>
              <w:bottom w:val="single" w:sz="8" w:space="0" w:color="auto"/>
              <w:right w:val="single" w:sz="8" w:space="0" w:color="auto"/>
            </w:tcBorders>
            <w:shd w:val="clear" w:color="000000" w:fill="99CCFF"/>
            <w:noWrap/>
            <w:vAlign w:val="center"/>
            <w:hideMark/>
          </w:tcPr>
          <w:p w14:paraId="7FA7C973"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2045</w:t>
            </w:r>
          </w:p>
        </w:tc>
        <w:tc>
          <w:tcPr>
            <w:tcW w:w="960" w:type="dxa"/>
            <w:tcBorders>
              <w:top w:val="nil"/>
              <w:left w:val="nil"/>
              <w:bottom w:val="single" w:sz="8" w:space="0" w:color="auto"/>
              <w:right w:val="single" w:sz="8" w:space="0" w:color="auto"/>
            </w:tcBorders>
            <w:shd w:val="clear" w:color="000000" w:fill="99CCFF"/>
            <w:noWrap/>
            <w:vAlign w:val="center"/>
            <w:hideMark/>
          </w:tcPr>
          <w:p w14:paraId="62E8482C"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2050</w:t>
            </w:r>
          </w:p>
        </w:tc>
      </w:tr>
      <w:tr w:rsidR="00663CAF" w:rsidRPr="00663CAF" w14:paraId="654E8CC2"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D87653"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Car</w:t>
            </w:r>
          </w:p>
        </w:tc>
        <w:tc>
          <w:tcPr>
            <w:tcW w:w="960" w:type="dxa"/>
            <w:tcBorders>
              <w:top w:val="nil"/>
              <w:left w:val="nil"/>
              <w:bottom w:val="single" w:sz="8" w:space="0" w:color="auto"/>
              <w:right w:val="single" w:sz="8" w:space="0" w:color="auto"/>
            </w:tcBorders>
            <w:shd w:val="clear" w:color="auto" w:fill="auto"/>
            <w:noWrap/>
            <w:vAlign w:val="center"/>
            <w:hideMark/>
          </w:tcPr>
          <w:p w14:paraId="354015D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16.82</w:t>
            </w:r>
          </w:p>
        </w:tc>
        <w:tc>
          <w:tcPr>
            <w:tcW w:w="960" w:type="dxa"/>
            <w:tcBorders>
              <w:top w:val="nil"/>
              <w:left w:val="nil"/>
              <w:bottom w:val="single" w:sz="8" w:space="0" w:color="auto"/>
              <w:right w:val="single" w:sz="8" w:space="0" w:color="auto"/>
            </w:tcBorders>
            <w:shd w:val="clear" w:color="auto" w:fill="auto"/>
            <w:noWrap/>
            <w:vAlign w:val="center"/>
            <w:hideMark/>
          </w:tcPr>
          <w:p w14:paraId="76936C3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16.20</w:t>
            </w:r>
          </w:p>
        </w:tc>
        <w:tc>
          <w:tcPr>
            <w:tcW w:w="960" w:type="dxa"/>
            <w:tcBorders>
              <w:top w:val="nil"/>
              <w:left w:val="nil"/>
              <w:bottom w:val="single" w:sz="8" w:space="0" w:color="auto"/>
              <w:right w:val="single" w:sz="8" w:space="0" w:color="auto"/>
            </w:tcBorders>
            <w:shd w:val="clear" w:color="auto" w:fill="auto"/>
            <w:noWrap/>
            <w:vAlign w:val="center"/>
            <w:hideMark/>
          </w:tcPr>
          <w:p w14:paraId="10AC5FC4"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14.85</w:t>
            </w:r>
          </w:p>
        </w:tc>
        <w:tc>
          <w:tcPr>
            <w:tcW w:w="960" w:type="dxa"/>
            <w:tcBorders>
              <w:top w:val="nil"/>
              <w:left w:val="nil"/>
              <w:bottom w:val="single" w:sz="8" w:space="0" w:color="auto"/>
              <w:right w:val="single" w:sz="8" w:space="0" w:color="auto"/>
            </w:tcBorders>
            <w:shd w:val="clear" w:color="auto" w:fill="auto"/>
            <w:noWrap/>
            <w:vAlign w:val="center"/>
            <w:hideMark/>
          </w:tcPr>
          <w:p w14:paraId="3FE2A291"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12.39</w:t>
            </w:r>
          </w:p>
        </w:tc>
        <w:tc>
          <w:tcPr>
            <w:tcW w:w="960" w:type="dxa"/>
            <w:tcBorders>
              <w:top w:val="nil"/>
              <w:left w:val="nil"/>
              <w:bottom w:val="single" w:sz="8" w:space="0" w:color="auto"/>
              <w:right w:val="single" w:sz="8" w:space="0" w:color="auto"/>
            </w:tcBorders>
            <w:shd w:val="clear" w:color="auto" w:fill="auto"/>
            <w:noWrap/>
            <w:vAlign w:val="center"/>
            <w:hideMark/>
          </w:tcPr>
          <w:p w14:paraId="74836FA3"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8.27</w:t>
            </w:r>
          </w:p>
        </w:tc>
        <w:tc>
          <w:tcPr>
            <w:tcW w:w="960" w:type="dxa"/>
            <w:tcBorders>
              <w:top w:val="nil"/>
              <w:left w:val="nil"/>
              <w:bottom w:val="single" w:sz="8" w:space="0" w:color="auto"/>
              <w:right w:val="single" w:sz="8" w:space="0" w:color="auto"/>
            </w:tcBorders>
            <w:shd w:val="clear" w:color="auto" w:fill="auto"/>
            <w:noWrap/>
            <w:vAlign w:val="center"/>
            <w:hideMark/>
          </w:tcPr>
          <w:p w14:paraId="715EADAF"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4.15</w:t>
            </w:r>
          </w:p>
        </w:tc>
        <w:tc>
          <w:tcPr>
            <w:tcW w:w="960" w:type="dxa"/>
            <w:tcBorders>
              <w:top w:val="nil"/>
              <w:left w:val="nil"/>
              <w:bottom w:val="single" w:sz="8" w:space="0" w:color="auto"/>
              <w:right w:val="single" w:sz="8" w:space="0" w:color="auto"/>
            </w:tcBorders>
            <w:shd w:val="clear" w:color="auto" w:fill="auto"/>
            <w:noWrap/>
            <w:vAlign w:val="center"/>
            <w:hideMark/>
          </w:tcPr>
          <w:p w14:paraId="5839FAF3"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1.60</w:t>
            </w:r>
          </w:p>
        </w:tc>
        <w:tc>
          <w:tcPr>
            <w:tcW w:w="960" w:type="dxa"/>
            <w:tcBorders>
              <w:top w:val="nil"/>
              <w:left w:val="nil"/>
              <w:bottom w:val="single" w:sz="8" w:space="0" w:color="auto"/>
              <w:right w:val="single" w:sz="8" w:space="0" w:color="auto"/>
            </w:tcBorders>
            <w:shd w:val="clear" w:color="auto" w:fill="auto"/>
            <w:noWrap/>
            <w:vAlign w:val="center"/>
            <w:hideMark/>
          </w:tcPr>
          <w:p w14:paraId="435D172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0.74</w:t>
            </w:r>
          </w:p>
        </w:tc>
      </w:tr>
      <w:tr w:rsidR="00663CAF" w:rsidRPr="00663CAF" w14:paraId="7A9F2E6E"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7ADAE7"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LGV</w:t>
            </w:r>
          </w:p>
        </w:tc>
        <w:tc>
          <w:tcPr>
            <w:tcW w:w="960" w:type="dxa"/>
            <w:tcBorders>
              <w:top w:val="nil"/>
              <w:left w:val="nil"/>
              <w:bottom w:val="single" w:sz="8" w:space="0" w:color="auto"/>
              <w:right w:val="single" w:sz="8" w:space="0" w:color="auto"/>
            </w:tcBorders>
            <w:shd w:val="clear" w:color="auto" w:fill="auto"/>
            <w:noWrap/>
            <w:vAlign w:val="center"/>
            <w:hideMark/>
          </w:tcPr>
          <w:p w14:paraId="312C7D07"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3.17</w:t>
            </w:r>
          </w:p>
        </w:tc>
        <w:tc>
          <w:tcPr>
            <w:tcW w:w="960" w:type="dxa"/>
            <w:tcBorders>
              <w:top w:val="nil"/>
              <w:left w:val="nil"/>
              <w:bottom w:val="single" w:sz="8" w:space="0" w:color="auto"/>
              <w:right w:val="single" w:sz="8" w:space="0" w:color="auto"/>
            </w:tcBorders>
            <w:shd w:val="clear" w:color="auto" w:fill="auto"/>
            <w:noWrap/>
            <w:vAlign w:val="center"/>
            <w:hideMark/>
          </w:tcPr>
          <w:p w14:paraId="12C5365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3.48</w:t>
            </w:r>
          </w:p>
        </w:tc>
        <w:tc>
          <w:tcPr>
            <w:tcW w:w="960" w:type="dxa"/>
            <w:tcBorders>
              <w:top w:val="nil"/>
              <w:left w:val="nil"/>
              <w:bottom w:val="single" w:sz="8" w:space="0" w:color="auto"/>
              <w:right w:val="single" w:sz="8" w:space="0" w:color="auto"/>
            </w:tcBorders>
            <w:shd w:val="clear" w:color="auto" w:fill="auto"/>
            <w:noWrap/>
            <w:vAlign w:val="center"/>
            <w:hideMark/>
          </w:tcPr>
          <w:p w14:paraId="32C31F78"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3.26</w:t>
            </w:r>
          </w:p>
        </w:tc>
        <w:tc>
          <w:tcPr>
            <w:tcW w:w="960" w:type="dxa"/>
            <w:tcBorders>
              <w:top w:val="nil"/>
              <w:left w:val="nil"/>
              <w:bottom w:val="single" w:sz="8" w:space="0" w:color="auto"/>
              <w:right w:val="single" w:sz="8" w:space="0" w:color="auto"/>
            </w:tcBorders>
            <w:shd w:val="clear" w:color="auto" w:fill="auto"/>
            <w:noWrap/>
            <w:vAlign w:val="center"/>
            <w:hideMark/>
          </w:tcPr>
          <w:p w14:paraId="029B1357"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2.89</w:t>
            </w:r>
          </w:p>
        </w:tc>
        <w:tc>
          <w:tcPr>
            <w:tcW w:w="960" w:type="dxa"/>
            <w:tcBorders>
              <w:top w:val="nil"/>
              <w:left w:val="nil"/>
              <w:bottom w:val="single" w:sz="8" w:space="0" w:color="auto"/>
              <w:right w:val="single" w:sz="8" w:space="0" w:color="auto"/>
            </w:tcBorders>
            <w:shd w:val="clear" w:color="auto" w:fill="auto"/>
            <w:noWrap/>
            <w:vAlign w:val="center"/>
            <w:hideMark/>
          </w:tcPr>
          <w:p w14:paraId="1241B4CB"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2.25</w:t>
            </w:r>
          </w:p>
        </w:tc>
        <w:tc>
          <w:tcPr>
            <w:tcW w:w="960" w:type="dxa"/>
            <w:tcBorders>
              <w:top w:val="nil"/>
              <w:left w:val="nil"/>
              <w:bottom w:val="single" w:sz="8" w:space="0" w:color="auto"/>
              <w:right w:val="single" w:sz="8" w:space="0" w:color="auto"/>
            </w:tcBorders>
            <w:shd w:val="clear" w:color="auto" w:fill="auto"/>
            <w:noWrap/>
            <w:vAlign w:val="center"/>
            <w:hideMark/>
          </w:tcPr>
          <w:p w14:paraId="7DC18E76"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1.39</w:t>
            </w:r>
          </w:p>
        </w:tc>
        <w:tc>
          <w:tcPr>
            <w:tcW w:w="960" w:type="dxa"/>
            <w:tcBorders>
              <w:top w:val="nil"/>
              <w:left w:val="nil"/>
              <w:bottom w:val="single" w:sz="8" w:space="0" w:color="auto"/>
              <w:right w:val="single" w:sz="8" w:space="0" w:color="auto"/>
            </w:tcBorders>
            <w:shd w:val="clear" w:color="auto" w:fill="auto"/>
            <w:noWrap/>
            <w:vAlign w:val="center"/>
            <w:hideMark/>
          </w:tcPr>
          <w:p w14:paraId="058336F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0.64</w:t>
            </w:r>
          </w:p>
        </w:tc>
        <w:tc>
          <w:tcPr>
            <w:tcW w:w="960" w:type="dxa"/>
            <w:tcBorders>
              <w:top w:val="nil"/>
              <w:left w:val="nil"/>
              <w:bottom w:val="single" w:sz="8" w:space="0" w:color="auto"/>
              <w:right w:val="single" w:sz="8" w:space="0" w:color="auto"/>
            </w:tcBorders>
            <w:shd w:val="clear" w:color="auto" w:fill="auto"/>
            <w:noWrap/>
            <w:vAlign w:val="center"/>
            <w:hideMark/>
          </w:tcPr>
          <w:p w14:paraId="15E12D9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0.33</w:t>
            </w:r>
          </w:p>
        </w:tc>
      </w:tr>
      <w:tr w:rsidR="00663CAF" w:rsidRPr="00663CAF" w14:paraId="6FEEB3D1"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C528B9"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HGV</w:t>
            </w:r>
          </w:p>
        </w:tc>
        <w:tc>
          <w:tcPr>
            <w:tcW w:w="960" w:type="dxa"/>
            <w:tcBorders>
              <w:top w:val="nil"/>
              <w:left w:val="nil"/>
              <w:bottom w:val="single" w:sz="8" w:space="0" w:color="auto"/>
              <w:right w:val="single" w:sz="8" w:space="0" w:color="auto"/>
            </w:tcBorders>
            <w:shd w:val="clear" w:color="auto" w:fill="auto"/>
            <w:noWrap/>
            <w:vAlign w:val="center"/>
            <w:hideMark/>
          </w:tcPr>
          <w:p w14:paraId="71B8174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4.43</w:t>
            </w:r>
          </w:p>
        </w:tc>
        <w:tc>
          <w:tcPr>
            <w:tcW w:w="960" w:type="dxa"/>
            <w:tcBorders>
              <w:top w:val="nil"/>
              <w:left w:val="nil"/>
              <w:bottom w:val="single" w:sz="8" w:space="0" w:color="auto"/>
              <w:right w:val="single" w:sz="8" w:space="0" w:color="auto"/>
            </w:tcBorders>
            <w:shd w:val="clear" w:color="auto" w:fill="auto"/>
            <w:noWrap/>
            <w:vAlign w:val="center"/>
            <w:hideMark/>
          </w:tcPr>
          <w:p w14:paraId="3E62B37F"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3.89</w:t>
            </w:r>
          </w:p>
        </w:tc>
        <w:tc>
          <w:tcPr>
            <w:tcW w:w="960" w:type="dxa"/>
            <w:tcBorders>
              <w:top w:val="nil"/>
              <w:left w:val="nil"/>
              <w:bottom w:val="single" w:sz="8" w:space="0" w:color="auto"/>
              <w:right w:val="single" w:sz="8" w:space="0" w:color="auto"/>
            </w:tcBorders>
            <w:shd w:val="clear" w:color="auto" w:fill="auto"/>
            <w:noWrap/>
            <w:vAlign w:val="center"/>
            <w:hideMark/>
          </w:tcPr>
          <w:p w14:paraId="6B8CF6C3"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3.83</w:t>
            </w:r>
          </w:p>
        </w:tc>
        <w:tc>
          <w:tcPr>
            <w:tcW w:w="960" w:type="dxa"/>
            <w:tcBorders>
              <w:top w:val="nil"/>
              <w:left w:val="nil"/>
              <w:bottom w:val="single" w:sz="8" w:space="0" w:color="auto"/>
              <w:right w:val="single" w:sz="8" w:space="0" w:color="auto"/>
            </w:tcBorders>
            <w:shd w:val="clear" w:color="auto" w:fill="auto"/>
            <w:noWrap/>
            <w:vAlign w:val="center"/>
            <w:hideMark/>
          </w:tcPr>
          <w:p w14:paraId="19E378B3"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3.92</w:t>
            </w:r>
          </w:p>
        </w:tc>
        <w:tc>
          <w:tcPr>
            <w:tcW w:w="960" w:type="dxa"/>
            <w:tcBorders>
              <w:top w:val="nil"/>
              <w:left w:val="nil"/>
              <w:bottom w:val="single" w:sz="8" w:space="0" w:color="auto"/>
              <w:right w:val="single" w:sz="8" w:space="0" w:color="auto"/>
            </w:tcBorders>
            <w:shd w:val="clear" w:color="auto" w:fill="auto"/>
            <w:noWrap/>
            <w:vAlign w:val="center"/>
            <w:hideMark/>
          </w:tcPr>
          <w:p w14:paraId="469A2732"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3.98</w:t>
            </w:r>
          </w:p>
        </w:tc>
        <w:tc>
          <w:tcPr>
            <w:tcW w:w="960" w:type="dxa"/>
            <w:tcBorders>
              <w:top w:val="nil"/>
              <w:left w:val="nil"/>
              <w:bottom w:val="single" w:sz="8" w:space="0" w:color="auto"/>
              <w:right w:val="single" w:sz="8" w:space="0" w:color="auto"/>
            </w:tcBorders>
            <w:shd w:val="clear" w:color="auto" w:fill="auto"/>
            <w:noWrap/>
            <w:vAlign w:val="center"/>
            <w:hideMark/>
          </w:tcPr>
          <w:p w14:paraId="22DE7D8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4.05</w:t>
            </w:r>
          </w:p>
        </w:tc>
        <w:tc>
          <w:tcPr>
            <w:tcW w:w="960" w:type="dxa"/>
            <w:tcBorders>
              <w:top w:val="nil"/>
              <w:left w:val="nil"/>
              <w:bottom w:val="single" w:sz="8" w:space="0" w:color="auto"/>
              <w:right w:val="single" w:sz="8" w:space="0" w:color="auto"/>
            </w:tcBorders>
            <w:shd w:val="clear" w:color="auto" w:fill="auto"/>
            <w:noWrap/>
            <w:vAlign w:val="center"/>
            <w:hideMark/>
          </w:tcPr>
          <w:p w14:paraId="4C82B87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4.14</w:t>
            </w:r>
          </w:p>
        </w:tc>
        <w:tc>
          <w:tcPr>
            <w:tcW w:w="960" w:type="dxa"/>
            <w:tcBorders>
              <w:top w:val="nil"/>
              <w:left w:val="nil"/>
              <w:bottom w:val="single" w:sz="8" w:space="0" w:color="auto"/>
              <w:right w:val="single" w:sz="8" w:space="0" w:color="auto"/>
            </w:tcBorders>
            <w:shd w:val="clear" w:color="auto" w:fill="auto"/>
            <w:noWrap/>
            <w:vAlign w:val="center"/>
            <w:hideMark/>
          </w:tcPr>
          <w:p w14:paraId="4DEBF3A4"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4.28</w:t>
            </w:r>
          </w:p>
        </w:tc>
      </w:tr>
      <w:tr w:rsidR="00663CAF" w:rsidRPr="00663CAF" w14:paraId="6E73DF44"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3753F94"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PSV</w:t>
            </w:r>
          </w:p>
        </w:tc>
        <w:tc>
          <w:tcPr>
            <w:tcW w:w="960" w:type="dxa"/>
            <w:tcBorders>
              <w:top w:val="nil"/>
              <w:left w:val="nil"/>
              <w:bottom w:val="single" w:sz="8" w:space="0" w:color="auto"/>
              <w:right w:val="single" w:sz="8" w:space="0" w:color="auto"/>
            </w:tcBorders>
            <w:shd w:val="clear" w:color="auto" w:fill="auto"/>
            <w:noWrap/>
            <w:vAlign w:val="center"/>
            <w:hideMark/>
          </w:tcPr>
          <w:p w14:paraId="3414E4E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2.16</w:t>
            </w:r>
          </w:p>
        </w:tc>
        <w:tc>
          <w:tcPr>
            <w:tcW w:w="960" w:type="dxa"/>
            <w:tcBorders>
              <w:top w:val="nil"/>
              <w:left w:val="nil"/>
              <w:bottom w:val="single" w:sz="8" w:space="0" w:color="auto"/>
              <w:right w:val="single" w:sz="8" w:space="0" w:color="auto"/>
            </w:tcBorders>
            <w:shd w:val="clear" w:color="auto" w:fill="auto"/>
            <w:noWrap/>
            <w:vAlign w:val="center"/>
            <w:hideMark/>
          </w:tcPr>
          <w:p w14:paraId="209E97D0"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1.57</w:t>
            </w:r>
          </w:p>
        </w:tc>
        <w:tc>
          <w:tcPr>
            <w:tcW w:w="960" w:type="dxa"/>
            <w:tcBorders>
              <w:top w:val="nil"/>
              <w:left w:val="nil"/>
              <w:bottom w:val="single" w:sz="8" w:space="0" w:color="auto"/>
              <w:right w:val="single" w:sz="8" w:space="0" w:color="auto"/>
            </w:tcBorders>
            <w:shd w:val="clear" w:color="auto" w:fill="auto"/>
            <w:noWrap/>
            <w:vAlign w:val="center"/>
            <w:hideMark/>
          </w:tcPr>
          <w:p w14:paraId="7F32BFE1"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1.37</w:t>
            </w:r>
          </w:p>
        </w:tc>
        <w:tc>
          <w:tcPr>
            <w:tcW w:w="960" w:type="dxa"/>
            <w:tcBorders>
              <w:top w:val="nil"/>
              <w:left w:val="nil"/>
              <w:bottom w:val="single" w:sz="8" w:space="0" w:color="auto"/>
              <w:right w:val="single" w:sz="8" w:space="0" w:color="auto"/>
            </w:tcBorders>
            <w:shd w:val="clear" w:color="auto" w:fill="auto"/>
            <w:noWrap/>
            <w:vAlign w:val="center"/>
            <w:hideMark/>
          </w:tcPr>
          <w:p w14:paraId="58F81937"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1.14</w:t>
            </w:r>
          </w:p>
        </w:tc>
        <w:tc>
          <w:tcPr>
            <w:tcW w:w="960" w:type="dxa"/>
            <w:tcBorders>
              <w:top w:val="nil"/>
              <w:left w:val="nil"/>
              <w:bottom w:val="single" w:sz="8" w:space="0" w:color="auto"/>
              <w:right w:val="single" w:sz="8" w:space="0" w:color="auto"/>
            </w:tcBorders>
            <w:shd w:val="clear" w:color="auto" w:fill="auto"/>
            <w:noWrap/>
            <w:vAlign w:val="center"/>
            <w:hideMark/>
          </w:tcPr>
          <w:p w14:paraId="40EC4433"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1.01</w:t>
            </w:r>
          </w:p>
        </w:tc>
        <w:tc>
          <w:tcPr>
            <w:tcW w:w="960" w:type="dxa"/>
            <w:tcBorders>
              <w:top w:val="nil"/>
              <w:left w:val="nil"/>
              <w:bottom w:val="single" w:sz="8" w:space="0" w:color="auto"/>
              <w:right w:val="single" w:sz="8" w:space="0" w:color="auto"/>
            </w:tcBorders>
            <w:shd w:val="clear" w:color="auto" w:fill="auto"/>
            <w:noWrap/>
            <w:vAlign w:val="center"/>
            <w:hideMark/>
          </w:tcPr>
          <w:p w14:paraId="43011D9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0.94</w:t>
            </w:r>
          </w:p>
        </w:tc>
        <w:tc>
          <w:tcPr>
            <w:tcW w:w="960" w:type="dxa"/>
            <w:tcBorders>
              <w:top w:val="nil"/>
              <w:left w:val="nil"/>
              <w:bottom w:val="single" w:sz="8" w:space="0" w:color="auto"/>
              <w:right w:val="single" w:sz="8" w:space="0" w:color="auto"/>
            </w:tcBorders>
            <w:shd w:val="clear" w:color="auto" w:fill="auto"/>
            <w:noWrap/>
            <w:vAlign w:val="center"/>
            <w:hideMark/>
          </w:tcPr>
          <w:p w14:paraId="1CD9D5A5"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0.92</w:t>
            </w:r>
          </w:p>
        </w:tc>
        <w:tc>
          <w:tcPr>
            <w:tcW w:w="960" w:type="dxa"/>
            <w:tcBorders>
              <w:top w:val="nil"/>
              <w:left w:val="nil"/>
              <w:bottom w:val="single" w:sz="8" w:space="0" w:color="auto"/>
              <w:right w:val="single" w:sz="8" w:space="0" w:color="auto"/>
            </w:tcBorders>
            <w:shd w:val="clear" w:color="auto" w:fill="auto"/>
            <w:noWrap/>
            <w:vAlign w:val="center"/>
            <w:hideMark/>
          </w:tcPr>
          <w:p w14:paraId="6BE5EAF6"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0.90</w:t>
            </w:r>
          </w:p>
        </w:tc>
      </w:tr>
      <w:tr w:rsidR="00663CAF" w:rsidRPr="00663CAF" w14:paraId="1CD5D8A8"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E49364D"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Total</w:t>
            </w:r>
          </w:p>
        </w:tc>
        <w:tc>
          <w:tcPr>
            <w:tcW w:w="960" w:type="dxa"/>
            <w:tcBorders>
              <w:top w:val="nil"/>
              <w:left w:val="nil"/>
              <w:bottom w:val="single" w:sz="8" w:space="0" w:color="auto"/>
              <w:right w:val="single" w:sz="8" w:space="0" w:color="auto"/>
            </w:tcBorders>
            <w:shd w:val="clear" w:color="auto" w:fill="auto"/>
            <w:noWrap/>
            <w:vAlign w:val="center"/>
            <w:hideMark/>
          </w:tcPr>
          <w:p w14:paraId="09B518E5"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26.58</w:t>
            </w:r>
          </w:p>
        </w:tc>
        <w:tc>
          <w:tcPr>
            <w:tcW w:w="960" w:type="dxa"/>
            <w:tcBorders>
              <w:top w:val="nil"/>
              <w:left w:val="nil"/>
              <w:bottom w:val="single" w:sz="8" w:space="0" w:color="auto"/>
              <w:right w:val="single" w:sz="8" w:space="0" w:color="auto"/>
            </w:tcBorders>
            <w:shd w:val="clear" w:color="auto" w:fill="auto"/>
            <w:noWrap/>
            <w:vAlign w:val="center"/>
            <w:hideMark/>
          </w:tcPr>
          <w:p w14:paraId="0388B27B"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25.87</w:t>
            </w:r>
          </w:p>
        </w:tc>
        <w:tc>
          <w:tcPr>
            <w:tcW w:w="960" w:type="dxa"/>
            <w:tcBorders>
              <w:top w:val="nil"/>
              <w:left w:val="nil"/>
              <w:bottom w:val="single" w:sz="8" w:space="0" w:color="auto"/>
              <w:right w:val="single" w:sz="8" w:space="0" w:color="auto"/>
            </w:tcBorders>
            <w:shd w:val="clear" w:color="auto" w:fill="auto"/>
            <w:noWrap/>
            <w:vAlign w:val="center"/>
            <w:hideMark/>
          </w:tcPr>
          <w:p w14:paraId="2E33CF62"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24.19</w:t>
            </w:r>
          </w:p>
        </w:tc>
        <w:tc>
          <w:tcPr>
            <w:tcW w:w="960" w:type="dxa"/>
            <w:tcBorders>
              <w:top w:val="nil"/>
              <w:left w:val="nil"/>
              <w:bottom w:val="single" w:sz="8" w:space="0" w:color="auto"/>
              <w:right w:val="single" w:sz="8" w:space="0" w:color="auto"/>
            </w:tcBorders>
            <w:shd w:val="clear" w:color="auto" w:fill="auto"/>
            <w:noWrap/>
            <w:vAlign w:val="center"/>
            <w:hideMark/>
          </w:tcPr>
          <w:p w14:paraId="14A7AD02"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21.28</w:t>
            </w:r>
          </w:p>
        </w:tc>
        <w:tc>
          <w:tcPr>
            <w:tcW w:w="960" w:type="dxa"/>
            <w:tcBorders>
              <w:top w:val="nil"/>
              <w:left w:val="nil"/>
              <w:bottom w:val="single" w:sz="8" w:space="0" w:color="auto"/>
              <w:right w:val="single" w:sz="8" w:space="0" w:color="auto"/>
            </w:tcBorders>
            <w:shd w:val="clear" w:color="auto" w:fill="auto"/>
            <w:noWrap/>
            <w:vAlign w:val="center"/>
            <w:hideMark/>
          </w:tcPr>
          <w:p w14:paraId="7FA4E75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16.34</w:t>
            </w:r>
          </w:p>
        </w:tc>
        <w:tc>
          <w:tcPr>
            <w:tcW w:w="960" w:type="dxa"/>
            <w:tcBorders>
              <w:top w:val="nil"/>
              <w:left w:val="nil"/>
              <w:bottom w:val="single" w:sz="8" w:space="0" w:color="auto"/>
              <w:right w:val="single" w:sz="8" w:space="0" w:color="auto"/>
            </w:tcBorders>
            <w:shd w:val="clear" w:color="auto" w:fill="auto"/>
            <w:noWrap/>
            <w:vAlign w:val="center"/>
            <w:hideMark/>
          </w:tcPr>
          <w:p w14:paraId="744CB91E"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11.20</w:t>
            </w:r>
          </w:p>
        </w:tc>
        <w:tc>
          <w:tcPr>
            <w:tcW w:w="960" w:type="dxa"/>
            <w:tcBorders>
              <w:top w:val="nil"/>
              <w:left w:val="nil"/>
              <w:bottom w:val="single" w:sz="8" w:space="0" w:color="auto"/>
              <w:right w:val="single" w:sz="8" w:space="0" w:color="auto"/>
            </w:tcBorders>
            <w:shd w:val="clear" w:color="auto" w:fill="auto"/>
            <w:noWrap/>
            <w:vAlign w:val="center"/>
            <w:hideMark/>
          </w:tcPr>
          <w:p w14:paraId="3E66A81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7.94</w:t>
            </w:r>
          </w:p>
        </w:tc>
        <w:tc>
          <w:tcPr>
            <w:tcW w:w="960" w:type="dxa"/>
            <w:tcBorders>
              <w:top w:val="nil"/>
              <w:left w:val="nil"/>
              <w:bottom w:val="single" w:sz="8" w:space="0" w:color="auto"/>
              <w:right w:val="single" w:sz="8" w:space="0" w:color="auto"/>
            </w:tcBorders>
            <w:shd w:val="clear" w:color="auto" w:fill="auto"/>
            <w:noWrap/>
            <w:vAlign w:val="center"/>
            <w:hideMark/>
          </w:tcPr>
          <w:p w14:paraId="034C2FE3"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6.97</w:t>
            </w:r>
          </w:p>
        </w:tc>
      </w:tr>
      <w:tr w:rsidR="00663CAF" w:rsidRPr="00663CAF" w14:paraId="5F343136" w14:textId="77777777" w:rsidTr="00663CAF">
        <w:trPr>
          <w:trHeight w:val="315"/>
        </w:trPr>
        <w:tc>
          <w:tcPr>
            <w:tcW w:w="960" w:type="dxa"/>
            <w:tcBorders>
              <w:top w:val="nil"/>
              <w:left w:val="nil"/>
              <w:bottom w:val="nil"/>
              <w:right w:val="nil"/>
            </w:tcBorders>
            <w:shd w:val="clear" w:color="auto" w:fill="auto"/>
            <w:noWrap/>
            <w:vAlign w:val="center"/>
            <w:hideMark/>
          </w:tcPr>
          <w:p w14:paraId="1F6DABF1"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D6A0E5F"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8B639D6"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1D5B318"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E444601"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C3E8D9A"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6CB1374"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7B6200E"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0F8ADE7"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r>
      <w:tr w:rsidR="00663CAF" w:rsidRPr="00663CAF" w14:paraId="4E684650" w14:textId="77777777" w:rsidTr="00663CAF">
        <w:trPr>
          <w:trHeight w:val="345"/>
        </w:trPr>
        <w:tc>
          <w:tcPr>
            <w:tcW w:w="960" w:type="dxa"/>
            <w:tcBorders>
              <w:top w:val="single" w:sz="8" w:space="0" w:color="auto"/>
              <w:left w:val="single" w:sz="8" w:space="0" w:color="auto"/>
              <w:bottom w:val="single" w:sz="8" w:space="0" w:color="auto"/>
              <w:right w:val="single" w:sz="8" w:space="0" w:color="auto"/>
            </w:tcBorders>
            <w:shd w:val="clear" w:color="000000" w:fill="000099"/>
            <w:noWrap/>
            <w:vAlign w:val="center"/>
            <w:hideMark/>
          </w:tcPr>
          <w:p w14:paraId="7050CA98" w14:textId="77777777" w:rsidR="00663CAF" w:rsidRPr="00663CAF" w:rsidRDefault="00663CAF" w:rsidP="00663CAF">
            <w:pPr>
              <w:spacing w:after="0" w:line="240" w:lineRule="auto"/>
              <w:rPr>
                <w:rFonts w:ascii="Arial" w:eastAsia="Times New Roman" w:hAnsi="Arial" w:cs="Arial"/>
                <w:color w:val="000000"/>
                <w:lang w:eastAsia="en-GB"/>
              </w:rPr>
            </w:pPr>
            <w:r w:rsidRPr="00663CAF">
              <w:rPr>
                <w:rFonts w:ascii="Arial" w:eastAsia="Times New Roman" w:hAnsi="Arial" w:cs="Arial"/>
                <w:color w:val="000000"/>
                <w:lang w:eastAsia="en-GB"/>
              </w:rPr>
              <w:t> </w:t>
            </w:r>
          </w:p>
        </w:tc>
        <w:tc>
          <w:tcPr>
            <w:tcW w:w="7680" w:type="dxa"/>
            <w:gridSpan w:val="8"/>
            <w:tcBorders>
              <w:top w:val="single" w:sz="8" w:space="0" w:color="auto"/>
              <w:left w:val="nil"/>
              <w:bottom w:val="single" w:sz="8" w:space="0" w:color="auto"/>
              <w:right w:val="single" w:sz="8" w:space="0" w:color="000000"/>
            </w:tcBorders>
            <w:shd w:val="clear" w:color="000000" w:fill="000099"/>
            <w:noWrap/>
            <w:vAlign w:val="center"/>
            <w:hideMark/>
          </w:tcPr>
          <w:p w14:paraId="667916B0" w14:textId="77777777" w:rsidR="00663CAF" w:rsidRPr="00663CAF" w:rsidRDefault="00663CAF" w:rsidP="00663CAF">
            <w:pPr>
              <w:spacing w:after="0" w:line="240" w:lineRule="auto"/>
              <w:rPr>
                <w:rFonts w:ascii="Arial" w:eastAsia="Times New Roman" w:hAnsi="Arial" w:cs="Arial"/>
                <w:b/>
                <w:bCs/>
                <w:color w:val="FFFFFF"/>
                <w:lang w:eastAsia="en-GB"/>
              </w:rPr>
            </w:pPr>
            <w:r w:rsidRPr="00663CAF">
              <w:rPr>
                <w:rFonts w:ascii="Arial" w:eastAsia="Times New Roman" w:hAnsi="Arial" w:cs="Arial"/>
                <w:b/>
                <w:bCs/>
                <w:color w:val="FFFFFF"/>
                <w:lang w:eastAsia="en-GB"/>
              </w:rPr>
              <w:t>tCO</w:t>
            </w:r>
            <w:r w:rsidRPr="00663CAF">
              <w:rPr>
                <w:rFonts w:ascii="Arial" w:eastAsia="Times New Roman" w:hAnsi="Arial" w:cs="Arial"/>
                <w:b/>
                <w:bCs/>
                <w:color w:val="FFFFFF"/>
                <w:vertAlign w:val="subscript"/>
                <w:lang w:eastAsia="en-GB"/>
              </w:rPr>
              <w:t>2</w:t>
            </w:r>
            <w:r w:rsidRPr="00663CAF">
              <w:rPr>
                <w:rFonts w:ascii="Arial" w:eastAsia="Times New Roman" w:hAnsi="Arial" w:cs="Arial"/>
                <w:b/>
                <w:bCs/>
                <w:color w:val="FFFFFF"/>
                <w:lang w:eastAsia="en-GB"/>
              </w:rPr>
              <w:t xml:space="preserve"> emitted per Road Closure - Night </w:t>
            </w:r>
          </w:p>
        </w:tc>
      </w:tr>
      <w:tr w:rsidR="00663CAF" w:rsidRPr="00663CAF" w14:paraId="066583A7" w14:textId="77777777" w:rsidTr="00663CAF">
        <w:trPr>
          <w:trHeight w:val="315"/>
        </w:trPr>
        <w:tc>
          <w:tcPr>
            <w:tcW w:w="960" w:type="dxa"/>
            <w:tcBorders>
              <w:top w:val="nil"/>
              <w:left w:val="single" w:sz="8" w:space="0" w:color="auto"/>
              <w:bottom w:val="single" w:sz="8" w:space="0" w:color="auto"/>
              <w:right w:val="single" w:sz="8" w:space="0" w:color="auto"/>
            </w:tcBorders>
            <w:shd w:val="clear" w:color="000000" w:fill="99CCFF"/>
            <w:noWrap/>
            <w:vAlign w:val="center"/>
            <w:hideMark/>
          </w:tcPr>
          <w:p w14:paraId="115E45E1"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 </w:t>
            </w:r>
          </w:p>
        </w:tc>
        <w:tc>
          <w:tcPr>
            <w:tcW w:w="960" w:type="dxa"/>
            <w:tcBorders>
              <w:top w:val="nil"/>
              <w:left w:val="nil"/>
              <w:bottom w:val="single" w:sz="8" w:space="0" w:color="auto"/>
              <w:right w:val="single" w:sz="8" w:space="0" w:color="auto"/>
            </w:tcBorders>
            <w:shd w:val="clear" w:color="000000" w:fill="99CCFF"/>
            <w:noWrap/>
            <w:vAlign w:val="center"/>
            <w:hideMark/>
          </w:tcPr>
          <w:p w14:paraId="68AB81E8"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2015</w:t>
            </w:r>
          </w:p>
        </w:tc>
        <w:tc>
          <w:tcPr>
            <w:tcW w:w="960" w:type="dxa"/>
            <w:tcBorders>
              <w:top w:val="nil"/>
              <w:left w:val="nil"/>
              <w:bottom w:val="single" w:sz="8" w:space="0" w:color="auto"/>
              <w:right w:val="single" w:sz="8" w:space="0" w:color="auto"/>
            </w:tcBorders>
            <w:shd w:val="clear" w:color="000000" w:fill="99CCFF"/>
            <w:noWrap/>
            <w:vAlign w:val="center"/>
            <w:hideMark/>
          </w:tcPr>
          <w:p w14:paraId="16A391D4"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2020</w:t>
            </w:r>
          </w:p>
        </w:tc>
        <w:tc>
          <w:tcPr>
            <w:tcW w:w="960" w:type="dxa"/>
            <w:tcBorders>
              <w:top w:val="nil"/>
              <w:left w:val="nil"/>
              <w:bottom w:val="single" w:sz="8" w:space="0" w:color="auto"/>
              <w:right w:val="single" w:sz="8" w:space="0" w:color="auto"/>
            </w:tcBorders>
            <w:shd w:val="clear" w:color="000000" w:fill="99CCFF"/>
            <w:noWrap/>
            <w:vAlign w:val="center"/>
            <w:hideMark/>
          </w:tcPr>
          <w:p w14:paraId="1C1E1EC0"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2025</w:t>
            </w:r>
          </w:p>
        </w:tc>
        <w:tc>
          <w:tcPr>
            <w:tcW w:w="960" w:type="dxa"/>
            <w:tcBorders>
              <w:top w:val="nil"/>
              <w:left w:val="nil"/>
              <w:bottom w:val="single" w:sz="8" w:space="0" w:color="auto"/>
              <w:right w:val="single" w:sz="8" w:space="0" w:color="auto"/>
            </w:tcBorders>
            <w:shd w:val="clear" w:color="000000" w:fill="99CCFF"/>
            <w:noWrap/>
            <w:vAlign w:val="center"/>
            <w:hideMark/>
          </w:tcPr>
          <w:p w14:paraId="4A8E7016"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2030</w:t>
            </w:r>
          </w:p>
        </w:tc>
        <w:tc>
          <w:tcPr>
            <w:tcW w:w="960" w:type="dxa"/>
            <w:tcBorders>
              <w:top w:val="nil"/>
              <w:left w:val="nil"/>
              <w:bottom w:val="single" w:sz="8" w:space="0" w:color="auto"/>
              <w:right w:val="single" w:sz="8" w:space="0" w:color="auto"/>
            </w:tcBorders>
            <w:shd w:val="clear" w:color="000000" w:fill="99CCFF"/>
            <w:noWrap/>
            <w:vAlign w:val="center"/>
            <w:hideMark/>
          </w:tcPr>
          <w:p w14:paraId="556EC8A5"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2035</w:t>
            </w:r>
          </w:p>
        </w:tc>
        <w:tc>
          <w:tcPr>
            <w:tcW w:w="960" w:type="dxa"/>
            <w:tcBorders>
              <w:top w:val="nil"/>
              <w:left w:val="nil"/>
              <w:bottom w:val="single" w:sz="8" w:space="0" w:color="auto"/>
              <w:right w:val="single" w:sz="8" w:space="0" w:color="auto"/>
            </w:tcBorders>
            <w:shd w:val="clear" w:color="000000" w:fill="99CCFF"/>
            <w:noWrap/>
            <w:vAlign w:val="center"/>
            <w:hideMark/>
          </w:tcPr>
          <w:p w14:paraId="161434D1"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2040</w:t>
            </w:r>
          </w:p>
        </w:tc>
        <w:tc>
          <w:tcPr>
            <w:tcW w:w="960" w:type="dxa"/>
            <w:tcBorders>
              <w:top w:val="nil"/>
              <w:left w:val="nil"/>
              <w:bottom w:val="single" w:sz="8" w:space="0" w:color="auto"/>
              <w:right w:val="single" w:sz="8" w:space="0" w:color="auto"/>
            </w:tcBorders>
            <w:shd w:val="clear" w:color="000000" w:fill="99CCFF"/>
            <w:noWrap/>
            <w:vAlign w:val="center"/>
            <w:hideMark/>
          </w:tcPr>
          <w:p w14:paraId="203AE55C"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2045</w:t>
            </w:r>
          </w:p>
        </w:tc>
        <w:tc>
          <w:tcPr>
            <w:tcW w:w="960" w:type="dxa"/>
            <w:tcBorders>
              <w:top w:val="nil"/>
              <w:left w:val="nil"/>
              <w:bottom w:val="single" w:sz="8" w:space="0" w:color="auto"/>
              <w:right w:val="single" w:sz="8" w:space="0" w:color="auto"/>
            </w:tcBorders>
            <w:shd w:val="clear" w:color="000000" w:fill="99CCFF"/>
            <w:noWrap/>
            <w:vAlign w:val="center"/>
            <w:hideMark/>
          </w:tcPr>
          <w:p w14:paraId="0E7DAD14"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2050</w:t>
            </w:r>
          </w:p>
        </w:tc>
      </w:tr>
      <w:tr w:rsidR="00663CAF" w:rsidRPr="00663CAF" w14:paraId="72BDB66E"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7857A9"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Car</w:t>
            </w:r>
          </w:p>
        </w:tc>
        <w:tc>
          <w:tcPr>
            <w:tcW w:w="960" w:type="dxa"/>
            <w:tcBorders>
              <w:top w:val="nil"/>
              <w:left w:val="nil"/>
              <w:bottom w:val="single" w:sz="8" w:space="0" w:color="auto"/>
              <w:right w:val="single" w:sz="8" w:space="0" w:color="auto"/>
            </w:tcBorders>
            <w:shd w:val="clear" w:color="auto" w:fill="auto"/>
            <w:noWrap/>
            <w:vAlign w:val="center"/>
            <w:hideMark/>
          </w:tcPr>
          <w:p w14:paraId="46C7DED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2.42</w:t>
            </w:r>
          </w:p>
        </w:tc>
        <w:tc>
          <w:tcPr>
            <w:tcW w:w="960" w:type="dxa"/>
            <w:tcBorders>
              <w:top w:val="nil"/>
              <w:left w:val="nil"/>
              <w:bottom w:val="single" w:sz="8" w:space="0" w:color="auto"/>
              <w:right w:val="single" w:sz="8" w:space="0" w:color="auto"/>
            </w:tcBorders>
            <w:shd w:val="clear" w:color="auto" w:fill="auto"/>
            <w:noWrap/>
            <w:vAlign w:val="center"/>
            <w:hideMark/>
          </w:tcPr>
          <w:p w14:paraId="7CBD907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2.33</w:t>
            </w:r>
          </w:p>
        </w:tc>
        <w:tc>
          <w:tcPr>
            <w:tcW w:w="960" w:type="dxa"/>
            <w:tcBorders>
              <w:top w:val="nil"/>
              <w:left w:val="nil"/>
              <w:bottom w:val="single" w:sz="8" w:space="0" w:color="auto"/>
              <w:right w:val="single" w:sz="8" w:space="0" w:color="auto"/>
            </w:tcBorders>
            <w:shd w:val="clear" w:color="auto" w:fill="auto"/>
            <w:noWrap/>
            <w:vAlign w:val="center"/>
            <w:hideMark/>
          </w:tcPr>
          <w:p w14:paraId="0F5CDAD6"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2.14</w:t>
            </w:r>
          </w:p>
        </w:tc>
        <w:tc>
          <w:tcPr>
            <w:tcW w:w="960" w:type="dxa"/>
            <w:tcBorders>
              <w:top w:val="nil"/>
              <w:left w:val="nil"/>
              <w:bottom w:val="single" w:sz="8" w:space="0" w:color="auto"/>
              <w:right w:val="single" w:sz="8" w:space="0" w:color="auto"/>
            </w:tcBorders>
            <w:shd w:val="clear" w:color="auto" w:fill="auto"/>
            <w:noWrap/>
            <w:vAlign w:val="center"/>
            <w:hideMark/>
          </w:tcPr>
          <w:p w14:paraId="78440BE5"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1.78</w:t>
            </w:r>
          </w:p>
        </w:tc>
        <w:tc>
          <w:tcPr>
            <w:tcW w:w="960" w:type="dxa"/>
            <w:tcBorders>
              <w:top w:val="nil"/>
              <w:left w:val="nil"/>
              <w:bottom w:val="single" w:sz="8" w:space="0" w:color="auto"/>
              <w:right w:val="single" w:sz="8" w:space="0" w:color="auto"/>
            </w:tcBorders>
            <w:shd w:val="clear" w:color="auto" w:fill="auto"/>
            <w:noWrap/>
            <w:vAlign w:val="center"/>
            <w:hideMark/>
          </w:tcPr>
          <w:p w14:paraId="65894D52"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1.19</w:t>
            </w:r>
          </w:p>
        </w:tc>
        <w:tc>
          <w:tcPr>
            <w:tcW w:w="960" w:type="dxa"/>
            <w:tcBorders>
              <w:top w:val="nil"/>
              <w:left w:val="nil"/>
              <w:bottom w:val="single" w:sz="8" w:space="0" w:color="auto"/>
              <w:right w:val="single" w:sz="8" w:space="0" w:color="auto"/>
            </w:tcBorders>
            <w:shd w:val="clear" w:color="auto" w:fill="auto"/>
            <w:noWrap/>
            <w:vAlign w:val="center"/>
            <w:hideMark/>
          </w:tcPr>
          <w:p w14:paraId="5F6829D0"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0.60</w:t>
            </w:r>
          </w:p>
        </w:tc>
        <w:tc>
          <w:tcPr>
            <w:tcW w:w="960" w:type="dxa"/>
            <w:tcBorders>
              <w:top w:val="nil"/>
              <w:left w:val="nil"/>
              <w:bottom w:val="single" w:sz="8" w:space="0" w:color="auto"/>
              <w:right w:val="single" w:sz="8" w:space="0" w:color="auto"/>
            </w:tcBorders>
            <w:shd w:val="clear" w:color="auto" w:fill="auto"/>
            <w:noWrap/>
            <w:vAlign w:val="center"/>
            <w:hideMark/>
          </w:tcPr>
          <w:p w14:paraId="3A190766"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0.23</w:t>
            </w:r>
          </w:p>
        </w:tc>
        <w:tc>
          <w:tcPr>
            <w:tcW w:w="960" w:type="dxa"/>
            <w:tcBorders>
              <w:top w:val="nil"/>
              <w:left w:val="nil"/>
              <w:bottom w:val="single" w:sz="8" w:space="0" w:color="auto"/>
              <w:right w:val="single" w:sz="8" w:space="0" w:color="auto"/>
            </w:tcBorders>
            <w:shd w:val="clear" w:color="auto" w:fill="auto"/>
            <w:noWrap/>
            <w:vAlign w:val="center"/>
            <w:hideMark/>
          </w:tcPr>
          <w:p w14:paraId="6D3DB10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0.11</w:t>
            </w:r>
          </w:p>
        </w:tc>
      </w:tr>
      <w:tr w:rsidR="00663CAF" w:rsidRPr="00663CAF" w14:paraId="535C3611"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0C8614"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LGV</w:t>
            </w:r>
          </w:p>
        </w:tc>
        <w:tc>
          <w:tcPr>
            <w:tcW w:w="960" w:type="dxa"/>
            <w:tcBorders>
              <w:top w:val="nil"/>
              <w:left w:val="nil"/>
              <w:bottom w:val="single" w:sz="8" w:space="0" w:color="auto"/>
              <w:right w:val="single" w:sz="8" w:space="0" w:color="auto"/>
            </w:tcBorders>
            <w:shd w:val="clear" w:color="auto" w:fill="auto"/>
            <w:noWrap/>
            <w:vAlign w:val="center"/>
            <w:hideMark/>
          </w:tcPr>
          <w:p w14:paraId="4280B1A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0.35</w:t>
            </w:r>
          </w:p>
        </w:tc>
        <w:tc>
          <w:tcPr>
            <w:tcW w:w="960" w:type="dxa"/>
            <w:tcBorders>
              <w:top w:val="nil"/>
              <w:left w:val="nil"/>
              <w:bottom w:val="single" w:sz="8" w:space="0" w:color="auto"/>
              <w:right w:val="single" w:sz="8" w:space="0" w:color="auto"/>
            </w:tcBorders>
            <w:shd w:val="clear" w:color="auto" w:fill="auto"/>
            <w:noWrap/>
            <w:vAlign w:val="center"/>
            <w:hideMark/>
          </w:tcPr>
          <w:p w14:paraId="5E2C9F1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0.38</w:t>
            </w:r>
          </w:p>
        </w:tc>
        <w:tc>
          <w:tcPr>
            <w:tcW w:w="960" w:type="dxa"/>
            <w:tcBorders>
              <w:top w:val="nil"/>
              <w:left w:val="nil"/>
              <w:bottom w:val="single" w:sz="8" w:space="0" w:color="auto"/>
              <w:right w:val="single" w:sz="8" w:space="0" w:color="auto"/>
            </w:tcBorders>
            <w:shd w:val="clear" w:color="auto" w:fill="auto"/>
            <w:noWrap/>
            <w:vAlign w:val="center"/>
            <w:hideMark/>
          </w:tcPr>
          <w:p w14:paraId="70E061D6"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0.36</w:t>
            </w:r>
          </w:p>
        </w:tc>
        <w:tc>
          <w:tcPr>
            <w:tcW w:w="960" w:type="dxa"/>
            <w:tcBorders>
              <w:top w:val="nil"/>
              <w:left w:val="nil"/>
              <w:bottom w:val="single" w:sz="8" w:space="0" w:color="auto"/>
              <w:right w:val="single" w:sz="8" w:space="0" w:color="auto"/>
            </w:tcBorders>
            <w:shd w:val="clear" w:color="auto" w:fill="auto"/>
            <w:noWrap/>
            <w:vAlign w:val="center"/>
            <w:hideMark/>
          </w:tcPr>
          <w:p w14:paraId="6B165430"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0.32</w:t>
            </w:r>
          </w:p>
        </w:tc>
        <w:tc>
          <w:tcPr>
            <w:tcW w:w="960" w:type="dxa"/>
            <w:tcBorders>
              <w:top w:val="nil"/>
              <w:left w:val="nil"/>
              <w:bottom w:val="single" w:sz="8" w:space="0" w:color="auto"/>
              <w:right w:val="single" w:sz="8" w:space="0" w:color="auto"/>
            </w:tcBorders>
            <w:shd w:val="clear" w:color="auto" w:fill="auto"/>
            <w:noWrap/>
            <w:vAlign w:val="center"/>
            <w:hideMark/>
          </w:tcPr>
          <w:p w14:paraId="52A8A29B"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0.25</w:t>
            </w:r>
          </w:p>
        </w:tc>
        <w:tc>
          <w:tcPr>
            <w:tcW w:w="960" w:type="dxa"/>
            <w:tcBorders>
              <w:top w:val="nil"/>
              <w:left w:val="nil"/>
              <w:bottom w:val="single" w:sz="8" w:space="0" w:color="auto"/>
              <w:right w:val="single" w:sz="8" w:space="0" w:color="auto"/>
            </w:tcBorders>
            <w:shd w:val="clear" w:color="auto" w:fill="auto"/>
            <w:noWrap/>
            <w:vAlign w:val="center"/>
            <w:hideMark/>
          </w:tcPr>
          <w:p w14:paraId="2A73072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0.15</w:t>
            </w:r>
          </w:p>
        </w:tc>
        <w:tc>
          <w:tcPr>
            <w:tcW w:w="960" w:type="dxa"/>
            <w:tcBorders>
              <w:top w:val="nil"/>
              <w:left w:val="nil"/>
              <w:bottom w:val="single" w:sz="8" w:space="0" w:color="auto"/>
              <w:right w:val="single" w:sz="8" w:space="0" w:color="auto"/>
            </w:tcBorders>
            <w:shd w:val="clear" w:color="auto" w:fill="auto"/>
            <w:noWrap/>
            <w:vAlign w:val="center"/>
            <w:hideMark/>
          </w:tcPr>
          <w:p w14:paraId="19E70E4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0.07</w:t>
            </w:r>
          </w:p>
        </w:tc>
        <w:tc>
          <w:tcPr>
            <w:tcW w:w="960" w:type="dxa"/>
            <w:tcBorders>
              <w:top w:val="nil"/>
              <w:left w:val="nil"/>
              <w:bottom w:val="single" w:sz="8" w:space="0" w:color="auto"/>
              <w:right w:val="single" w:sz="8" w:space="0" w:color="auto"/>
            </w:tcBorders>
            <w:shd w:val="clear" w:color="auto" w:fill="auto"/>
            <w:noWrap/>
            <w:vAlign w:val="center"/>
            <w:hideMark/>
          </w:tcPr>
          <w:p w14:paraId="501BBE31"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0.04</w:t>
            </w:r>
          </w:p>
        </w:tc>
      </w:tr>
      <w:tr w:rsidR="00663CAF" w:rsidRPr="00663CAF" w14:paraId="24707BFA"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9302F8"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HGV</w:t>
            </w:r>
          </w:p>
        </w:tc>
        <w:tc>
          <w:tcPr>
            <w:tcW w:w="960" w:type="dxa"/>
            <w:tcBorders>
              <w:top w:val="nil"/>
              <w:left w:val="nil"/>
              <w:bottom w:val="single" w:sz="8" w:space="0" w:color="auto"/>
              <w:right w:val="single" w:sz="8" w:space="0" w:color="auto"/>
            </w:tcBorders>
            <w:shd w:val="clear" w:color="auto" w:fill="auto"/>
            <w:noWrap/>
            <w:vAlign w:val="center"/>
            <w:hideMark/>
          </w:tcPr>
          <w:p w14:paraId="09E5A0F0"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0.35</w:t>
            </w:r>
          </w:p>
        </w:tc>
        <w:tc>
          <w:tcPr>
            <w:tcW w:w="960" w:type="dxa"/>
            <w:tcBorders>
              <w:top w:val="nil"/>
              <w:left w:val="nil"/>
              <w:bottom w:val="single" w:sz="8" w:space="0" w:color="auto"/>
              <w:right w:val="single" w:sz="8" w:space="0" w:color="auto"/>
            </w:tcBorders>
            <w:shd w:val="clear" w:color="auto" w:fill="auto"/>
            <w:noWrap/>
            <w:vAlign w:val="center"/>
            <w:hideMark/>
          </w:tcPr>
          <w:p w14:paraId="495BDD8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0.30</w:t>
            </w:r>
          </w:p>
        </w:tc>
        <w:tc>
          <w:tcPr>
            <w:tcW w:w="960" w:type="dxa"/>
            <w:tcBorders>
              <w:top w:val="nil"/>
              <w:left w:val="nil"/>
              <w:bottom w:val="single" w:sz="8" w:space="0" w:color="auto"/>
              <w:right w:val="single" w:sz="8" w:space="0" w:color="auto"/>
            </w:tcBorders>
            <w:shd w:val="clear" w:color="auto" w:fill="auto"/>
            <w:noWrap/>
            <w:vAlign w:val="center"/>
            <w:hideMark/>
          </w:tcPr>
          <w:p w14:paraId="644F0CD6"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0.30</w:t>
            </w:r>
          </w:p>
        </w:tc>
        <w:tc>
          <w:tcPr>
            <w:tcW w:w="960" w:type="dxa"/>
            <w:tcBorders>
              <w:top w:val="nil"/>
              <w:left w:val="nil"/>
              <w:bottom w:val="single" w:sz="8" w:space="0" w:color="auto"/>
              <w:right w:val="single" w:sz="8" w:space="0" w:color="auto"/>
            </w:tcBorders>
            <w:shd w:val="clear" w:color="auto" w:fill="auto"/>
            <w:noWrap/>
            <w:vAlign w:val="center"/>
            <w:hideMark/>
          </w:tcPr>
          <w:p w14:paraId="47AC6AC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0.31</w:t>
            </w:r>
          </w:p>
        </w:tc>
        <w:tc>
          <w:tcPr>
            <w:tcW w:w="960" w:type="dxa"/>
            <w:tcBorders>
              <w:top w:val="nil"/>
              <w:left w:val="nil"/>
              <w:bottom w:val="single" w:sz="8" w:space="0" w:color="auto"/>
              <w:right w:val="single" w:sz="8" w:space="0" w:color="auto"/>
            </w:tcBorders>
            <w:shd w:val="clear" w:color="auto" w:fill="auto"/>
            <w:noWrap/>
            <w:vAlign w:val="center"/>
            <w:hideMark/>
          </w:tcPr>
          <w:p w14:paraId="3C89F405"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0.31</w:t>
            </w:r>
          </w:p>
        </w:tc>
        <w:tc>
          <w:tcPr>
            <w:tcW w:w="960" w:type="dxa"/>
            <w:tcBorders>
              <w:top w:val="nil"/>
              <w:left w:val="nil"/>
              <w:bottom w:val="single" w:sz="8" w:space="0" w:color="auto"/>
              <w:right w:val="single" w:sz="8" w:space="0" w:color="auto"/>
            </w:tcBorders>
            <w:shd w:val="clear" w:color="auto" w:fill="auto"/>
            <w:noWrap/>
            <w:vAlign w:val="center"/>
            <w:hideMark/>
          </w:tcPr>
          <w:p w14:paraId="13632A7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0.32</w:t>
            </w:r>
          </w:p>
        </w:tc>
        <w:tc>
          <w:tcPr>
            <w:tcW w:w="960" w:type="dxa"/>
            <w:tcBorders>
              <w:top w:val="nil"/>
              <w:left w:val="nil"/>
              <w:bottom w:val="single" w:sz="8" w:space="0" w:color="auto"/>
              <w:right w:val="single" w:sz="8" w:space="0" w:color="auto"/>
            </w:tcBorders>
            <w:shd w:val="clear" w:color="auto" w:fill="auto"/>
            <w:noWrap/>
            <w:vAlign w:val="center"/>
            <w:hideMark/>
          </w:tcPr>
          <w:p w14:paraId="5E6148CF"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0.32</w:t>
            </w:r>
          </w:p>
        </w:tc>
        <w:tc>
          <w:tcPr>
            <w:tcW w:w="960" w:type="dxa"/>
            <w:tcBorders>
              <w:top w:val="nil"/>
              <w:left w:val="nil"/>
              <w:bottom w:val="single" w:sz="8" w:space="0" w:color="auto"/>
              <w:right w:val="single" w:sz="8" w:space="0" w:color="auto"/>
            </w:tcBorders>
            <w:shd w:val="clear" w:color="auto" w:fill="auto"/>
            <w:noWrap/>
            <w:vAlign w:val="center"/>
            <w:hideMark/>
          </w:tcPr>
          <w:p w14:paraId="553319C5"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0.34</w:t>
            </w:r>
          </w:p>
        </w:tc>
      </w:tr>
      <w:tr w:rsidR="00663CAF" w:rsidRPr="00663CAF" w14:paraId="7DB5FB65"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50DE65"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PSV</w:t>
            </w:r>
          </w:p>
        </w:tc>
        <w:tc>
          <w:tcPr>
            <w:tcW w:w="960" w:type="dxa"/>
            <w:tcBorders>
              <w:top w:val="nil"/>
              <w:left w:val="nil"/>
              <w:bottom w:val="single" w:sz="8" w:space="0" w:color="auto"/>
              <w:right w:val="single" w:sz="8" w:space="0" w:color="auto"/>
            </w:tcBorders>
            <w:shd w:val="clear" w:color="auto" w:fill="auto"/>
            <w:noWrap/>
            <w:vAlign w:val="center"/>
            <w:hideMark/>
          </w:tcPr>
          <w:p w14:paraId="5B70817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0.14</w:t>
            </w:r>
          </w:p>
        </w:tc>
        <w:tc>
          <w:tcPr>
            <w:tcW w:w="960" w:type="dxa"/>
            <w:tcBorders>
              <w:top w:val="nil"/>
              <w:left w:val="nil"/>
              <w:bottom w:val="single" w:sz="8" w:space="0" w:color="auto"/>
              <w:right w:val="single" w:sz="8" w:space="0" w:color="auto"/>
            </w:tcBorders>
            <w:shd w:val="clear" w:color="auto" w:fill="auto"/>
            <w:noWrap/>
            <w:vAlign w:val="center"/>
            <w:hideMark/>
          </w:tcPr>
          <w:p w14:paraId="0624661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0.10</w:t>
            </w:r>
          </w:p>
        </w:tc>
        <w:tc>
          <w:tcPr>
            <w:tcW w:w="960" w:type="dxa"/>
            <w:tcBorders>
              <w:top w:val="nil"/>
              <w:left w:val="nil"/>
              <w:bottom w:val="single" w:sz="8" w:space="0" w:color="auto"/>
              <w:right w:val="single" w:sz="8" w:space="0" w:color="auto"/>
            </w:tcBorders>
            <w:shd w:val="clear" w:color="auto" w:fill="auto"/>
            <w:noWrap/>
            <w:vAlign w:val="center"/>
            <w:hideMark/>
          </w:tcPr>
          <w:p w14:paraId="3D6E27E0"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0.09</w:t>
            </w:r>
          </w:p>
        </w:tc>
        <w:tc>
          <w:tcPr>
            <w:tcW w:w="960" w:type="dxa"/>
            <w:tcBorders>
              <w:top w:val="nil"/>
              <w:left w:val="nil"/>
              <w:bottom w:val="single" w:sz="8" w:space="0" w:color="auto"/>
              <w:right w:val="single" w:sz="8" w:space="0" w:color="auto"/>
            </w:tcBorders>
            <w:shd w:val="clear" w:color="auto" w:fill="auto"/>
            <w:noWrap/>
            <w:vAlign w:val="center"/>
            <w:hideMark/>
          </w:tcPr>
          <w:p w14:paraId="45FC7ED6"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0.07</w:t>
            </w:r>
          </w:p>
        </w:tc>
        <w:tc>
          <w:tcPr>
            <w:tcW w:w="960" w:type="dxa"/>
            <w:tcBorders>
              <w:top w:val="nil"/>
              <w:left w:val="nil"/>
              <w:bottom w:val="single" w:sz="8" w:space="0" w:color="auto"/>
              <w:right w:val="single" w:sz="8" w:space="0" w:color="auto"/>
            </w:tcBorders>
            <w:shd w:val="clear" w:color="auto" w:fill="auto"/>
            <w:noWrap/>
            <w:vAlign w:val="center"/>
            <w:hideMark/>
          </w:tcPr>
          <w:p w14:paraId="029AB602"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0.06</w:t>
            </w:r>
          </w:p>
        </w:tc>
        <w:tc>
          <w:tcPr>
            <w:tcW w:w="960" w:type="dxa"/>
            <w:tcBorders>
              <w:top w:val="nil"/>
              <w:left w:val="nil"/>
              <w:bottom w:val="single" w:sz="8" w:space="0" w:color="auto"/>
              <w:right w:val="single" w:sz="8" w:space="0" w:color="auto"/>
            </w:tcBorders>
            <w:shd w:val="clear" w:color="auto" w:fill="auto"/>
            <w:noWrap/>
            <w:vAlign w:val="center"/>
            <w:hideMark/>
          </w:tcPr>
          <w:p w14:paraId="04450B2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0.06</w:t>
            </w:r>
          </w:p>
        </w:tc>
        <w:tc>
          <w:tcPr>
            <w:tcW w:w="960" w:type="dxa"/>
            <w:tcBorders>
              <w:top w:val="nil"/>
              <w:left w:val="nil"/>
              <w:bottom w:val="single" w:sz="8" w:space="0" w:color="auto"/>
              <w:right w:val="single" w:sz="8" w:space="0" w:color="auto"/>
            </w:tcBorders>
            <w:shd w:val="clear" w:color="auto" w:fill="auto"/>
            <w:noWrap/>
            <w:vAlign w:val="center"/>
            <w:hideMark/>
          </w:tcPr>
          <w:p w14:paraId="67CA636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0.06</w:t>
            </w:r>
          </w:p>
        </w:tc>
        <w:tc>
          <w:tcPr>
            <w:tcW w:w="960" w:type="dxa"/>
            <w:tcBorders>
              <w:top w:val="nil"/>
              <w:left w:val="nil"/>
              <w:bottom w:val="single" w:sz="8" w:space="0" w:color="auto"/>
              <w:right w:val="single" w:sz="8" w:space="0" w:color="auto"/>
            </w:tcBorders>
            <w:shd w:val="clear" w:color="auto" w:fill="auto"/>
            <w:noWrap/>
            <w:vAlign w:val="center"/>
            <w:hideMark/>
          </w:tcPr>
          <w:p w14:paraId="5A54AE77"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0.06</w:t>
            </w:r>
          </w:p>
        </w:tc>
      </w:tr>
      <w:tr w:rsidR="00663CAF" w:rsidRPr="00663CAF" w14:paraId="0D4D715D"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7A4EAC"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Total</w:t>
            </w:r>
          </w:p>
        </w:tc>
        <w:tc>
          <w:tcPr>
            <w:tcW w:w="960" w:type="dxa"/>
            <w:tcBorders>
              <w:top w:val="nil"/>
              <w:left w:val="nil"/>
              <w:bottom w:val="single" w:sz="8" w:space="0" w:color="auto"/>
              <w:right w:val="single" w:sz="8" w:space="0" w:color="auto"/>
            </w:tcBorders>
            <w:shd w:val="clear" w:color="auto" w:fill="auto"/>
            <w:noWrap/>
            <w:vAlign w:val="center"/>
            <w:hideMark/>
          </w:tcPr>
          <w:p w14:paraId="7428F56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3.26</w:t>
            </w:r>
          </w:p>
        </w:tc>
        <w:tc>
          <w:tcPr>
            <w:tcW w:w="960" w:type="dxa"/>
            <w:tcBorders>
              <w:top w:val="nil"/>
              <w:left w:val="nil"/>
              <w:bottom w:val="single" w:sz="8" w:space="0" w:color="auto"/>
              <w:right w:val="single" w:sz="8" w:space="0" w:color="auto"/>
            </w:tcBorders>
            <w:shd w:val="clear" w:color="auto" w:fill="auto"/>
            <w:noWrap/>
            <w:vAlign w:val="center"/>
            <w:hideMark/>
          </w:tcPr>
          <w:p w14:paraId="625C2160"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3.17</w:t>
            </w:r>
          </w:p>
        </w:tc>
        <w:tc>
          <w:tcPr>
            <w:tcW w:w="960" w:type="dxa"/>
            <w:tcBorders>
              <w:top w:val="nil"/>
              <w:left w:val="nil"/>
              <w:bottom w:val="single" w:sz="8" w:space="0" w:color="auto"/>
              <w:right w:val="single" w:sz="8" w:space="0" w:color="auto"/>
            </w:tcBorders>
            <w:shd w:val="clear" w:color="auto" w:fill="auto"/>
            <w:noWrap/>
            <w:vAlign w:val="center"/>
            <w:hideMark/>
          </w:tcPr>
          <w:p w14:paraId="03794482"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2.96</w:t>
            </w:r>
          </w:p>
        </w:tc>
        <w:tc>
          <w:tcPr>
            <w:tcW w:w="960" w:type="dxa"/>
            <w:tcBorders>
              <w:top w:val="nil"/>
              <w:left w:val="nil"/>
              <w:bottom w:val="single" w:sz="8" w:space="0" w:color="auto"/>
              <w:right w:val="single" w:sz="8" w:space="0" w:color="auto"/>
            </w:tcBorders>
            <w:shd w:val="clear" w:color="auto" w:fill="auto"/>
            <w:noWrap/>
            <w:vAlign w:val="center"/>
            <w:hideMark/>
          </w:tcPr>
          <w:p w14:paraId="5E45E087"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2.61</w:t>
            </w:r>
          </w:p>
        </w:tc>
        <w:tc>
          <w:tcPr>
            <w:tcW w:w="960" w:type="dxa"/>
            <w:tcBorders>
              <w:top w:val="nil"/>
              <w:left w:val="nil"/>
              <w:bottom w:val="single" w:sz="8" w:space="0" w:color="auto"/>
              <w:right w:val="single" w:sz="8" w:space="0" w:color="auto"/>
            </w:tcBorders>
            <w:shd w:val="clear" w:color="auto" w:fill="auto"/>
            <w:noWrap/>
            <w:vAlign w:val="center"/>
            <w:hideMark/>
          </w:tcPr>
          <w:p w14:paraId="39C388D0"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2.00</w:t>
            </w:r>
          </w:p>
        </w:tc>
        <w:tc>
          <w:tcPr>
            <w:tcW w:w="960" w:type="dxa"/>
            <w:tcBorders>
              <w:top w:val="nil"/>
              <w:left w:val="nil"/>
              <w:bottom w:val="single" w:sz="8" w:space="0" w:color="auto"/>
              <w:right w:val="single" w:sz="8" w:space="0" w:color="auto"/>
            </w:tcBorders>
            <w:shd w:val="clear" w:color="auto" w:fill="auto"/>
            <w:noWrap/>
            <w:vAlign w:val="center"/>
            <w:hideMark/>
          </w:tcPr>
          <w:p w14:paraId="1D647160"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1.37</w:t>
            </w:r>
          </w:p>
        </w:tc>
        <w:tc>
          <w:tcPr>
            <w:tcW w:w="960" w:type="dxa"/>
            <w:tcBorders>
              <w:top w:val="nil"/>
              <w:left w:val="nil"/>
              <w:bottom w:val="single" w:sz="8" w:space="0" w:color="auto"/>
              <w:right w:val="single" w:sz="8" w:space="0" w:color="auto"/>
            </w:tcBorders>
            <w:shd w:val="clear" w:color="auto" w:fill="auto"/>
            <w:noWrap/>
            <w:vAlign w:val="center"/>
            <w:hideMark/>
          </w:tcPr>
          <w:p w14:paraId="315E333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0.97</w:t>
            </w:r>
          </w:p>
        </w:tc>
        <w:tc>
          <w:tcPr>
            <w:tcW w:w="960" w:type="dxa"/>
            <w:tcBorders>
              <w:top w:val="nil"/>
              <w:left w:val="nil"/>
              <w:bottom w:val="single" w:sz="8" w:space="0" w:color="auto"/>
              <w:right w:val="single" w:sz="8" w:space="0" w:color="auto"/>
            </w:tcBorders>
            <w:shd w:val="clear" w:color="auto" w:fill="auto"/>
            <w:noWrap/>
            <w:vAlign w:val="center"/>
            <w:hideMark/>
          </w:tcPr>
          <w:p w14:paraId="05E069F4"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0.85</w:t>
            </w:r>
          </w:p>
        </w:tc>
      </w:tr>
      <w:tr w:rsidR="00663CAF" w:rsidRPr="00663CAF" w14:paraId="51BE850E" w14:textId="77777777" w:rsidTr="00761781">
        <w:trPr>
          <w:trHeight w:val="315"/>
        </w:trPr>
        <w:tc>
          <w:tcPr>
            <w:tcW w:w="960" w:type="dxa"/>
            <w:tcBorders>
              <w:top w:val="nil"/>
              <w:left w:val="nil"/>
              <w:bottom w:val="nil"/>
              <w:right w:val="nil"/>
            </w:tcBorders>
            <w:shd w:val="clear" w:color="auto" w:fill="auto"/>
            <w:noWrap/>
            <w:vAlign w:val="center"/>
          </w:tcPr>
          <w:p w14:paraId="6F02A758" w14:textId="77777777" w:rsidR="00663CAF" w:rsidRPr="00663CAF" w:rsidRDefault="00663CAF" w:rsidP="00761781">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tcPr>
          <w:p w14:paraId="53DABB67"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tcPr>
          <w:p w14:paraId="09542F92" w14:textId="6BB84748" w:rsidR="00EC5191" w:rsidRPr="00663CAF" w:rsidRDefault="00EC5191"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tcPr>
          <w:p w14:paraId="7DB19CA6"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tcPr>
          <w:p w14:paraId="21D37761"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tcPr>
          <w:p w14:paraId="48978D71"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91A13A5"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8709AD9"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2F1650E"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r>
      <w:tr w:rsidR="00663CAF" w:rsidRPr="00663CAF" w14:paraId="487D83B0" w14:textId="77777777" w:rsidTr="00663CAF">
        <w:trPr>
          <w:trHeight w:val="345"/>
        </w:trPr>
        <w:tc>
          <w:tcPr>
            <w:tcW w:w="960" w:type="dxa"/>
            <w:tcBorders>
              <w:top w:val="single" w:sz="8" w:space="0" w:color="auto"/>
              <w:left w:val="single" w:sz="8" w:space="0" w:color="auto"/>
              <w:bottom w:val="single" w:sz="8" w:space="0" w:color="auto"/>
              <w:right w:val="single" w:sz="8" w:space="0" w:color="auto"/>
            </w:tcBorders>
            <w:shd w:val="clear" w:color="000000" w:fill="000099"/>
            <w:noWrap/>
            <w:vAlign w:val="center"/>
            <w:hideMark/>
          </w:tcPr>
          <w:p w14:paraId="1503420E" w14:textId="77777777" w:rsidR="00663CAF" w:rsidRPr="00663CAF" w:rsidRDefault="00663CAF" w:rsidP="00663CAF">
            <w:pPr>
              <w:spacing w:after="0" w:line="240" w:lineRule="auto"/>
              <w:rPr>
                <w:rFonts w:ascii="Arial" w:eastAsia="Times New Roman" w:hAnsi="Arial" w:cs="Arial"/>
                <w:color w:val="000000"/>
                <w:lang w:eastAsia="en-GB"/>
              </w:rPr>
            </w:pPr>
            <w:r w:rsidRPr="00663CAF">
              <w:rPr>
                <w:rFonts w:ascii="Arial" w:eastAsia="Times New Roman" w:hAnsi="Arial" w:cs="Arial"/>
                <w:color w:val="000000"/>
                <w:lang w:eastAsia="en-GB"/>
              </w:rPr>
              <w:t> </w:t>
            </w:r>
          </w:p>
        </w:tc>
        <w:tc>
          <w:tcPr>
            <w:tcW w:w="7680" w:type="dxa"/>
            <w:gridSpan w:val="8"/>
            <w:tcBorders>
              <w:top w:val="single" w:sz="8" w:space="0" w:color="auto"/>
              <w:left w:val="nil"/>
              <w:bottom w:val="single" w:sz="8" w:space="0" w:color="auto"/>
              <w:right w:val="single" w:sz="8" w:space="0" w:color="000000"/>
            </w:tcBorders>
            <w:shd w:val="clear" w:color="000000" w:fill="000099"/>
            <w:noWrap/>
            <w:vAlign w:val="center"/>
            <w:hideMark/>
          </w:tcPr>
          <w:p w14:paraId="3909D001" w14:textId="77777777" w:rsidR="00663CAF" w:rsidRPr="00663CAF" w:rsidRDefault="00663CAF" w:rsidP="00663CAF">
            <w:pPr>
              <w:spacing w:after="0" w:line="240" w:lineRule="auto"/>
              <w:jc w:val="center"/>
              <w:rPr>
                <w:rFonts w:ascii="Arial" w:eastAsia="Times New Roman" w:hAnsi="Arial" w:cs="Arial"/>
                <w:b/>
                <w:bCs/>
                <w:color w:val="FFFFFF"/>
                <w:lang w:eastAsia="en-GB"/>
              </w:rPr>
            </w:pPr>
            <w:r w:rsidRPr="00663CAF">
              <w:rPr>
                <w:rFonts w:ascii="Arial" w:eastAsia="Times New Roman" w:hAnsi="Arial" w:cs="Arial"/>
                <w:b/>
                <w:bCs/>
                <w:color w:val="FFFFFF"/>
                <w:lang w:eastAsia="en-GB"/>
              </w:rPr>
              <w:t>tCO</w:t>
            </w:r>
            <w:r w:rsidRPr="00663CAF">
              <w:rPr>
                <w:rFonts w:ascii="Arial" w:eastAsia="Times New Roman" w:hAnsi="Arial" w:cs="Arial"/>
                <w:b/>
                <w:bCs/>
                <w:color w:val="FFFFFF"/>
                <w:vertAlign w:val="subscript"/>
                <w:lang w:eastAsia="en-GB"/>
              </w:rPr>
              <w:t>2</w:t>
            </w:r>
            <w:r w:rsidRPr="00663CAF">
              <w:rPr>
                <w:rFonts w:ascii="Arial" w:eastAsia="Times New Roman" w:hAnsi="Arial" w:cs="Arial"/>
                <w:b/>
                <w:bCs/>
                <w:color w:val="FFFFFF"/>
                <w:lang w:eastAsia="en-GB"/>
              </w:rPr>
              <w:t xml:space="preserve"> emitted per Road Closure - Weekend</w:t>
            </w:r>
          </w:p>
        </w:tc>
      </w:tr>
      <w:tr w:rsidR="00663CAF" w:rsidRPr="00663CAF" w14:paraId="71CB1F34" w14:textId="77777777" w:rsidTr="00663CAF">
        <w:trPr>
          <w:trHeight w:val="315"/>
        </w:trPr>
        <w:tc>
          <w:tcPr>
            <w:tcW w:w="960" w:type="dxa"/>
            <w:tcBorders>
              <w:top w:val="nil"/>
              <w:left w:val="single" w:sz="8" w:space="0" w:color="auto"/>
              <w:bottom w:val="single" w:sz="8" w:space="0" w:color="auto"/>
              <w:right w:val="single" w:sz="8" w:space="0" w:color="auto"/>
            </w:tcBorders>
            <w:shd w:val="clear" w:color="000000" w:fill="99CCFF"/>
            <w:noWrap/>
            <w:vAlign w:val="center"/>
            <w:hideMark/>
          </w:tcPr>
          <w:p w14:paraId="1231E22A" w14:textId="77777777" w:rsidR="00663CAF" w:rsidRPr="00663CAF" w:rsidRDefault="00663CAF" w:rsidP="00663CAF">
            <w:pPr>
              <w:spacing w:after="0" w:line="240" w:lineRule="auto"/>
              <w:rPr>
                <w:rFonts w:ascii="Arial" w:eastAsia="Times New Roman" w:hAnsi="Arial" w:cs="Arial"/>
                <w:b/>
                <w:bCs/>
                <w:color w:val="000099"/>
                <w:lang w:eastAsia="en-GB"/>
              </w:rPr>
            </w:pPr>
            <w:r w:rsidRPr="00663CAF">
              <w:rPr>
                <w:rFonts w:ascii="Arial" w:eastAsia="Times New Roman" w:hAnsi="Arial" w:cs="Arial"/>
                <w:b/>
                <w:bCs/>
                <w:color w:val="000099"/>
                <w:lang w:eastAsia="en-GB"/>
              </w:rPr>
              <w:t> </w:t>
            </w:r>
          </w:p>
        </w:tc>
        <w:tc>
          <w:tcPr>
            <w:tcW w:w="960" w:type="dxa"/>
            <w:tcBorders>
              <w:top w:val="nil"/>
              <w:left w:val="nil"/>
              <w:bottom w:val="single" w:sz="8" w:space="0" w:color="auto"/>
              <w:right w:val="single" w:sz="8" w:space="0" w:color="auto"/>
            </w:tcBorders>
            <w:shd w:val="clear" w:color="000000" w:fill="99CCFF"/>
            <w:noWrap/>
            <w:vAlign w:val="center"/>
            <w:hideMark/>
          </w:tcPr>
          <w:p w14:paraId="1EBE15F7"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2015</w:t>
            </w:r>
          </w:p>
        </w:tc>
        <w:tc>
          <w:tcPr>
            <w:tcW w:w="960" w:type="dxa"/>
            <w:tcBorders>
              <w:top w:val="nil"/>
              <w:left w:val="nil"/>
              <w:bottom w:val="single" w:sz="8" w:space="0" w:color="auto"/>
              <w:right w:val="single" w:sz="8" w:space="0" w:color="auto"/>
            </w:tcBorders>
            <w:shd w:val="clear" w:color="000000" w:fill="99CCFF"/>
            <w:noWrap/>
            <w:vAlign w:val="center"/>
            <w:hideMark/>
          </w:tcPr>
          <w:p w14:paraId="7D5D5AC0"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2020</w:t>
            </w:r>
          </w:p>
        </w:tc>
        <w:tc>
          <w:tcPr>
            <w:tcW w:w="960" w:type="dxa"/>
            <w:tcBorders>
              <w:top w:val="nil"/>
              <w:left w:val="nil"/>
              <w:bottom w:val="single" w:sz="8" w:space="0" w:color="auto"/>
              <w:right w:val="single" w:sz="8" w:space="0" w:color="auto"/>
            </w:tcBorders>
            <w:shd w:val="clear" w:color="000000" w:fill="99CCFF"/>
            <w:noWrap/>
            <w:vAlign w:val="center"/>
            <w:hideMark/>
          </w:tcPr>
          <w:p w14:paraId="016F7688"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2025</w:t>
            </w:r>
          </w:p>
        </w:tc>
        <w:tc>
          <w:tcPr>
            <w:tcW w:w="960" w:type="dxa"/>
            <w:tcBorders>
              <w:top w:val="nil"/>
              <w:left w:val="nil"/>
              <w:bottom w:val="single" w:sz="8" w:space="0" w:color="auto"/>
              <w:right w:val="single" w:sz="8" w:space="0" w:color="auto"/>
            </w:tcBorders>
            <w:shd w:val="clear" w:color="000000" w:fill="99CCFF"/>
            <w:noWrap/>
            <w:vAlign w:val="center"/>
            <w:hideMark/>
          </w:tcPr>
          <w:p w14:paraId="2C22FFC5"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2030</w:t>
            </w:r>
          </w:p>
        </w:tc>
        <w:tc>
          <w:tcPr>
            <w:tcW w:w="960" w:type="dxa"/>
            <w:tcBorders>
              <w:top w:val="nil"/>
              <w:left w:val="nil"/>
              <w:bottom w:val="single" w:sz="8" w:space="0" w:color="auto"/>
              <w:right w:val="single" w:sz="8" w:space="0" w:color="auto"/>
            </w:tcBorders>
            <w:shd w:val="clear" w:color="000000" w:fill="99CCFF"/>
            <w:noWrap/>
            <w:vAlign w:val="center"/>
            <w:hideMark/>
          </w:tcPr>
          <w:p w14:paraId="55BB0388"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2035</w:t>
            </w:r>
          </w:p>
        </w:tc>
        <w:tc>
          <w:tcPr>
            <w:tcW w:w="960" w:type="dxa"/>
            <w:tcBorders>
              <w:top w:val="nil"/>
              <w:left w:val="nil"/>
              <w:bottom w:val="single" w:sz="8" w:space="0" w:color="auto"/>
              <w:right w:val="single" w:sz="8" w:space="0" w:color="auto"/>
            </w:tcBorders>
            <w:shd w:val="clear" w:color="000000" w:fill="99CCFF"/>
            <w:noWrap/>
            <w:vAlign w:val="center"/>
            <w:hideMark/>
          </w:tcPr>
          <w:p w14:paraId="02834B05"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2040</w:t>
            </w:r>
          </w:p>
        </w:tc>
        <w:tc>
          <w:tcPr>
            <w:tcW w:w="960" w:type="dxa"/>
            <w:tcBorders>
              <w:top w:val="nil"/>
              <w:left w:val="nil"/>
              <w:bottom w:val="single" w:sz="8" w:space="0" w:color="auto"/>
              <w:right w:val="single" w:sz="8" w:space="0" w:color="auto"/>
            </w:tcBorders>
            <w:shd w:val="clear" w:color="000000" w:fill="99CCFF"/>
            <w:noWrap/>
            <w:vAlign w:val="center"/>
            <w:hideMark/>
          </w:tcPr>
          <w:p w14:paraId="01E1A915"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2045</w:t>
            </w:r>
          </w:p>
        </w:tc>
        <w:tc>
          <w:tcPr>
            <w:tcW w:w="960" w:type="dxa"/>
            <w:tcBorders>
              <w:top w:val="nil"/>
              <w:left w:val="nil"/>
              <w:bottom w:val="single" w:sz="8" w:space="0" w:color="auto"/>
              <w:right w:val="single" w:sz="8" w:space="0" w:color="auto"/>
            </w:tcBorders>
            <w:shd w:val="clear" w:color="000000" w:fill="99CCFF"/>
            <w:noWrap/>
            <w:vAlign w:val="center"/>
            <w:hideMark/>
          </w:tcPr>
          <w:p w14:paraId="492028D4"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2050</w:t>
            </w:r>
          </w:p>
        </w:tc>
      </w:tr>
      <w:tr w:rsidR="00663CAF" w:rsidRPr="00663CAF" w14:paraId="0521850A"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79106B" w14:textId="77777777" w:rsidR="00663CAF" w:rsidRPr="00663CAF" w:rsidRDefault="00663CAF" w:rsidP="00663CAF">
            <w:pPr>
              <w:spacing w:after="0" w:line="240" w:lineRule="auto"/>
              <w:rPr>
                <w:rFonts w:ascii="Arial" w:eastAsia="Times New Roman" w:hAnsi="Arial" w:cs="Arial"/>
                <w:b/>
                <w:bCs/>
                <w:color w:val="000000"/>
                <w:lang w:eastAsia="en-GB"/>
              </w:rPr>
            </w:pPr>
            <w:r w:rsidRPr="00663CAF">
              <w:rPr>
                <w:rFonts w:ascii="Arial" w:eastAsia="Times New Roman" w:hAnsi="Arial" w:cs="Arial"/>
                <w:b/>
                <w:bCs/>
                <w:color w:val="000000"/>
                <w:lang w:eastAsia="en-GB"/>
              </w:rPr>
              <w:t>Car</w:t>
            </w:r>
          </w:p>
        </w:tc>
        <w:tc>
          <w:tcPr>
            <w:tcW w:w="960" w:type="dxa"/>
            <w:tcBorders>
              <w:top w:val="nil"/>
              <w:left w:val="nil"/>
              <w:bottom w:val="single" w:sz="8" w:space="0" w:color="auto"/>
              <w:right w:val="single" w:sz="8" w:space="0" w:color="auto"/>
            </w:tcBorders>
            <w:shd w:val="clear" w:color="auto" w:fill="auto"/>
            <w:noWrap/>
            <w:vAlign w:val="center"/>
            <w:hideMark/>
          </w:tcPr>
          <w:p w14:paraId="77779C87"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58.31</w:t>
            </w:r>
          </w:p>
        </w:tc>
        <w:tc>
          <w:tcPr>
            <w:tcW w:w="960" w:type="dxa"/>
            <w:tcBorders>
              <w:top w:val="nil"/>
              <w:left w:val="nil"/>
              <w:bottom w:val="single" w:sz="8" w:space="0" w:color="auto"/>
              <w:right w:val="single" w:sz="8" w:space="0" w:color="auto"/>
            </w:tcBorders>
            <w:shd w:val="clear" w:color="auto" w:fill="auto"/>
            <w:noWrap/>
            <w:vAlign w:val="center"/>
            <w:hideMark/>
          </w:tcPr>
          <w:p w14:paraId="42BCE812"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56.14</w:t>
            </w:r>
          </w:p>
        </w:tc>
        <w:tc>
          <w:tcPr>
            <w:tcW w:w="960" w:type="dxa"/>
            <w:tcBorders>
              <w:top w:val="nil"/>
              <w:left w:val="nil"/>
              <w:bottom w:val="single" w:sz="8" w:space="0" w:color="auto"/>
              <w:right w:val="single" w:sz="8" w:space="0" w:color="auto"/>
            </w:tcBorders>
            <w:shd w:val="clear" w:color="auto" w:fill="auto"/>
            <w:noWrap/>
            <w:vAlign w:val="center"/>
            <w:hideMark/>
          </w:tcPr>
          <w:p w14:paraId="641FCC4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51.48</w:t>
            </w:r>
          </w:p>
        </w:tc>
        <w:tc>
          <w:tcPr>
            <w:tcW w:w="960" w:type="dxa"/>
            <w:tcBorders>
              <w:top w:val="nil"/>
              <w:left w:val="nil"/>
              <w:bottom w:val="single" w:sz="8" w:space="0" w:color="auto"/>
              <w:right w:val="single" w:sz="8" w:space="0" w:color="auto"/>
            </w:tcBorders>
            <w:shd w:val="clear" w:color="auto" w:fill="auto"/>
            <w:noWrap/>
            <w:vAlign w:val="center"/>
            <w:hideMark/>
          </w:tcPr>
          <w:p w14:paraId="32ECECE1"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42.94</w:t>
            </w:r>
          </w:p>
        </w:tc>
        <w:tc>
          <w:tcPr>
            <w:tcW w:w="960" w:type="dxa"/>
            <w:tcBorders>
              <w:top w:val="nil"/>
              <w:left w:val="nil"/>
              <w:bottom w:val="single" w:sz="8" w:space="0" w:color="auto"/>
              <w:right w:val="single" w:sz="8" w:space="0" w:color="auto"/>
            </w:tcBorders>
            <w:shd w:val="clear" w:color="auto" w:fill="auto"/>
            <w:noWrap/>
            <w:vAlign w:val="center"/>
            <w:hideMark/>
          </w:tcPr>
          <w:p w14:paraId="46483DD8"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28.65</w:t>
            </w:r>
          </w:p>
        </w:tc>
        <w:tc>
          <w:tcPr>
            <w:tcW w:w="960" w:type="dxa"/>
            <w:tcBorders>
              <w:top w:val="nil"/>
              <w:left w:val="nil"/>
              <w:bottom w:val="single" w:sz="8" w:space="0" w:color="auto"/>
              <w:right w:val="single" w:sz="8" w:space="0" w:color="auto"/>
            </w:tcBorders>
            <w:shd w:val="clear" w:color="auto" w:fill="auto"/>
            <w:noWrap/>
            <w:vAlign w:val="center"/>
            <w:hideMark/>
          </w:tcPr>
          <w:p w14:paraId="5C795398"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14.37</w:t>
            </w:r>
          </w:p>
        </w:tc>
        <w:tc>
          <w:tcPr>
            <w:tcW w:w="960" w:type="dxa"/>
            <w:tcBorders>
              <w:top w:val="nil"/>
              <w:left w:val="nil"/>
              <w:bottom w:val="single" w:sz="8" w:space="0" w:color="auto"/>
              <w:right w:val="single" w:sz="8" w:space="0" w:color="auto"/>
            </w:tcBorders>
            <w:shd w:val="clear" w:color="auto" w:fill="auto"/>
            <w:noWrap/>
            <w:vAlign w:val="center"/>
            <w:hideMark/>
          </w:tcPr>
          <w:p w14:paraId="3588DD0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5.55</w:t>
            </w:r>
          </w:p>
        </w:tc>
        <w:tc>
          <w:tcPr>
            <w:tcW w:w="960" w:type="dxa"/>
            <w:tcBorders>
              <w:top w:val="nil"/>
              <w:left w:val="nil"/>
              <w:bottom w:val="single" w:sz="8" w:space="0" w:color="auto"/>
              <w:right w:val="single" w:sz="8" w:space="0" w:color="auto"/>
            </w:tcBorders>
            <w:shd w:val="clear" w:color="auto" w:fill="auto"/>
            <w:noWrap/>
            <w:vAlign w:val="center"/>
            <w:hideMark/>
          </w:tcPr>
          <w:p w14:paraId="5E9494E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2.55</w:t>
            </w:r>
          </w:p>
        </w:tc>
      </w:tr>
      <w:tr w:rsidR="00663CAF" w:rsidRPr="00663CAF" w14:paraId="3967A856"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F994AA" w14:textId="77777777" w:rsidR="00663CAF" w:rsidRPr="00663CAF" w:rsidRDefault="00663CAF" w:rsidP="00663CAF">
            <w:pPr>
              <w:spacing w:after="0" w:line="240" w:lineRule="auto"/>
              <w:rPr>
                <w:rFonts w:ascii="Arial" w:eastAsia="Times New Roman" w:hAnsi="Arial" w:cs="Arial"/>
                <w:b/>
                <w:bCs/>
                <w:color w:val="000000"/>
                <w:lang w:eastAsia="en-GB"/>
              </w:rPr>
            </w:pPr>
            <w:r w:rsidRPr="00663CAF">
              <w:rPr>
                <w:rFonts w:ascii="Arial" w:eastAsia="Times New Roman" w:hAnsi="Arial" w:cs="Arial"/>
                <w:b/>
                <w:bCs/>
                <w:color w:val="000000"/>
                <w:lang w:eastAsia="en-GB"/>
              </w:rPr>
              <w:t>LGV</w:t>
            </w:r>
          </w:p>
        </w:tc>
        <w:tc>
          <w:tcPr>
            <w:tcW w:w="960" w:type="dxa"/>
            <w:tcBorders>
              <w:top w:val="nil"/>
              <w:left w:val="nil"/>
              <w:bottom w:val="single" w:sz="8" w:space="0" w:color="auto"/>
              <w:right w:val="single" w:sz="8" w:space="0" w:color="auto"/>
            </w:tcBorders>
            <w:shd w:val="clear" w:color="auto" w:fill="auto"/>
            <w:noWrap/>
            <w:vAlign w:val="center"/>
            <w:hideMark/>
          </w:tcPr>
          <w:p w14:paraId="0EC93B44"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7.98</w:t>
            </w:r>
          </w:p>
        </w:tc>
        <w:tc>
          <w:tcPr>
            <w:tcW w:w="960" w:type="dxa"/>
            <w:tcBorders>
              <w:top w:val="nil"/>
              <w:left w:val="nil"/>
              <w:bottom w:val="single" w:sz="8" w:space="0" w:color="auto"/>
              <w:right w:val="single" w:sz="8" w:space="0" w:color="auto"/>
            </w:tcBorders>
            <w:shd w:val="clear" w:color="auto" w:fill="auto"/>
            <w:noWrap/>
            <w:vAlign w:val="center"/>
            <w:hideMark/>
          </w:tcPr>
          <w:p w14:paraId="58F35CC5"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8.77</w:t>
            </w:r>
          </w:p>
        </w:tc>
        <w:tc>
          <w:tcPr>
            <w:tcW w:w="960" w:type="dxa"/>
            <w:tcBorders>
              <w:top w:val="nil"/>
              <w:left w:val="nil"/>
              <w:bottom w:val="single" w:sz="8" w:space="0" w:color="auto"/>
              <w:right w:val="single" w:sz="8" w:space="0" w:color="auto"/>
            </w:tcBorders>
            <w:shd w:val="clear" w:color="auto" w:fill="auto"/>
            <w:noWrap/>
            <w:vAlign w:val="center"/>
            <w:hideMark/>
          </w:tcPr>
          <w:p w14:paraId="0B3ACCD5"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8.21</w:t>
            </w:r>
          </w:p>
        </w:tc>
        <w:tc>
          <w:tcPr>
            <w:tcW w:w="960" w:type="dxa"/>
            <w:tcBorders>
              <w:top w:val="nil"/>
              <w:left w:val="nil"/>
              <w:bottom w:val="single" w:sz="8" w:space="0" w:color="auto"/>
              <w:right w:val="single" w:sz="8" w:space="0" w:color="auto"/>
            </w:tcBorders>
            <w:shd w:val="clear" w:color="auto" w:fill="auto"/>
            <w:noWrap/>
            <w:vAlign w:val="center"/>
            <w:hideMark/>
          </w:tcPr>
          <w:p w14:paraId="69D0C3FE"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7.29</w:t>
            </w:r>
          </w:p>
        </w:tc>
        <w:tc>
          <w:tcPr>
            <w:tcW w:w="960" w:type="dxa"/>
            <w:tcBorders>
              <w:top w:val="nil"/>
              <w:left w:val="nil"/>
              <w:bottom w:val="single" w:sz="8" w:space="0" w:color="auto"/>
              <w:right w:val="single" w:sz="8" w:space="0" w:color="auto"/>
            </w:tcBorders>
            <w:shd w:val="clear" w:color="auto" w:fill="auto"/>
            <w:noWrap/>
            <w:vAlign w:val="center"/>
            <w:hideMark/>
          </w:tcPr>
          <w:p w14:paraId="08FBE575"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5.67</w:t>
            </w:r>
          </w:p>
        </w:tc>
        <w:tc>
          <w:tcPr>
            <w:tcW w:w="960" w:type="dxa"/>
            <w:tcBorders>
              <w:top w:val="nil"/>
              <w:left w:val="nil"/>
              <w:bottom w:val="single" w:sz="8" w:space="0" w:color="auto"/>
              <w:right w:val="single" w:sz="8" w:space="0" w:color="auto"/>
            </w:tcBorders>
            <w:shd w:val="clear" w:color="auto" w:fill="auto"/>
            <w:noWrap/>
            <w:vAlign w:val="center"/>
            <w:hideMark/>
          </w:tcPr>
          <w:p w14:paraId="429E687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3.50</w:t>
            </w:r>
          </w:p>
        </w:tc>
        <w:tc>
          <w:tcPr>
            <w:tcW w:w="960" w:type="dxa"/>
            <w:tcBorders>
              <w:top w:val="nil"/>
              <w:left w:val="nil"/>
              <w:bottom w:val="single" w:sz="8" w:space="0" w:color="auto"/>
              <w:right w:val="single" w:sz="8" w:space="0" w:color="auto"/>
            </w:tcBorders>
            <w:shd w:val="clear" w:color="auto" w:fill="auto"/>
            <w:noWrap/>
            <w:vAlign w:val="center"/>
            <w:hideMark/>
          </w:tcPr>
          <w:p w14:paraId="521B329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1.63</w:t>
            </w:r>
          </w:p>
        </w:tc>
        <w:tc>
          <w:tcPr>
            <w:tcW w:w="960" w:type="dxa"/>
            <w:tcBorders>
              <w:top w:val="nil"/>
              <w:left w:val="nil"/>
              <w:bottom w:val="single" w:sz="8" w:space="0" w:color="auto"/>
              <w:right w:val="single" w:sz="8" w:space="0" w:color="auto"/>
            </w:tcBorders>
            <w:shd w:val="clear" w:color="auto" w:fill="auto"/>
            <w:noWrap/>
            <w:vAlign w:val="center"/>
            <w:hideMark/>
          </w:tcPr>
          <w:p w14:paraId="78719B81"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0.84</w:t>
            </w:r>
          </w:p>
        </w:tc>
      </w:tr>
      <w:tr w:rsidR="00663CAF" w:rsidRPr="00663CAF" w14:paraId="1468A129"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B1CA7A" w14:textId="77777777" w:rsidR="00663CAF" w:rsidRPr="00663CAF" w:rsidRDefault="00663CAF" w:rsidP="00663CAF">
            <w:pPr>
              <w:spacing w:after="0" w:line="240" w:lineRule="auto"/>
              <w:rPr>
                <w:rFonts w:ascii="Arial" w:eastAsia="Times New Roman" w:hAnsi="Arial" w:cs="Arial"/>
                <w:b/>
                <w:bCs/>
                <w:color w:val="000000"/>
                <w:lang w:eastAsia="en-GB"/>
              </w:rPr>
            </w:pPr>
            <w:r w:rsidRPr="00663CAF">
              <w:rPr>
                <w:rFonts w:ascii="Arial" w:eastAsia="Times New Roman" w:hAnsi="Arial" w:cs="Arial"/>
                <w:b/>
                <w:bCs/>
                <w:color w:val="000000"/>
                <w:lang w:eastAsia="en-GB"/>
              </w:rPr>
              <w:t>HGV</w:t>
            </w:r>
          </w:p>
        </w:tc>
        <w:tc>
          <w:tcPr>
            <w:tcW w:w="960" w:type="dxa"/>
            <w:tcBorders>
              <w:top w:val="nil"/>
              <w:left w:val="nil"/>
              <w:bottom w:val="single" w:sz="8" w:space="0" w:color="auto"/>
              <w:right w:val="single" w:sz="8" w:space="0" w:color="auto"/>
            </w:tcBorders>
            <w:shd w:val="clear" w:color="auto" w:fill="auto"/>
            <w:noWrap/>
            <w:vAlign w:val="center"/>
            <w:hideMark/>
          </w:tcPr>
          <w:p w14:paraId="37B17EF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4.50</w:t>
            </w:r>
          </w:p>
        </w:tc>
        <w:tc>
          <w:tcPr>
            <w:tcW w:w="960" w:type="dxa"/>
            <w:tcBorders>
              <w:top w:val="nil"/>
              <w:left w:val="nil"/>
              <w:bottom w:val="single" w:sz="8" w:space="0" w:color="auto"/>
              <w:right w:val="single" w:sz="8" w:space="0" w:color="auto"/>
            </w:tcBorders>
            <w:shd w:val="clear" w:color="auto" w:fill="auto"/>
            <w:noWrap/>
            <w:vAlign w:val="center"/>
            <w:hideMark/>
          </w:tcPr>
          <w:p w14:paraId="2F61937E"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3.95</w:t>
            </w:r>
          </w:p>
        </w:tc>
        <w:tc>
          <w:tcPr>
            <w:tcW w:w="960" w:type="dxa"/>
            <w:tcBorders>
              <w:top w:val="nil"/>
              <w:left w:val="nil"/>
              <w:bottom w:val="single" w:sz="8" w:space="0" w:color="auto"/>
              <w:right w:val="single" w:sz="8" w:space="0" w:color="auto"/>
            </w:tcBorders>
            <w:shd w:val="clear" w:color="auto" w:fill="auto"/>
            <w:noWrap/>
            <w:vAlign w:val="center"/>
            <w:hideMark/>
          </w:tcPr>
          <w:p w14:paraId="4D640B9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3.89</w:t>
            </w:r>
          </w:p>
        </w:tc>
        <w:tc>
          <w:tcPr>
            <w:tcW w:w="960" w:type="dxa"/>
            <w:tcBorders>
              <w:top w:val="nil"/>
              <w:left w:val="nil"/>
              <w:bottom w:val="single" w:sz="8" w:space="0" w:color="auto"/>
              <w:right w:val="single" w:sz="8" w:space="0" w:color="auto"/>
            </w:tcBorders>
            <w:shd w:val="clear" w:color="auto" w:fill="auto"/>
            <w:noWrap/>
            <w:vAlign w:val="center"/>
            <w:hideMark/>
          </w:tcPr>
          <w:p w14:paraId="121E3A6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3.98</w:t>
            </w:r>
          </w:p>
        </w:tc>
        <w:tc>
          <w:tcPr>
            <w:tcW w:w="960" w:type="dxa"/>
            <w:tcBorders>
              <w:top w:val="nil"/>
              <w:left w:val="nil"/>
              <w:bottom w:val="single" w:sz="8" w:space="0" w:color="auto"/>
              <w:right w:val="single" w:sz="8" w:space="0" w:color="auto"/>
            </w:tcBorders>
            <w:shd w:val="clear" w:color="auto" w:fill="auto"/>
            <w:noWrap/>
            <w:vAlign w:val="center"/>
            <w:hideMark/>
          </w:tcPr>
          <w:p w14:paraId="2CB3A6B6"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4.04</w:t>
            </w:r>
          </w:p>
        </w:tc>
        <w:tc>
          <w:tcPr>
            <w:tcW w:w="960" w:type="dxa"/>
            <w:tcBorders>
              <w:top w:val="nil"/>
              <w:left w:val="nil"/>
              <w:bottom w:val="single" w:sz="8" w:space="0" w:color="auto"/>
              <w:right w:val="single" w:sz="8" w:space="0" w:color="auto"/>
            </w:tcBorders>
            <w:shd w:val="clear" w:color="auto" w:fill="auto"/>
            <w:noWrap/>
            <w:vAlign w:val="center"/>
            <w:hideMark/>
          </w:tcPr>
          <w:p w14:paraId="030F626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4.11</w:t>
            </w:r>
          </w:p>
        </w:tc>
        <w:tc>
          <w:tcPr>
            <w:tcW w:w="960" w:type="dxa"/>
            <w:tcBorders>
              <w:top w:val="nil"/>
              <w:left w:val="nil"/>
              <w:bottom w:val="single" w:sz="8" w:space="0" w:color="auto"/>
              <w:right w:val="single" w:sz="8" w:space="0" w:color="auto"/>
            </w:tcBorders>
            <w:shd w:val="clear" w:color="auto" w:fill="auto"/>
            <w:noWrap/>
            <w:vAlign w:val="center"/>
            <w:hideMark/>
          </w:tcPr>
          <w:p w14:paraId="003F759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4.20</w:t>
            </w:r>
          </w:p>
        </w:tc>
        <w:tc>
          <w:tcPr>
            <w:tcW w:w="960" w:type="dxa"/>
            <w:tcBorders>
              <w:top w:val="nil"/>
              <w:left w:val="nil"/>
              <w:bottom w:val="single" w:sz="8" w:space="0" w:color="auto"/>
              <w:right w:val="single" w:sz="8" w:space="0" w:color="auto"/>
            </w:tcBorders>
            <w:shd w:val="clear" w:color="auto" w:fill="auto"/>
            <w:noWrap/>
            <w:vAlign w:val="center"/>
            <w:hideMark/>
          </w:tcPr>
          <w:p w14:paraId="1D8F1014"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4.35</w:t>
            </w:r>
          </w:p>
        </w:tc>
      </w:tr>
      <w:tr w:rsidR="00663CAF" w:rsidRPr="00663CAF" w14:paraId="541ED1D6"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CFB5992" w14:textId="77777777" w:rsidR="00663CAF" w:rsidRPr="00663CAF" w:rsidRDefault="00663CAF" w:rsidP="00663CAF">
            <w:pPr>
              <w:spacing w:after="0" w:line="240" w:lineRule="auto"/>
              <w:rPr>
                <w:rFonts w:ascii="Arial" w:eastAsia="Times New Roman" w:hAnsi="Arial" w:cs="Arial"/>
                <w:b/>
                <w:bCs/>
                <w:color w:val="000000"/>
                <w:lang w:eastAsia="en-GB"/>
              </w:rPr>
            </w:pPr>
            <w:r w:rsidRPr="00663CAF">
              <w:rPr>
                <w:rFonts w:ascii="Arial" w:eastAsia="Times New Roman" w:hAnsi="Arial" w:cs="Arial"/>
                <w:b/>
                <w:bCs/>
                <w:color w:val="000000"/>
                <w:lang w:eastAsia="en-GB"/>
              </w:rPr>
              <w:t>PSV</w:t>
            </w:r>
          </w:p>
        </w:tc>
        <w:tc>
          <w:tcPr>
            <w:tcW w:w="960" w:type="dxa"/>
            <w:tcBorders>
              <w:top w:val="nil"/>
              <w:left w:val="nil"/>
              <w:bottom w:val="single" w:sz="8" w:space="0" w:color="auto"/>
              <w:right w:val="single" w:sz="8" w:space="0" w:color="auto"/>
            </w:tcBorders>
            <w:shd w:val="clear" w:color="auto" w:fill="auto"/>
            <w:noWrap/>
            <w:vAlign w:val="center"/>
            <w:hideMark/>
          </w:tcPr>
          <w:p w14:paraId="21A7E7F2"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3.10</w:t>
            </w:r>
          </w:p>
        </w:tc>
        <w:tc>
          <w:tcPr>
            <w:tcW w:w="960" w:type="dxa"/>
            <w:tcBorders>
              <w:top w:val="nil"/>
              <w:left w:val="nil"/>
              <w:bottom w:val="single" w:sz="8" w:space="0" w:color="auto"/>
              <w:right w:val="single" w:sz="8" w:space="0" w:color="auto"/>
            </w:tcBorders>
            <w:shd w:val="clear" w:color="auto" w:fill="auto"/>
            <w:noWrap/>
            <w:vAlign w:val="center"/>
            <w:hideMark/>
          </w:tcPr>
          <w:p w14:paraId="4179E157"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2.25</w:t>
            </w:r>
          </w:p>
        </w:tc>
        <w:tc>
          <w:tcPr>
            <w:tcW w:w="960" w:type="dxa"/>
            <w:tcBorders>
              <w:top w:val="nil"/>
              <w:left w:val="nil"/>
              <w:bottom w:val="single" w:sz="8" w:space="0" w:color="auto"/>
              <w:right w:val="single" w:sz="8" w:space="0" w:color="auto"/>
            </w:tcBorders>
            <w:shd w:val="clear" w:color="auto" w:fill="auto"/>
            <w:noWrap/>
            <w:vAlign w:val="center"/>
            <w:hideMark/>
          </w:tcPr>
          <w:p w14:paraId="7BC6A9CF"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1.98</w:t>
            </w:r>
          </w:p>
        </w:tc>
        <w:tc>
          <w:tcPr>
            <w:tcW w:w="960" w:type="dxa"/>
            <w:tcBorders>
              <w:top w:val="nil"/>
              <w:left w:val="nil"/>
              <w:bottom w:val="single" w:sz="8" w:space="0" w:color="auto"/>
              <w:right w:val="single" w:sz="8" w:space="0" w:color="auto"/>
            </w:tcBorders>
            <w:shd w:val="clear" w:color="auto" w:fill="auto"/>
            <w:noWrap/>
            <w:vAlign w:val="center"/>
            <w:hideMark/>
          </w:tcPr>
          <w:p w14:paraId="0F6D56E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1.63</w:t>
            </w:r>
          </w:p>
        </w:tc>
        <w:tc>
          <w:tcPr>
            <w:tcW w:w="960" w:type="dxa"/>
            <w:tcBorders>
              <w:top w:val="nil"/>
              <w:left w:val="nil"/>
              <w:bottom w:val="single" w:sz="8" w:space="0" w:color="auto"/>
              <w:right w:val="single" w:sz="8" w:space="0" w:color="auto"/>
            </w:tcBorders>
            <w:shd w:val="clear" w:color="auto" w:fill="auto"/>
            <w:noWrap/>
            <w:vAlign w:val="center"/>
            <w:hideMark/>
          </w:tcPr>
          <w:p w14:paraId="70AC64C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1.45</w:t>
            </w:r>
          </w:p>
        </w:tc>
        <w:tc>
          <w:tcPr>
            <w:tcW w:w="960" w:type="dxa"/>
            <w:tcBorders>
              <w:top w:val="nil"/>
              <w:left w:val="nil"/>
              <w:bottom w:val="single" w:sz="8" w:space="0" w:color="auto"/>
              <w:right w:val="single" w:sz="8" w:space="0" w:color="auto"/>
            </w:tcBorders>
            <w:shd w:val="clear" w:color="auto" w:fill="auto"/>
            <w:noWrap/>
            <w:vAlign w:val="center"/>
            <w:hideMark/>
          </w:tcPr>
          <w:p w14:paraId="20A3770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1.35</w:t>
            </w:r>
          </w:p>
        </w:tc>
        <w:tc>
          <w:tcPr>
            <w:tcW w:w="960" w:type="dxa"/>
            <w:tcBorders>
              <w:top w:val="nil"/>
              <w:left w:val="nil"/>
              <w:bottom w:val="single" w:sz="8" w:space="0" w:color="auto"/>
              <w:right w:val="single" w:sz="8" w:space="0" w:color="auto"/>
            </w:tcBorders>
            <w:shd w:val="clear" w:color="auto" w:fill="auto"/>
            <w:noWrap/>
            <w:vAlign w:val="center"/>
            <w:hideMark/>
          </w:tcPr>
          <w:p w14:paraId="3A1ABCEF"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1.32</w:t>
            </w:r>
          </w:p>
        </w:tc>
        <w:tc>
          <w:tcPr>
            <w:tcW w:w="960" w:type="dxa"/>
            <w:tcBorders>
              <w:top w:val="nil"/>
              <w:left w:val="nil"/>
              <w:bottom w:val="single" w:sz="8" w:space="0" w:color="auto"/>
              <w:right w:val="single" w:sz="8" w:space="0" w:color="auto"/>
            </w:tcBorders>
            <w:shd w:val="clear" w:color="auto" w:fill="auto"/>
            <w:noWrap/>
            <w:vAlign w:val="center"/>
            <w:hideMark/>
          </w:tcPr>
          <w:p w14:paraId="2ECEF1CB"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1.30</w:t>
            </w:r>
          </w:p>
        </w:tc>
      </w:tr>
      <w:tr w:rsidR="00663CAF" w:rsidRPr="00663CAF" w14:paraId="5A3A924C"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64D775" w14:textId="77777777" w:rsidR="00663CAF" w:rsidRPr="00663CAF" w:rsidRDefault="00663CAF" w:rsidP="00663CAF">
            <w:pPr>
              <w:spacing w:after="0" w:line="240" w:lineRule="auto"/>
              <w:rPr>
                <w:rFonts w:ascii="Arial" w:eastAsia="Times New Roman" w:hAnsi="Arial" w:cs="Arial"/>
                <w:b/>
                <w:bCs/>
                <w:color w:val="000000"/>
                <w:lang w:eastAsia="en-GB"/>
              </w:rPr>
            </w:pPr>
            <w:r w:rsidRPr="00663CAF">
              <w:rPr>
                <w:rFonts w:ascii="Arial" w:eastAsia="Times New Roman" w:hAnsi="Arial" w:cs="Arial"/>
                <w:b/>
                <w:bCs/>
                <w:color w:val="000000"/>
                <w:lang w:eastAsia="en-GB"/>
              </w:rPr>
              <w:t>Total</w:t>
            </w:r>
          </w:p>
        </w:tc>
        <w:tc>
          <w:tcPr>
            <w:tcW w:w="960" w:type="dxa"/>
            <w:tcBorders>
              <w:top w:val="nil"/>
              <w:left w:val="nil"/>
              <w:bottom w:val="single" w:sz="8" w:space="0" w:color="auto"/>
              <w:right w:val="single" w:sz="8" w:space="0" w:color="auto"/>
            </w:tcBorders>
            <w:shd w:val="clear" w:color="auto" w:fill="auto"/>
            <w:noWrap/>
            <w:vAlign w:val="center"/>
            <w:hideMark/>
          </w:tcPr>
          <w:p w14:paraId="60AA7FB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73.89</w:t>
            </w:r>
          </w:p>
        </w:tc>
        <w:tc>
          <w:tcPr>
            <w:tcW w:w="960" w:type="dxa"/>
            <w:tcBorders>
              <w:top w:val="nil"/>
              <w:left w:val="nil"/>
              <w:bottom w:val="single" w:sz="8" w:space="0" w:color="auto"/>
              <w:right w:val="single" w:sz="8" w:space="0" w:color="auto"/>
            </w:tcBorders>
            <w:shd w:val="clear" w:color="auto" w:fill="auto"/>
            <w:noWrap/>
            <w:vAlign w:val="center"/>
            <w:hideMark/>
          </w:tcPr>
          <w:p w14:paraId="07F36682"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71.92</w:t>
            </w:r>
          </w:p>
        </w:tc>
        <w:tc>
          <w:tcPr>
            <w:tcW w:w="960" w:type="dxa"/>
            <w:tcBorders>
              <w:top w:val="nil"/>
              <w:left w:val="nil"/>
              <w:bottom w:val="single" w:sz="8" w:space="0" w:color="auto"/>
              <w:right w:val="single" w:sz="8" w:space="0" w:color="auto"/>
            </w:tcBorders>
            <w:shd w:val="clear" w:color="auto" w:fill="auto"/>
            <w:noWrap/>
            <w:vAlign w:val="center"/>
            <w:hideMark/>
          </w:tcPr>
          <w:p w14:paraId="1FB02B7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67.25</w:t>
            </w:r>
          </w:p>
        </w:tc>
        <w:tc>
          <w:tcPr>
            <w:tcW w:w="960" w:type="dxa"/>
            <w:tcBorders>
              <w:top w:val="nil"/>
              <w:left w:val="nil"/>
              <w:bottom w:val="single" w:sz="8" w:space="0" w:color="auto"/>
              <w:right w:val="single" w:sz="8" w:space="0" w:color="auto"/>
            </w:tcBorders>
            <w:shd w:val="clear" w:color="auto" w:fill="auto"/>
            <w:noWrap/>
            <w:vAlign w:val="center"/>
            <w:hideMark/>
          </w:tcPr>
          <w:p w14:paraId="448074CF"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59.16</w:t>
            </w:r>
          </w:p>
        </w:tc>
        <w:tc>
          <w:tcPr>
            <w:tcW w:w="960" w:type="dxa"/>
            <w:tcBorders>
              <w:top w:val="nil"/>
              <w:left w:val="nil"/>
              <w:bottom w:val="single" w:sz="8" w:space="0" w:color="auto"/>
              <w:right w:val="single" w:sz="8" w:space="0" w:color="auto"/>
            </w:tcBorders>
            <w:shd w:val="clear" w:color="auto" w:fill="auto"/>
            <w:noWrap/>
            <w:vAlign w:val="center"/>
            <w:hideMark/>
          </w:tcPr>
          <w:p w14:paraId="0F0DF75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45.43</w:t>
            </w:r>
          </w:p>
        </w:tc>
        <w:tc>
          <w:tcPr>
            <w:tcW w:w="960" w:type="dxa"/>
            <w:tcBorders>
              <w:top w:val="nil"/>
              <w:left w:val="nil"/>
              <w:bottom w:val="single" w:sz="8" w:space="0" w:color="auto"/>
              <w:right w:val="single" w:sz="8" w:space="0" w:color="auto"/>
            </w:tcBorders>
            <w:shd w:val="clear" w:color="auto" w:fill="auto"/>
            <w:noWrap/>
            <w:vAlign w:val="center"/>
            <w:hideMark/>
          </w:tcPr>
          <w:p w14:paraId="25D6FC7B"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31.15</w:t>
            </w:r>
          </w:p>
        </w:tc>
        <w:tc>
          <w:tcPr>
            <w:tcW w:w="960" w:type="dxa"/>
            <w:tcBorders>
              <w:top w:val="nil"/>
              <w:left w:val="nil"/>
              <w:bottom w:val="single" w:sz="8" w:space="0" w:color="auto"/>
              <w:right w:val="single" w:sz="8" w:space="0" w:color="auto"/>
            </w:tcBorders>
            <w:shd w:val="clear" w:color="auto" w:fill="auto"/>
            <w:noWrap/>
            <w:vAlign w:val="center"/>
            <w:hideMark/>
          </w:tcPr>
          <w:p w14:paraId="43A0CAC8"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22.08</w:t>
            </w:r>
          </w:p>
        </w:tc>
        <w:tc>
          <w:tcPr>
            <w:tcW w:w="960" w:type="dxa"/>
            <w:tcBorders>
              <w:top w:val="nil"/>
              <w:left w:val="nil"/>
              <w:bottom w:val="single" w:sz="8" w:space="0" w:color="auto"/>
              <w:right w:val="single" w:sz="8" w:space="0" w:color="auto"/>
            </w:tcBorders>
            <w:shd w:val="clear" w:color="auto" w:fill="auto"/>
            <w:noWrap/>
            <w:vAlign w:val="center"/>
            <w:hideMark/>
          </w:tcPr>
          <w:p w14:paraId="0A903B2B"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19.39</w:t>
            </w:r>
          </w:p>
        </w:tc>
      </w:tr>
      <w:tr w:rsidR="00663CAF" w:rsidRPr="00663CAF" w14:paraId="1A456BF2" w14:textId="77777777" w:rsidTr="00663CAF">
        <w:trPr>
          <w:trHeight w:val="315"/>
        </w:trPr>
        <w:tc>
          <w:tcPr>
            <w:tcW w:w="960" w:type="dxa"/>
            <w:tcBorders>
              <w:top w:val="nil"/>
              <w:left w:val="nil"/>
              <w:bottom w:val="nil"/>
              <w:right w:val="nil"/>
            </w:tcBorders>
            <w:shd w:val="clear" w:color="auto" w:fill="auto"/>
            <w:noWrap/>
            <w:vAlign w:val="center"/>
            <w:hideMark/>
          </w:tcPr>
          <w:p w14:paraId="140B57DC" w14:textId="77777777" w:rsidR="00663CAF" w:rsidRPr="00663CAF" w:rsidRDefault="00663CAF" w:rsidP="00663CAF">
            <w:pPr>
              <w:spacing w:after="0" w:line="240" w:lineRule="auto"/>
              <w:jc w:val="right"/>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12365C21"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A792339"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63AC70C" w14:textId="77777777" w:rsidR="00663CAF" w:rsidRDefault="00663CAF" w:rsidP="00663CAF">
            <w:pPr>
              <w:spacing w:after="0" w:line="240" w:lineRule="auto"/>
              <w:rPr>
                <w:rFonts w:ascii="Times New Roman" w:eastAsia="Times New Roman" w:hAnsi="Times New Roman" w:cs="Times New Roman"/>
                <w:sz w:val="20"/>
                <w:szCs w:val="20"/>
                <w:lang w:eastAsia="en-GB"/>
              </w:rPr>
            </w:pPr>
          </w:p>
          <w:p w14:paraId="24491541" w14:textId="6DE2F0BF" w:rsidR="002D7377" w:rsidRPr="00663CAF" w:rsidRDefault="002D7377"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2C12666"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6EACAFA"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879D44D"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4D27500" w14:textId="77777777" w:rsidR="00663CAF" w:rsidRPr="00663CAF" w:rsidRDefault="00663CAF" w:rsidP="00663CA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94CB86C" w14:textId="77777777" w:rsidR="00663CAF" w:rsidRDefault="00663CAF" w:rsidP="00663CAF">
            <w:pPr>
              <w:spacing w:after="0" w:line="240" w:lineRule="auto"/>
              <w:rPr>
                <w:rFonts w:ascii="Times New Roman" w:eastAsia="Times New Roman" w:hAnsi="Times New Roman" w:cs="Times New Roman"/>
                <w:sz w:val="20"/>
                <w:szCs w:val="20"/>
                <w:lang w:eastAsia="en-GB"/>
              </w:rPr>
            </w:pPr>
          </w:p>
          <w:p w14:paraId="28DF517A" w14:textId="3ED12A33" w:rsidR="006717B3" w:rsidRPr="00663CAF" w:rsidRDefault="006717B3" w:rsidP="00663CAF">
            <w:pPr>
              <w:spacing w:after="0" w:line="240" w:lineRule="auto"/>
              <w:rPr>
                <w:rFonts w:ascii="Times New Roman" w:eastAsia="Times New Roman" w:hAnsi="Times New Roman" w:cs="Times New Roman"/>
                <w:sz w:val="20"/>
                <w:szCs w:val="20"/>
                <w:lang w:eastAsia="en-GB"/>
              </w:rPr>
            </w:pPr>
          </w:p>
        </w:tc>
      </w:tr>
      <w:tr w:rsidR="00663CAF" w:rsidRPr="00663CAF" w14:paraId="0E10D02E" w14:textId="77777777" w:rsidTr="00663CAF">
        <w:trPr>
          <w:trHeight w:val="345"/>
        </w:trPr>
        <w:tc>
          <w:tcPr>
            <w:tcW w:w="960" w:type="dxa"/>
            <w:tcBorders>
              <w:top w:val="single" w:sz="8" w:space="0" w:color="auto"/>
              <w:left w:val="single" w:sz="8" w:space="0" w:color="auto"/>
              <w:bottom w:val="single" w:sz="8" w:space="0" w:color="auto"/>
              <w:right w:val="single" w:sz="8" w:space="0" w:color="auto"/>
            </w:tcBorders>
            <w:shd w:val="clear" w:color="000000" w:fill="000099"/>
            <w:noWrap/>
            <w:vAlign w:val="center"/>
            <w:hideMark/>
          </w:tcPr>
          <w:p w14:paraId="744AE659" w14:textId="77777777" w:rsidR="00663CAF" w:rsidRPr="00663CAF" w:rsidRDefault="00663CAF" w:rsidP="00663CAF">
            <w:pPr>
              <w:spacing w:after="0" w:line="240" w:lineRule="auto"/>
              <w:rPr>
                <w:rFonts w:ascii="Arial" w:eastAsia="Times New Roman" w:hAnsi="Arial" w:cs="Arial"/>
                <w:color w:val="000000"/>
                <w:lang w:eastAsia="en-GB"/>
              </w:rPr>
            </w:pPr>
            <w:r w:rsidRPr="00663CAF">
              <w:rPr>
                <w:rFonts w:ascii="Arial" w:eastAsia="Times New Roman" w:hAnsi="Arial" w:cs="Arial"/>
                <w:color w:val="000000"/>
                <w:lang w:eastAsia="en-GB"/>
              </w:rPr>
              <w:t> </w:t>
            </w:r>
          </w:p>
        </w:tc>
        <w:tc>
          <w:tcPr>
            <w:tcW w:w="7680" w:type="dxa"/>
            <w:gridSpan w:val="8"/>
            <w:tcBorders>
              <w:top w:val="single" w:sz="8" w:space="0" w:color="auto"/>
              <w:left w:val="nil"/>
              <w:bottom w:val="single" w:sz="8" w:space="0" w:color="auto"/>
              <w:right w:val="single" w:sz="8" w:space="0" w:color="000000"/>
            </w:tcBorders>
            <w:shd w:val="clear" w:color="000000" w:fill="000099"/>
            <w:noWrap/>
            <w:vAlign w:val="center"/>
            <w:hideMark/>
          </w:tcPr>
          <w:p w14:paraId="7873D073" w14:textId="77777777" w:rsidR="00663CAF" w:rsidRPr="00663CAF" w:rsidRDefault="00663CAF" w:rsidP="00663CAF">
            <w:pPr>
              <w:spacing w:after="0" w:line="240" w:lineRule="auto"/>
              <w:jc w:val="center"/>
              <w:rPr>
                <w:rFonts w:ascii="Arial" w:eastAsia="Times New Roman" w:hAnsi="Arial" w:cs="Arial"/>
                <w:b/>
                <w:bCs/>
                <w:color w:val="FFFFFF"/>
                <w:lang w:eastAsia="en-GB"/>
              </w:rPr>
            </w:pPr>
            <w:r w:rsidRPr="00663CAF">
              <w:rPr>
                <w:rFonts w:ascii="Arial" w:eastAsia="Times New Roman" w:hAnsi="Arial" w:cs="Arial"/>
                <w:b/>
                <w:bCs/>
                <w:color w:val="FFFFFF"/>
                <w:lang w:eastAsia="en-GB"/>
              </w:rPr>
              <w:t>tCO</w:t>
            </w:r>
            <w:r w:rsidRPr="00663CAF">
              <w:rPr>
                <w:rFonts w:ascii="Arial" w:eastAsia="Times New Roman" w:hAnsi="Arial" w:cs="Arial"/>
                <w:b/>
                <w:bCs/>
                <w:color w:val="FFFFFF"/>
                <w:vertAlign w:val="subscript"/>
                <w:lang w:eastAsia="en-GB"/>
              </w:rPr>
              <w:t>2</w:t>
            </w:r>
            <w:r w:rsidRPr="00663CAF">
              <w:rPr>
                <w:rFonts w:ascii="Arial" w:eastAsia="Times New Roman" w:hAnsi="Arial" w:cs="Arial"/>
                <w:b/>
                <w:bCs/>
                <w:color w:val="FFFFFF"/>
                <w:lang w:eastAsia="en-GB"/>
              </w:rPr>
              <w:t xml:space="preserve"> emitted per Road Closure – 24 hrs </w:t>
            </w:r>
          </w:p>
        </w:tc>
      </w:tr>
      <w:tr w:rsidR="00663CAF" w:rsidRPr="00663CAF" w14:paraId="52A68AF6" w14:textId="77777777" w:rsidTr="00663CAF">
        <w:trPr>
          <w:trHeight w:val="315"/>
        </w:trPr>
        <w:tc>
          <w:tcPr>
            <w:tcW w:w="960" w:type="dxa"/>
            <w:tcBorders>
              <w:top w:val="nil"/>
              <w:left w:val="single" w:sz="8" w:space="0" w:color="auto"/>
              <w:bottom w:val="single" w:sz="8" w:space="0" w:color="auto"/>
              <w:right w:val="single" w:sz="8" w:space="0" w:color="auto"/>
            </w:tcBorders>
            <w:shd w:val="clear" w:color="000000" w:fill="99CCFF"/>
            <w:noWrap/>
            <w:vAlign w:val="center"/>
            <w:hideMark/>
          </w:tcPr>
          <w:p w14:paraId="360F26B0"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 </w:t>
            </w:r>
          </w:p>
        </w:tc>
        <w:tc>
          <w:tcPr>
            <w:tcW w:w="960" w:type="dxa"/>
            <w:tcBorders>
              <w:top w:val="nil"/>
              <w:left w:val="nil"/>
              <w:bottom w:val="single" w:sz="8" w:space="0" w:color="auto"/>
              <w:right w:val="single" w:sz="8" w:space="0" w:color="auto"/>
            </w:tcBorders>
            <w:shd w:val="clear" w:color="000000" w:fill="99CCFF"/>
            <w:noWrap/>
            <w:vAlign w:val="center"/>
            <w:hideMark/>
          </w:tcPr>
          <w:p w14:paraId="7E4C0DB1"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2015</w:t>
            </w:r>
          </w:p>
        </w:tc>
        <w:tc>
          <w:tcPr>
            <w:tcW w:w="960" w:type="dxa"/>
            <w:tcBorders>
              <w:top w:val="nil"/>
              <w:left w:val="nil"/>
              <w:bottom w:val="single" w:sz="8" w:space="0" w:color="auto"/>
              <w:right w:val="single" w:sz="8" w:space="0" w:color="auto"/>
            </w:tcBorders>
            <w:shd w:val="clear" w:color="000000" w:fill="99CCFF"/>
            <w:noWrap/>
            <w:vAlign w:val="center"/>
            <w:hideMark/>
          </w:tcPr>
          <w:p w14:paraId="46B644BF"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2020</w:t>
            </w:r>
          </w:p>
        </w:tc>
        <w:tc>
          <w:tcPr>
            <w:tcW w:w="960" w:type="dxa"/>
            <w:tcBorders>
              <w:top w:val="nil"/>
              <w:left w:val="nil"/>
              <w:bottom w:val="single" w:sz="8" w:space="0" w:color="auto"/>
              <w:right w:val="single" w:sz="8" w:space="0" w:color="auto"/>
            </w:tcBorders>
            <w:shd w:val="clear" w:color="000000" w:fill="99CCFF"/>
            <w:noWrap/>
            <w:vAlign w:val="center"/>
            <w:hideMark/>
          </w:tcPr>
          <w:p w14:paraId="5978408E"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2025</w:t>
            </w:r>
          </w:p>
        </w:tc>
        <w:tc>
          <w:tcPr>
            <w:tcW w:w="960" w:type="dxa"/>
            <w:tcBorders>
              <w:top w:val="nil"/>
              <w:left w:val="nil"/>
              <w:bottom w:val="single" w:sz="8" w:space="0" w:color="auto"/>
              <w:right w:val="single" w:sz="8" w:space="0" w:color="auto"/>
            </w:tcBorders>
            <w:shd w:val="clear" w:color="000000" w:fill="99CCFF"/>
            <w:noWrap/>
            <w:vAlign w:val="center"/>
            <w:hideMark/>
          </w:tcPr>
          <w:p w14:paraId="75517A60"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2030</w:t>
            </w:r>
          </w:p>
        </w:tc>
        <w:tc>
          <w:tcPr>
            <w:tcW w:w="960" w:type="dxa"/>
            <w:tcBorders>
              <w:top w:val="nil"/>
              <w:left w:val="nil"/>
              <w:bottom w:val="single" w:sz="8" w:space="0" w:color="auto"/>
              <w:right w:val="single" w:sz="8" w:space="0" w:color="auto"/>
            </w:tcBorders>
            <w:shd w:val="clear" w:color="000000" w:fill="99CCFF"/>
            <w:noWrap/>
            <w:vAlign w:val="center"/>
            <w:hideMark/>
          </w:tcPr>
          <w:p w14:paraId="51D09934"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2035</w:t>
            </w:r>
          </w:p>
        </w:tc>
        <w:tc>
          <w:tcPr>
            <w:tcW w:w="960" w:type="dxa"/>
            <w:tcBorders>
              <w:top w:val="nil"/>
              <w:left w:val="nil"/>
              <w:bottom w:val="single" w:sz="8" w:space="0" w:color="auto"/>
              <w:right w:val="single" w:sz="8" w:space="0" w:color="auto"/>
            </w:tcBorders>
            <w:shd w:val="clear" w:color="000000" w:fill="99CCFF"/>
            <w:noWrap/>
            <w:vAlign w:val="center"/>
            <w:hideMark/>
          </w:tcPr>
          <w:p w14:paraId="4A92421F"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2040</w:t>
            </w:r>
          </w:p>
        </w:tc>
        <w:tc>
          <w:tcPr>
            <w:tcW w:w="960" w:type="dxa"/>
            <w:tcBorders>
              <w:top w:val="nil"/>
              <w:left w:val="nil"/>
              <w:bottom w:val="single" w:sz="8" w:space="0" w:color="auto"/>
              <w:right w:val="single" w:sz="8" w:space="0" w:color="auto"/>
            </w:tcBorders>
            <w:shd w:val="clear" w:color="000000" w:fill="99CCFF"/>
            <w:noWrap/>
            <w:vAlign w:val="center"/>
            <w:hideMark/>
          </w:tcPr>
          <w:p w14:paraId="67FF7E1E"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2045</w:t>
            </w:r>
          </w:p>
        </w:tc>
        <w:tc>
          <w:tcPr>
            <w:tcW w:w="960" w:type="dxa"/>
            <w:tcBorders>
              <w:top w:val="nil"/>
              <w:left w:val="nil"/>
              <w:bottom w:val="single" w:sz="8" w:space="0" w:color="auto"/>
              <w:right w:val="single" w:sz="8" w:space="0" w:color="auto"/>
            </w:tcBorders>
            <w:shd w:val="clear" w:color="000000" w:fill="99CCFF"/>
            <w:noWrap/>
            <w:vAlign w:val="center"/>
            <w:hideMark/>
          </w:tcPr>
          <w:p w14:paraId="4F964374" w14:textId="77777777" w:rsidR="00663CAF" w:rsidRPr="00663CAF" w:rsidRDefault="00663CAF" w:rsidP="00663CAF">
            <w:pPr>
              <w:spacing w:after="0" w:line="240" w:lineRule="auto"/>
              <w:jc w:val="right"/>
              <w:rPr>
                <w:rFonts w:ascii="Arial" w:eastAsia="Times New Roman" w:hAnsi="Arial" w:cs="Arial"/>
                <w:b/>
                <w:bCs/>
                <w:color w:val="000099"/>
                <w:lang w:eastAsia="en-GB"/>
              </w:rPr>
            </w:pPr>
            <w:r w:rsidRPr="00663CAF">
              <w:rPr>
                <w:rFonts w:ascii="Arial" w:eastAsia="Times New Roman" w:hAnsi="Arial" w:cs="Arial"/>
                <w:b/>
                <w:bCs/>
                <w:color w:val="000099"/>
                <w:lang w:eastAsia="en-GB"/>
              </w:rPr>
              <w:t>2050</w:t>
            </w:r>
          </w:p>
        </w:tc>
      </w:tr>
      <w:tr w:rsidR="00663CAF" w:rsidRPr="00663CAF" w14:paraId="300BA121"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2DE6B1"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Car</w:t>
            </w:r>
          </w:p>
        </w:tc>
        <w:tc>
          <w:tcPr>
            <w:tcW w:w="960" w:type="dxa"/>
            <w:tcBorders>
              <w:top w:val="nil"/>
              <w:left w:val="nil"/>
              <w:bottom w:val="single" w:sz="8" w:space="0" w:color="auto"/>
              <w:right w:val="single" w:sz="8" w:space="0" w:color="auto"/>
            </w:tcBorders>
            <w:shd w:val="clear" w:color="auto" w:fill="auto"/>
            <w:noWrap/>
            <w:vAlign w:val="center"/>
            <w:hideMark/>
          </w:tcPr>
          <w:p w14:paraId="2DF800A6"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33.05</w:t>
            </w:r>
          </w:p>
        </w:tc>
        <w:tc>
          <w:tcPr>
            <w:tcW w:w="960" w:type="dxa"/>
            <w:tcBorders>
              <w:top w:val="nil"/>
              <w:left w:val="nil"/>
              <w:bottom w:val="single" w:sz="8" w:space="0" w:color="auto"/>
              <w:right w:val="single" w:sz="8" w:space="0" w:color="auto"/>
            </w:tcBorders>
            <w:shd w:val="clear" w:color="auto" w:fill="auto"/>
            <w:noWrap/>
            <w:vAlign w:val="center"/>
            <w:hideMark/>
          </w:tcPr>
          <w:p w14:paraId="1E3DACCF"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31.82</w:t>
            </w:r>
          </w:p>
        </w:tc>
        <w:tc>
          <w:tcPr>
            <w:tcW w:w="960" w:type="dxa"/>
            <w:tcBorders>
              <w:top w:val="nil"/>
              <w:left w:val="nil"/>
              <w:bottom w:val="single" w:sz="8" w:space="0" w:color="auto"/>
              <w:right w:val="single" w:sz="8" w:space="0" w:color="auto"/>
            </w:tcBorders>
            <w:shd w:val="clear" w:color="auto" w:fill="auto"/>
            <w:noWrap/>
            <w:vAlign w:val="center"/>
            <w:hideMark/>
          </w:tcPr>
          <w:p w14:paraId="3F1B4622"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29.18</w:t>
            </w:r>
          </w:p>
        </w:tc>
        <w:tc>
          <w:tcPr>
            <w:tcW w:w="960" w:type="dxa"/>
            <w:tcBorders>
              <w:top w:val="nil"/>
              <w:left w:val="nil"/>
              <w:bottom w:val="single" w:sz="8" w:space="0" w:color="auto"/>
              <w:right w:val="single" w:sz="8" w:space="0" w:color="auto"/>
            </w:tcBorders>
            <w:shd w:val="clear" w:color="auto" w:fill="auto"/>
            <w:noWrap/>
            <w:vAlign w:val="center"/>
            <w:hideMark/>
          </w:tcPr>
          <w:p w14:paraId="145E6464"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24.34</w:t>
            </w:r>
          </w:p>
        </w:tc>
        <w:tc>
          <w:tcPr>
            <w:tcW w:w="960" w:type="dxa"/>
            <w:tcBorders>
              <w:top w:val="nil"/>
              <w:left w:val="nil"/>
              <w:bottom w:val="single" w:sz="8" w:space="0" w:color="auto"/>
              <w:right w:val="single" w:sz="8" w:space="0" w:color="auto"/>
            </w:tcBorders>
            <w:shd w:val="clear" w:color="auto" w:fill="auto"/>
            <w:noWrap/>
            <w:vAlign w:val="center"/>
            <w:hideMark/>
          </w:tcPr>
          <w:p w14:paraId="043E023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16.24</w:t>
            </w:r>
          </w:p>
        </w:tc>
        <w:tc>
          <w:tcPr>
            <w:tcW w:w="960" w:type="dxa"/>
            <w:tcBorders>
              <w:top w:val="nil"/>
              <w:left w:val="nil"/>
              <w:bottom w:val="single" w:sz="8" w:space="0" w:color="auto"/>
              <w:right w:val="single" w:sz="8" w:space="0" w:color="auto"/>
            </w:tcBorders>
            <w:shd w:val="clear" w:color="auto" w:fill="auto"/>
            <w:noWrap/>
            <w:vAlign w:val="center"/>
            <w:hideMark/>
          </w:tcPr>
          <w:p w14:paraId="59E86A3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8.15</w:t>
            </w:r>
          </w:p>
        </w:tc>
        <w:tc>
          <w:tcPr>
            <w:tcW w:w="960" w:type="dxa"/>
            <w:tcBorders>
              <w:top w:val="nil"/>
              <w:left w:val="nil"/>
              <w:bottom w:val="single" w:sz="8" w:space="0" w:color="auto"/>
              <w:right w:val="single" w:sz="8" w:space="0" w:color="auto"/>
            </w:tcBorders>
            <w:shd w:val="clear" w:color="auto" w:fill="auto"/>
            <w:noWrap/>
            <w:vAlign w:val="center"/>
            <w:hideMark/>
          </w:tcPr>
          <w:p w14:paraId="443FEFE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3.14</w:t>
            </w:r>
          </w:p>
        </w:tc>
        <w:tc>
          <w:tcPr>
            <w:tcW w:w="960" w:type="dxa"/>
            <w:tcBorders>
              <w:top w:val="nil"/>
              <w:left w:val="nil"/>
              <w:bottom w:val="single" w:sz="8" w:space="0" w:color="auto"/>
              <w:right w:val="single" w:sz="8" w:space="0" w:color="auto"/>
            </w:tcBorders>
            <w:shd w:val="clear" w:color="auto" w:fill="auto"/>
            <w:noWrap/>
            <w:vAlign w:val="center"/>
            <w:hideMark/>
          </w:tcPr>
          <w:p w14:paraId="63E3AA5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1.45</w:t>
            </w:r>
          </w:p>
        </w:tc>
      </w:tr>
      <w:tr w:rsidR="00663CAF" w:rsidRPr="00663CAF" w14:paraId="131B7481"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3145AE"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LGV</w:t>
            </w:r>
          </w:p>
        </w:tc>
        <w:tc>
          <w:tcPr>
            <w:tcW w:w="960" w:type="dxa"/>
            <w:tcBorders>
              <w:top w:val="nil"/>
              <w:left w:val="nil"/>
              <w:bottom w:val="single" w:sz="8" w:space="0" w:color="auto"/>
              <w:right w:val="single" w:sz="8" w:space="0" w:color="auto"/>
            </w:tcBorders>
            <w:shd w:val="clear" w:color="auto" w:fill="auto"/>
            <w:noWrap/>
            <w:vAlign w:val="center"/>
            <w:hideMark/>
          </w:tcPr>
          <w:p w14:paraId="024B0420"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7.23</w:t>
            </w:r>
          </w:p>
        </w:tc>
        <w:tc>
          <w:tcPr>
            <w:tcW w:w="960" w:type="dxa"/>
            <w:tcBorders>
              <w:top w:val="nil"/>
              <w:left w:val="nil"/>
              <w:bottom w:val="single" w:sz="8" w:space="0" w:color="auto"/>
              <w:right w:val="single" w:sz="8" w:space="0" w:color="auto"/>
            </w:tcBorders>
            <w:shd w:val="clear" w:color="auto" w:fill="auto"/>
            <w:noWrap/>
            <w:vAlign w:val="center"/>
            <w:hideMark/>
          </w:tcPr>
          <w:p w14:paraId="12E9DFE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7.94</w:t>
            </w:r>
          </w:p>
        </w:tc>
        <w:tc>
          <w:tcPr>
            <w:tcW w:w="960" w:type="dxa"/>
            <w:tcBorders>
              <w:top w:val="nil"/>
              <w:left w:val="nil"/>
              <w:bottom w:val="single" w:sz="8" w:space="0" w:color="auto"/>
              <w:right w:val="single" w:sz="8" w:space="0" w:color="auto"/>
            </w:tcBorders>
            <w:shd w:val="clear" w:color="auto" w:fill="auto"/>
            <w:noWrap/>
            <w:vAlign w:val="center"/>
            <w:hideMark/>
          </w:tcPr>
          <w:p w14:paraId="31401F3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7.43</w:t>
            </w:r>
          </w:p>
        </w:tc>
        <w:tc>
          <w:tcPr>
            <w:tcW w:w="960" w:type="dxa"/>
            <w:tcBorders>
              <w:top w:val="nil"/>
              <w:left w:val="nil"/>
              <w:bottom w:val="single" w:sz="8" w:space="0" w:color="auto"/>
              <w:right w:val="single" w:sz="8" w:space="0" w:color="auto"/>
            </w:tcBorders>
            <w:shd w:val="clear" w:color="auto" w:fill="auto"/>
            <w:noWrap/>
            <w:vAlign w:val="center"/>
            <w:hideMark/>
          </w:tcPr>
          <w:p w14:paraId="03FAD14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6.60</w:t>
            </w:r>
          </w:p>
        </w:tc>
        <w:tc>
          <w:tcPr>
            <w:tcW w:w="960" w:type="dxa"/>
            <w:tcBorders>
              <w:top w:val="nil"/>
              <w:left w:val="nil"/>
              <w:bottom w:val="single" w:sz="8" w:space="0" w:color="auto"/>
              <w:right w:val="single" w:sz="8" w:space="0" w:color="auto"/>
            </w:tcBorders>
            <w:shd w:val="clear" w:color="auto" w:fill="auto"/>
            <w:noWrap/>
            <w:vAlign w:val="center"/>
            <w:hideMark/>
          </w:tcPr>
          <w:p w14:paraId="483B8F7F"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5.13</w:t>
            </w:r>
          </w:p>
        </w:tc>
        <w:tc>
          <w:tcPr>
            <w:tcW w:w="960" w:type="dxa"/>
            <w:tcBorders>
              <w:top w:val="nil"/>
              <w:left w:val="nil"/>
              <w:bottom w:val="single" w:sz="8" w:space="0" w:color="auto"/>
              <w:right w:val="single" w:sz="8" w:space="0" w:color="auto"/>
            </w:tcBorders>
            <w:shd w:val="clear" w:color="auto" w:fill="auto"/>
            <w:noWrap/>
            <w:vAlign w:val="center"/>
            <w:hideMark/>
          </w:tcPr>
          <w:p w14:paraId="2FFCDAE5"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3.17</w:t>
            </w:r>
          </w:p>
        </w:tc>
        <w:tc>
          <w:tcPr>
            <w:tcW w:w="960" w:type="dxa"/>
            <w:tcBorders>
              <w:top w:val="nil"/>
              <w:left w:val="nil"/>
              <w:bottom w:val="single" w:sz="8" w:space="0" w:color="auto"/>
              <w:right w:val="single" w:sz="8" w:space="0" w:color="auto"/>
            </w:tcBorders>
            <w:shd w:val="clear" w:color="auto" w:fill="auto"/>
            <w:noWrap/>
            <w:vAlign w:val="center"/>
            <w:hideMark/>
          </w:tcPr>
          <w:p w14:paraId="12666247"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1.47</w:t>
            </w:r>
          </w:p>
        </w:tc>
        <w:tc>
          <w:tcPr>
            <w:tcW w:w="960" w:type="dxa"/>
            <w:tcBorders>
              <w:top w:val="nil"/>
              <w:left w:val="nil"/>
              <w:bottom w:val="single" w:sz="8" w:space="0" w:color="auto"/>
              <w:right w:val="single" w:sz="8" w:space="0" w:color="auto"/>
            </w:tcBorders>
            <w:shd w:val="clear" w:color="auto" w:fill="auto"/>
            <w:noWrap/>
            <w:vAlign w:val="center"/>
            <w:hideMark/>
          </w:tcPr>
          <w:p w14:paraId="7CD50486"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0.76</w:t>
            </w:r>
          </w:p>
        </w:tc>
      </w:tr>
      <w:tr w:rsidR="00663CAF" w:rsidRPr="00663CAF" w14:paraId="275A3057"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513B07"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HGV</w:t>
            </w:r>
          </w:p>
        </w:tc>
        <w:tc>
          <w:tcPr>
            <w:tcW w:w="960" w:type="dxa"/>
            <w:tcBorders>
              <w:top w:val="nil"/>
              <w:left w:val="nil"/>
              <w:bottom w:val="single" w:sz="8" w:space="0" w:color="auto"/>
              <w:right w:val="single" w:sz="8" w:space="0" w:color="auto"/>
            </w:tcBorders>
            <w:shd w:val="clear" w:color="auto" w:fill="auto"/>
            <w:noWrap/>
            <w:vAlign w:val="center"/>
            <w:hideMark/>
          </w:tcPr>
          <w:p w14:paraId="0A523DEF"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7.26</w:t>
            </w:r>
          </w:p>
        </w:tc>
        <w:tc>
          <w:tcPr>
            <w:tcW w:w="960" w:type="dxa"/>
            <w:tcBorders>
              <w:top w:val="nil"/>
              <w:left w:val="nil"/>
              <w:bottom w:val="single" w:sz="8" w:space="0" w:color="auto"/>
              <w:right w:val="single" w:sz="8" w:space="0" w:color="auto"/>
            </w:tcBorders>
            <w:shd w:val="clear" w:color="auto" w:fill="auto"/>
            <w:noWrap/>
            <w:vAlign w:val="center"/>
            <w:hideMark/>
          </w:tcPr>
          <w:p w14:paraId="101EAAC1"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6.37</w:t>
            </w:r>
          </w:p>
        </w:tc>
        <w:tc>
          <w:tcPr>
            <w:tcW w:w="960" w:type="dxa"/>
            <w:tcBorders>
              <w:top w:val="nil"/>
              <w:left w:val="nil"/>
              <w:bottom w:val="single" w:sz="8" w:space="0" w:color="auto"/>
              <w:right w:val="single" w:sz="8" w:space="0" w:color="auto"/>
            </w:tcBorders>
            <w:shd w:val="clear" w:color="auto" w:fill="auto"/>
            <w:noWrap/>
            <w:vAlign w:val="center"/>
            <w:hideMark/>
          </w:tcPr>
          <w:p w14:paraId="0389790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6.27</w:t>
            </w:r>
          </w:p>
        </w:tc>
        <w:tc>
          <w:tcPr>
            <w:tcW w:w="960" w:type="dxa"/>
            <w:tcBorders>
              <w:top w:val="nil"/>
              <w:left w:val="nil"/>
              <w:bottom w:val="single" w:sz="8" w:space="0" w:color="auto"/>
              <w:right w:val="single" w:sz="8" w:space="0" w:color="auto"/>
            </w:tcBorders>
            <w:shd w:val="clear" w:color="auto" w:fill="auto"/>
            <w:noWrap/>
            <w:vAlign w:val="center"/>
            <w:hideMark/>
          </w:tcPr>
          <w:p w14:paraId="4BF5670C"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6.42</w:t>
            </w:r>
          </w:p>
        </w:tc>
        <w:tc>
          <w:tcPr>
            <w:tcW w:w="960" w:type="dxa"/>
            <w:tcBorders>
              <w:top w:val="nil"/>
              <w:left w:val="nil"/>
              <w:bottom w:val="single" w:sz="8" w:space="0" w:color="auto"/>
              <w:right w:val="single" w:sz="8" w:space="0" w:color="auto"/>
            </w:tcBorders>
            <w:shd w:val="clear" w:color="auto" w:fill="auto"/>
            <w:noWrap/>
            <w:vAlign w:val="center"/>
            <w:hideMark/>
          </w:tcPr>
          <w:p w14:paraId="207F1F36"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6.52</w:t>
            </w:r>
          </w:p>
        </w:tc>
        <w:tc>
          <w:tcPr>
            <w:tcW w:w="960" w:type="dxa"/>
            <w:tcBorders>
              <w:top w:val="nil"/>
              <w:left w:val="nil"/>
              <w:bottom w:val="single" w:sz="8" w:space="0" w:color="auto"/>
              <w:right w:val="single" w:sz="8" w:space="0" w:color="auto"/>
            </w:tcBorders>
            <w:shd w:val="clear" w:color="auto" w:fill="auto"/>
            <w:noWrap/>
            <w:vAlign w:val="center"/>
            <w:hideMark/>
          </w:tcPr>
          <w:p w14:paraId="47DD2B04"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6.63</w:t>
            </w:r>
          </w:p>
        </w:tc>
        <w:tc>
          <w:tcPr>
            <w:tcW w:w="960" w:type="dxa"/>
            <w:tcBorders>
              <w:top w:val="nil"/>
              <w:left w:val="nil"/>
              <w:bottom w:val="single" w:sz="8" w:space="0" w:color="auto"/>
              <w:right w:val="single" w:sz="8" w:space="0" w:color="auto"/>
            </w:tcBorders>
            <w:shd w:val="clear" w:color="auto" w:fill="auto"/>
            <w:noWrap/>
            <w:vAlign w:val="center"/>
            <w:hideMark/>
          </w:tcPr>
          <w:p w14:paraId="0AC80E7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6.78</w:t>
            </w:r>
          </w:p>
        </w:tc>
        <w:tc>
          <w:tcPr>
            <w:tcW w:w="960" w:type="dxa"/>
            <w:tcBorders>
              <w:top w:val="nil"/>
              <w:left w:val="nil"/>
              <w:bottom w:val="single" w:sz="8" w:space="0" w:color="auto"/>
              <w:right w:val="single" w:sz="8" w:space="0" w:color="auto"/>
            </w:tcBorders>
            <w:shd w:val="clear" w:color="auto" w:fill="auto"/>
            <w:noWrap/>
            <w:vAlign w:val="center"/>
            <w:hideMark/>
          </w:tcPr>
          <w:p w14:paraId="37DFFF84"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7.01</w:t>
            </w:r>
          </w:p>
        </w:tc>
      </w:tr>
      <w:tr w:rsidR="00663CAF" w:rsidRPr="00663CAF" w14:paraId="57BC486C"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FD34B9"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PSV</w:t>
            </w:r>
          </w:p>
        </w:tc>
        <w:tc>
          <w:tcPr>
            <w:tcW w:w="960" w:type="dxa"/>
            <w:tcBorders>
              <w:top w:val="nil"/>
              <w:left w:val="nil"/>
              <w:bottom w:val="single" w:sz="8" w:space="0" w:color="auto"/>
              <w:right w:val="single" w:sz="8" w:space="0" w:color="auto"/>
            </w:tcBorders>
            <w:shd w:val="clear" w:color="auto" w:fill="auto"/>
            <w:noWrap/>
            <w:vAlign w:val="center"/>
            <w:hideMark/>
          </w:tcPr>
          <w:p w14:paraId="11DC831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2.73</w:t>
            </w:r>
          </w:p>
        </w:tc>
        <w:tc>
          <w:tcPr>
            <w:tcW w:w="960" w:type="dxa"/>
            <w:tcBorders>
              <w:top w:val="nil"/>
              <w:left w:val="nil"/>
              <w:bottom w:val="single" w:sz="8" w:space="0" w:color="auto"/>
              <w:right w:val="single" w:sz="8" w:space="0" w:color="auto"/>
            </w:tcBorders>
            <w:shd w:val="clear" w:color="auto" w:fill="auto"/>
            <w:noWrap/>
            <w:vAlign w:val="center"/>
            <w:hideMark/>
          </w:tcPr>
          <w:p w14:paraId="539EA435"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1.98</w:t>
            </w:r>
          </w:p>
        </w:tc>
        <w:tc>
          <w:tcPr>
            <w:tcW w:w="960" w:type="dxa"/>
            <w:tcBorders>
              <w:top w:val="nil"/>
              <w:left w:val="nil"/>
              <w:bottom w:val="single" w:sz="8" w:space="0" w:color="auto"/>
              <w:right w:val="single" w:sz="8" w:space="0" w:color="auto"/>
            </w:tcBorders>
            <w:shd w:val="clear" w:color="auto" w:fill="auto"/>
            <w:noWrap/>
            <w:vAlign w:val="center"/>
            <w:hideMark/>
          </w:tcPr>
          <w:p w14:paraId="080E79B2"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1.74</w:t>
            </w:r>
          </w:p>
        </w:tc>
        <w:tc>
          <w:tcPr>
            <w:tcW w:w="960" w:type="dxa"/>
            <w:tcBorders>
              <w:top w:val="nil"/>
              <w:left w:val="nil"/>
              <w:bottom w:val="single" w:sz="8" w:space="0" w:color="auto"/>
              <w:right w:val="single" w:sz="8" w:space="0" w:color="auto"/>
            </w:tcBorders>
            <w:shd w:val="clear" w:color="auto" w:fill="auto"/>
            <w:noWrap/>
            <w:vAlign w:val="center"/>
            <w:hideMark/>
          </w:tcPr>
          <w:p w14:paraId="2E5F5F7B"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1.44</w:t>
            </w:r>
          </w:p>
        </w:tc>
        <w:tc>
          <w:tcPr>
            <w:tcW w:w="960" w:type="dxa"/>
            <w:tcBorders>
              <w:top w:val="nil"/>
              <w:left w:val="nil"/>
              <w:bottom w:val="single" w:sz="8" w:space="0" w:color="auto"/>
              <w:right w:val="single" w:sz="8" w:space="0" w:color="auto"/>
            </w:tcBorders>
            <w:shd w:val="clear" w:color="auto" w:fill="auto"/>
            <w:noWrap/>
            <w:vAlign w:val="center"/>
            <w:hideMark/>
          </w:tcPr>
          <w:p w14:paraId="1BDEC5E8"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1.27</w:t>
            </w:r>
          </w:p>
        </w:tc>
        <w:tc>
          <w:tcPr>
            <w:tcW w:w="960" w:type="dxa"/>
            <w:tcBorders>
              <w:top w:val="nil"/>
              <w:left w:val="nil"/>
              <w:bottom w:val="single" w:sz="8" w:space="0" w:color="auto"/>
              <w:right w:val="single" w:sz="8" w:space="0" w:color="auto"/>
            </w:tcBorders>
            <w:shd w:val="clear" w:color="auto" w:fill="auto"/>
            <w:noWrap/>
            <w:vAlign w:val="center"/>
            <w:hideMark/>
          </w:tcPr>
          <w:p w14:paraId="4C5B0F0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1.19</w:t>
            </w:r>
          </w:p>
        </w:tc>
        <w:tc>
          <w:tcPr>
            <w:tcW w:w="960" w:type="dxa"/>
            <w:tcBorders>
              <w:top w:val="nil"/>
              <w:left w:val="nil"/>
              <w:bottom w:val="single" w:sz="8" w:space="0" w:color="auto"/>
              <w:right w:val="single" w:sz="8" w:space="0" w:color="auto"/>
            </w:tcBorders>
            <w:shd w:val="clear" w:color="auto" w:fill="auto"/>
            <w:noWrap/>
            <w:vAlign w:val="center"/>
            <w:hideMark/>
          </w:tcPr>
          <w:p w14:paraId="5C5D4149"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1.16</w:t>
            </w:r>
          </w:p>
        </w:tc>
        <w:tc>
          <w:tcPr>
            <w:tcW w:w="960" w:type="dxa"/>
            <w:tcBorders>
              <w:top w:val="nil"/>
              <w:left w:val="nil"/>
              <w:bottom w:val="single" w:sz="8" w:space="0" w:color="auto"/>
              <w:right w:val="single" w:sz="8" w:space="0" w:color="auto"/>
            </w:tcBorders>
            <w:shd w:val="clear" w:color="auto" w:fill="auto"/>
            <w:noWrap/>
            <w:vAlign w:val="center"/>
            <w:hideMark/>
          </w:tcPr>
          <w:p w14:paraId="009E6604"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1.14</w:t>
            </w:r>
          </w:p>
        </w:tc>
      </w:tr>
      <w:tr w:rsidR="00663CAF" w:rsidRPr="00663CAF" w14:paraId="4A8EA3ED" w14:textId="77777777" w:rsidTr="00663CA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D332E13" w14:textId="77777777" w:rsidR="00663CAF" w:rsidRPr="00663CAF" w:rsidRDefault="00663CAF" w:rsidP="00663CAF">
            <w:pPr>
              <w:spacing w:after="0" w:line="240" w:lineRule="auto"/>
              <w:jc w:val="right"/>
              <w:rPr>
                <w:rFonts w:ascii="Arial" w:eastAsia="Times New Roman" w:hAnsi="Arial" w:cs="Arial"/>
                <w:b/>
                <w:bCs/>
                <w:color w:val="000000"/>
                <w:lang w:eastAsia="en-GB"/>
              </w:rPr>
            </w:pPr>
            <w:r w:rsidRPr="00663CAF">
              <w:rPr>
                <w:rFonts w:ascii="Arial" w:eastAsia="Times New Roman" w:hAnsi="Arial" w:cs="Arial"/>
                <w:b/>
                <w:bCs/>
                <w:color w:val="000000"/>
                <w:lang w:eastAsia="en-GB"/>
              </w:rPr>
              <w:t>Total</w:t>
            </w:r>
          </w:p>
        </w:tc>
        <w:tc>
          <w:tcPr>
            <w:tcW w:w="960" w:type="dxa"/>
            <w:tcBorders>
              <w:top w:val="nil"/>
              <w:left w:val="nil"/>
              <w:bottom w:val="single" w:sz="8" w:space="0" w:color="auto"/>
              <w:right w:val="single" w:sz="8" w:space="0" w:color="auto"/>
            </w:tcBorders>
            <w:shd w:val="clear" w:color="auto" w:fill="auto"/>
            <w:noWrap/>
            <w:vAlign w:val="center"/>
            <w:hideMark/>
          </w:tcPr>
          <w:p w14:paraId="5F7B8836"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50.26</w:t>
            </w:r>
          </w:p>
        </w:tc>
        <w:tc>
          <w:tcPr>
            <w:tcW w:w="960" w:type="dxa"/>
            <w:tcBorders>
              <w:top w:val="nil"/>
              <w:left w:val="nil"/>
              <w:bottom w:val="single" w:sz="8" w:space="0" w:color="auto"/>
              <w:right w:val="single" w:sz="8" w:space="0" w:color="auto"/>
            </w:tcBorders>
            <w:shd w:val="clear" w:color="auto" w:fill="auto"/>
            <w:noWrap/>
            <w:vAlign w:val="center"/>
            <w:hideMark/>
          </w:tcPr>
          <w:p w14:paraId="21255C75"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48.92</w:t>
            </w:r>
          </w:p>
        </w:tc>
        <w:tc>
          <w:tcPr>
            <w:tcW w:w="960" w:type="dxa"/>
            <w:tcBorders>
              <w:top w:val="nil"/>
              <w:left w:val="nil"/>
              <w:bottom w:val="single" w:sz="8" w:space="0" w:color="auto"/>
              <w:right w:val="single" w:sz="8" w:space="0" w:color="auto"/>
            </w:tcBorders>
            <w:shd w:val="clear" w:color="auto" w:fill="auto"/>
            <w:noWrap/>
            <w:vAlign w:val="center"/>
            <w:hideMark/>
          </w:tcPr>
          <w:p w14:paraId="3158AA01"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45.75</w:t>
            </w:r>
          </w:p>
        </w:tc>
        <w:tc>
          <w:tcPr>
            <w:tcW w:w="960" w:type="dxa"/>
            <w:tcBorders>
              <w:top w:val="nil"/>
              <w:left w:val="nil"/>
              <w:bottom w:val="single" w:sz="8" w:space="0" w:color="auto"/>
              <w:right w:val="single" w:sz="8" w:space="0" w:color="auto"/>
            </w:tcBorders>
            <w:shd w:val="clear" w:color="auto" w:fill="auto"/>
            <w:noWrap/>
            <w:vAlign w:val="center"/>
            <w:hideMark/>
          </w:tcPr>
          <w:p w14:paraId="317EB65D"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40.24</w:t>
            </w:r>
          </w:p>
        </w:tc>
        <w:tc>
          <w:tcPr>
            <w:tcW w:w="960" w:type="dxa"/>
            <w:tcBorders>
              <w:top w:val="nil"/>
              <w:left w:val="nil"/>
              <w:bottom w:val="single" w:sz="8" w:space="0" w:color="auto"/>
              <w:right w:val="single" w:sz="8" w:space="0" w:color="auto"/>
            </w:tcBorders>
            <w:shd w:val="clear" w:color="auto" w:fill="auto"/>
            <w:noWrap/>
            <w:vAlign w:val="center"/>
            <w:hideMark/>
          </w:tcPr>
          <w:p w14:paraId="6526EAFE"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30.90</w:t>
            </w:r>
          </w:p>
        </w:tc>
        <w:tc>
          <w:tcPr>
            <w:tcW w:w="960" w:type="dxa"/>
            <w:tcBorders>
              <w:top w:val="nil"/>
              <w:left w:val="nil"/>
              <w:bottom w:val="single" w:sz="8" w:space="0" w:color="auto"/>
              <w:right w:val="single" w:sz="8" w:space="0" w:color="auto"/>
            </w:tcBorders>
            <w:shd w:val="clear" w:color="auto" w:fill="auto"/>
            <w:noWrap/>
            <w:vAlign w:val="center"/>
            <w:hideMark/>
          </w:tcPr>
          <w:p w14:paraId="211210FB"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21.19</w:t>
            </w:r>
          </w:p>
        </w:tc>
        <w:tc>
          <w:tcPr>
            <w:tcW w:w="960" w:type="dxa"/>
            <w:tcBorders>
              <w:top w:val="nil"/>
              <w:left w:val="nil"/>
              <w:bottom w:val="single" w:sz="8" w:space="0" w:color="auto"/>
              <w:right w:val="single" w:sz="8" w:space="0" w:color="auto"/>
            </w:tcBorders>
            <w:shd w:val="clear" w:color="auto" w:fill="auto"/>
            <w:noWrap/>
            <w:vAlign w:val="center"/>
            <w:hideMark/>
          </w:tcPr>
          <w:p w14:paraId="4D222694"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15.02</w:t>
            </w:r>
          </w:p>
        </w:tc>
        <w:tc>
          <w:tcPr>
            <w:tcW w:w="960" w:type="dxa"/>
            <w:tcBorders>
              <w:top w:val="nil"/>
              <w:left w:val="nil"/>
              <w:bottom w:val="single" w:sz="8" w:space="0" w:color="auto"/>
              <w:right w:val="single" w:sz="8" w:space="0" w:color="auto"/>
            </w:tcBorders>
            <w:shd w:val="clear" w:color="auto" w:fill="auto"/>
            <w:noWrap/>
            <w:vAlign w:val="center"/>
            <w:hideMark/>
          </w:tcPr>
          <w:p w14:paraId="322EDADA" w14:textId="77777777" w:rsidR="00663CAF" w:rsidRPr="00663CAF" w:rsidRDefault="00663CAF" w:rsidP="00663CAF">
            <w:pPr>
              <w:spacing w:after="0" w:line="240" w:lineRule="auto"/>
              <w:jc w:val="right"/>
              <w:rPr>
                <w:rFonts w:ascii="Arial" w:eastAsia="Times New Roman" w:hAnsi="Arial" w:cs="Arial"/>
                <w:color w:val="000000"/>
                <w:lang w:eastAsia="en-GB"/>
              </w:rPr>
            </w:pPr>
            <w:r w:rsidRPr="00663CAF">
              <w:rPr>
                <w:rFonts w:ascii="Arial" w:eastAsia="Times New Roman" w:hAnsi="Arial" w:cs="Arial"/>
                <w:color w:val="000000"/>
                <w:lang w:eastAsia="en-GB"/>
              </w:rPr>
              <w:t>13.19</w:t>
            </w:r>
          </w:p>
        </w:tc>
      </w:tr>
    </w:tbl>
    <w:p w14:paraId="23463159" w14:textId="77777777" w:rsidR="009B12A9" w:rsidRDefault="009B12A9" w:rsidP="00F55F11">
      <w:pPr>
        <w:spacing w:line="360" w:lineRule="auto"/>
        <w:rPr>
          <w:rFonts w:ascii="Arial" w:eastAsia="Times New Roman" w:hAnsi="Arial" w:cs="Arial"/>
          <w:b/>
          <w:bCs/>
          <w:sz w:val="32"/>
          <w:szCs w:val="32"/>
          <w:lang w:eastAsia="en-GB"/>
        </w:rPr>
      </w:pPr>
    </w:p>
    <w:p w14:paraId="67B8CCE8" w14:textId="77777777" w:rsidR="00663CAF" w:rsidRDefault="00663CAF" w:rsidP="00663CAF">
      <w:pPr>
        <w:rPr>
          <w:rFonts w:ascii="Arial" w:eastAsia="Times New Roman" w:hAnsi="Arial" w:cs="Arial"/>
          <w:b/>
          <w:bCs/>
          <w:sz w:val="32"/>
          <w:szCs w:val="32"/>
          <w:lang w:eastAsia="en-GB"/>
        </w:rPr>
      </w:pPr>
    </w:p>
    <w:p w14:paraId="0A7628D3" w14:textId="77777777" w:rsidR="008A7A08" w:rsidRDefault="008A7A08" w:rsidP="008A7A08">
      <w:pPr>
        <w:tabs>
          <w:tab w:val="left" w:pos="1114"/>
        </w:tabs>
        <w:rPr>
          <w:lang w:eastAsia="en-GB"/>
        </w:rPr>
      </w:pPr>
    </w:p>
    <w:p w14:paraId="7208C9F1" w14:textId="1B1C9F18" w:rsidR="008A7A08" w:rsidRDefault="008A7A08" w:rsidP="008A7A08">
      <w:pPr>
        <w:rPr>
          <w:lang w:eastAsia="en-GB"/>
        </w:rPr>
      </w:pPr>
    </w:p>
    <w:p w14:paraId="34100ED2" w14:textId="77777777" w:rsidR="009B12A9" w:rsidRDefault="009B12A9" w:rsidP="008A7A08">
      <w:pPr>
        <w:rPr>
          <w:lang w:eastAsia="en-GB"/>
        </w:rPr>
      </w:pPr>
    </w:p>
    <w:p w14:paraId="140DEF72" w14:textId="77777777" w:rsidR="008A7A08" w:rsidRDefault="008A7A08" w:rsidP="008A7A08">
      <w:pPr>
        <w:tabs>
          <w:tab w:val="left" w:pos="679"/>
        </w:tabs>
        <w:rPr>
          <w:lang w:eastAsia="en-GB"/>
        </w:rPr>
      </w:pPr>
    </w:p>
    <w:p w14:paraId="25EDB186" w14:textId="77777777" w:rsidR="008A7A08" w:rsidRDefault="008A7A08" w:rsidP="008A7A08">
      <w:pPr>
        <w:rPr>
          <w:lang w:eastAsia="en-GB"/>
        </w:rPr>
      </w:pPr>
    </w:p>
    <w:p w14:paraId="56EB237C" w14:textId="167FAED4" w:rsidR="008A7A08" w:rsidRDefault="008A7A08" w:rsidP="008A7A08">
      <w:pPr>
        <w:tabs>
          <w:tab w:val="left" w:pos="1315"/>
        </w:tabs>
        <w:rPr>
          <w:lang w:eastAsia="en-GB"/>
        </w:rPr>
      </w:pPr>
      <w:r>
        <w:rPr>
          <w:lang w:eastAsia="en-GB"/>
        </w:rPr>
        <w:tab/>
      </w:r>
    </w:p>
    <w:p w14:paraId="1FAA3A8C" w14:textId="15BD33FA" w:rsidR="008A7A08" w:rsidRPr="008A7A08" w:rsidRDefault="008A7A08" w:rsidP="008A7A08">
      <w:pPr>
        <w:tabs>
          <w:tab w:val="left" w:pos="1315"/>
        </w:tabs>
        <w:rPr>
          <w:lang w:eastAsia="en-GB"/>
        </w:rPr>
        <w:sectPr w:rsidR="008A7A08" w:rsidRPr="008A7A08" w:rsidSect="009C5C56">
          <w:pgSz w:w="11906" w:h="16838"/>
          <w:pgMar w:top="1440" w:right="1440" w:bottom="1440" w:left="1440" w:header="708" w:footer="708" w:gutter="0"/>
          <w:cols w:space="708"/>
          <w:titlePg/>
          <w:docGrid w:linePitch="360"/>
        </w:sectPr>
      </w:pPr>
      <w:r>
        <w:rPr>
          <w:lang w:eastAsia="en-GB"/>
        </w:rPr>
        <w:tab/>
      </w:r>
    </w:p>
    <w:p w14:paraId="6469268C" w14:textId="46D1C5B8" w:rsidR="00AF6875" w:rsidRPr="006B589F" w:rsidRDefault="00AF6875" w:rsidP="006B589F">
      <w:pPr>
        <w:pStyle w:val="Heading1"/>
        <w:numPr>
          <w:ilvl w:val="0"/>
          <w:numId w:val="0"/>
        </w:numPr>
        <w:rPr>
          <w:rFonts w:ascii="Arial" w:eastAsia="Times New Roman" w:hAnsi="Arial" w:cs="Arial"/>
          <w:b/>
          <w:bCs/>
          <w:color w:val="auto"/>
          <w:sz w:val="28"/>
          <w:szCs w:val="28"/>
          <w:lang w:eastAsia="en-GB"/>
        </w:rPr>
      </w:pPr>
      <w:bookmarkStart w:id="209" w:name="_Toc66868951"/>
      <w:r w:rsidRPr="006B589F">
        <w:rPr>
          <w:rFonts w:ascii="Arial" w:eastAsia="Times New Roman" w:hAnsi="Arial" w:cs="Arial"/>
          <w:b/>
          <w:bCs/>
          <w:color w:val="auto"/>
          <w:sz w:val="28"/>
          <w:szCs w:val="28"/>
          <w:lang w:eastAsia="en-GB"/>
        </w:rPr>
        <w:t xml:space="preserve">Appendix </w:t>
      </w:r>
      <w:r w:rsidR="006B589F">
        <w:rPr>
          <w:rFonts w:ascii="Arial" w:eastAsia="Times New Roman" w:hAnsi="Arial" w:cs="Arial"/>
          <w:b/>
          <w:bCs/>
          <w:color w:val="auto"/>
          <w:sz w:val="28"/>
          <w:szCs w:val="28"/>
          <w:lang w:eastAsia="en-GB"/>
        </w:rPr>
        <w:t>H</w:t>
      </w:r>
      <w:r w:rsidRPr="006B589F">
        <w:rPr>
          <w:rFonts w:ascii="Arial" w:eastAsia="Times New Roman" w:hAnsi="Arial" w:cs="Arial"/>
          <w:b/>
          <w:bCs/>
          <w:color w:val="auto"/>
          <w:sz w:val="28"/>
          <w:szCs w:val="28"/>
          <w:lang w:eastAsia="en-GB"/>
        </w:rPr>
        <w:t xml:space="preserve"> – </w:t>
      </w:r>
      <w:r w:rsidR="00F44605" w:rsidRPr="006B589F">
        <w:rPr>
          <w:rFonts w:ascii="Arial" w:eastAsia="Times New Roman" w:hAnsi="Arial" w:cs="Arial"/>
          <w:b/>
          <w:bCs/>
          <w:color w:val="auto"/>
          <w:sz w:val="28"/>
          <w:szCs w:val="28"/>
          <w:lang w:eastAsia="en-GB"/>
        </w:rPr>
        <w:t>Life Cycle Plans</w:t>
      </w:r>
      <w:bookmarkEnd w:id="209"/>
    </w:p>
    <w:p w14:paraId="07B696D9" w14:textId="02C5BB1B" w:rsidR="00FF1D61" w:rsidRDefault="00FF1D61" w:rsidP="00AF6875">
      <w:pPr>
        <w:rPr>
          <w:rFonts w:ascii="Arial" w:eastAsia="Times New Roman" w:hAnsi="Arial" w:cs="Arial"/>
          <w:b/>
          <w:bCs/>
          <w:sz w:val="32"/>
          <w:szCs w:val="32"/>
          <w:lang w:eastAsia="en-GB"/>
        </w:rPr>
      </w:pPr>
    </w:p>
    <w:p w14:paraId="76A7BE17" w14:textId="1C347CE9" w:rsidR="00FF1D61" w:rsidRDefault="00FF1D61" w:rsidP="00AF6875">
      <w:pPr>
        <w:rPr>
          <w:rFonts w:ascii="Arial" w:eastAsia="Times New Roman" w:hAnsi="Arial" w:cs="Arial"/>
          <w:b/>
          <w:bCs/>
          <w:sz w:val="32"/>
          <w:szCs w:val="32"/>
          <w:lang w:eastAsia="en-GB"/>
        </w:rPr>
      </w:pPr>
    </w:p>
    <w:p w14:paraId="24A8A720" w14:textId="75203E1B" w:rsidR="00FF1D61" w:rsidRDefault="00FF1D61" w:rsidP="00AF6875">
      <w:pPr>
        <w:rPr>
          <w:rFonts w:ascii="Arial" w:eastAsia="Times New Roman" w:hAnsi="Arial" w:cs="Arial"/>
          <w:b/>
          <w:bCs/>
          <w:sz w:val="32"/>
          <w:szCs w:val="32"/>
          <w:lang w:eastAsia="en-GB"/>
        </w:rPr>
      </w:pPr>
    </w:p>
    <w:p w14:paraId="5DCAD88C" w14:textId="77777777" w:rsidR="00FF1D61" w:rsidRDefault="00FF1D61" w:rsidP="00AF6875">
      <w:pPr>
        <w:rPr>
          <w:rFonts w:ascii="Arial" w:eastAsia="Times New Roman" w:hAnsi="Arial" w:cs="Arial"/>
          <w:b/>
          <w:bCs/>
          <w:sz w:val="32"/>
          <w:szCs w:val="32"/>
          <w:lang w:eastAsia="en-GB"/>
        </w:rPr>
        <w:sectPr w:rsidR="00FF1D61" w:rsidSect="009C5C56">
          <w:pgSz w:w="11906" w:h="16838"/>
          <w:pgMar w:top="720" w:right="720" w:bottom="720" w:left="720" w:header="708" w:footer="708" w:gutter="0"/>
          <w:cols w:space="708"/>
          <w:titlePg/>
          <w:docGrid w:linePitch="360"/>
        </w:sectPr>
      </w:pPr>
    </w:p>
    <w:p w14:paraId="70FB7696" w14:textId="0E43E592" w:rsidR="00FF1D61" w:rsidRPr="0071734B" w:rsidRDefault="00FF1D61" w:rsidP="00AF6875">
      <w:pPr>
        <w:rPr>
          <w:rFonts w:ascii="Arial" w:eastAsia="Times New Roman" w:hAnsi="Arial" w:cs="Arial"/>
          <w:b/>
          <w:bCs/>
          <w:sz w:val="32"/>
          <w:szCs w:val="3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996"/>
        <w:gridCol w:w="1524"/>
        <w:gridCol w:w="784"/>
        <w:gridCol w:w="1108"/>
        <w:gridCol w:w="1009"/>
        <w:gridCol w:w="1095"/>
        <w:gridCol w:w="1122"/>
        <w:gridCol w:w="1008"/>
        <w:gridCol w:w="1042"/>
        <w:gridCol w:w="1132"/>
        <w:gridCol w:w="807"/>
        <w:gridCol w:w="1240"/>
      </w:tblGrid>
      <w:tr w:rsidR="002C7DA2" w:rsidRPr="00594589" w14:paraId="7ACD831D" w14:textId="77777777" w:rsidTr="002C7DA2">
        <w:trPr>
          <w:trHeight w:val="154"/>
          <w:tblHeader/>
        </w:trPr>
        <w:tc>
          <w:tcPr>
            <w:tcW w:w="0" w:type="auto"/>
            <w:gridSpan w:val="13"/>
            <w:shd w:val="clear" w:color="auto" w:fill="000099"/>
            <w:vAlign w:val="center"/>
          </w:tcPr>
          <w:p w14:paraId="60D587F4" w14:textId="70006130" w:rsidR="002C7DA2" w:rsidRPr="00E31091" w:rsidRDefault="002C7DA2" w:rsidP="002C7DA2">
            <w:pPr>
              <w:spacing w:after="0" w:line="240" w:lineRule="auto"/>
              <w:jc w:val="center"/>
              <w:rPr>
                <w:rFonts w:ascii="Arial" w:eastAsia="Times New Roman" w:hAnsi="Arial" w:cs="Arial"/>
                <w:b/>
                <w:bCs/>
                <w:color w:val="000000"/>
                <w:sz w:val="14"/>
                <w:szCs w:val="14"/>
                <w:lang w:eastAsia="en-GB"/>
              </w:rPr>
            </w:pPr>
            <w:r w:rsidRPr="002C7DA2">
              <w:rPr>
                <w:rFonts w:ascii="Arial" w:eastAsia="Times New Roman" w:hAnsi="Arial" w:cs="Arial"/>
                <w:b/>
                <w:bCs/>
                <w:color w:val="FFFFFF" w:themeColor="background1"/>
                <w:sz w:val="14"/>
                <w:szCs w:val="14"/>
                <w:lang w:eastAsia="en-GB"/>
              </w:rPr>
              <w:t>Unplanned Re-active</w:t>
            </w:r>
          </w:p>
        </w:tc>
      </w:tr>
      <w:tr w:rsidR="002C7DA2" w:rsidRPr="00594589" w14:paraId="095C0E78" w14:textId="77777777" w:rsidTr="002C7DA2">
        <w:trPr>
          <w:trHeight w:val="837"/>
          <w:tblHeader/>
        </w:trPr>
        <w:tc>
          <w:tcPr>
            <w:tcW w:w="0" w:type="auto"/>
            <w:shd w:val="clear" w:color="auto" w:fill="99CCFF"/>
            <w:vAlign w:val="center"/>
            <w:hideMark/>
          </w:tcPr>
          <w:p w14:paraId="6579CFC4" w14:textId="77777777" w:rsidR="00E31091" w:rsidRPr="00E31091" w:rsidRDefault="00E31091" w:rsidP="00E31091">
            <w:pPr>
              <w:spacing w:after="0" w:line="240" w:lineRule="auto"/>
              <w:rPr>
                <w:rFonts w:ascii="Arial" w:eastAsia="Times New Roman" w:hAnsi="Arial" w:cs="Arial"/>
                <w:b/>
                <w:bCs/>
                <w:color w:val="000099"/>
                <w:sz w:val="14"/>
                <w:szCs w:val="14"/>
                <w:lang w:eastAsia="en-GB"/>
              </w:rPr>
            </w:pPr>
            <w:r w:rsidRPr="00E31091">
              <w:rPr>
                <w:rFonts w:ascii="Arial" w:eastAsia="Times New Roman" w:hAnsi="Arial" w:cs="Arial"/>
                <w:b/>
                <w:bCs/>
                <w:color w:val="000099"/>
                <w:sz w:val="14"/>
                <w:szCs w:val="14"/>
                <w:lang w:eastAsia="en-GB"/>
              </w:rPr>
              <w:t>Year</w:t>
            </w:r>
          </w:p>
        </w:tc>
        <w:tc>
          <w:tcPr>
            <w:tcW w:w="0" w:type="auto"/>
            <w:shd w:val="clear" w:color="auto" w:fill="99CCFF"/>
            <w:vAlign w:val="center"/>
            <w:hideMark/>
          </w:tcPr>
          <w:p w14:paraId="0D248991" w14:textId="77777777" w:rsidR="00E31091" w:rsidRPr="00E31091" w:rsidRDefault="00E31091" w:rsidP="00E31091">
            <w:pPr>
              <w:spacing w:after="0" w:line="240" w:lineRule="auto"/>
              <w:rPr>
                <w:rFonts w:ascii="Arial" w:eastAsia="Times New Roman" w:hAnsi="Arial" w:cs="Arial"/>
                <w:b/>
                <w:bCs/>
                <w:color w:val="000099"/>
                <w:sz w:val="14"/>
                <w:szCs w:val="14"/>
                <w:lang w:eastAsia="en-GB"/>
              </w:rPr>
            </w:pPr>
            <w:r w:rsidRPr="00E31091">
              <w:rPr>
                <w:rFonts w:ascii="Arial" w:eastAsia="Times New Roman" w:hAnsi="Arial" w:cs="Arial"/>
                <w:b/>
                <w:bCs/>
                <w:color w:val="000099"/>
                <w:sz w:val="14"/>
                <w:szCs w:val="14"/>
                <w:lang w:eastAsia="en-GB"/>
              </w:rPr>
              <w:t>Repair / Maintenance</w:t>
            </w:r>
          </w:p>
        </w:tc>
        <w:tc>
          <w:tcPr>
            <w:tcW w:w="0" w:type="auto"/>
            <w:shd w:val="clear" w:color="auto" w:fill="99CCFF"/>
            <w:vAlign w:val="center"/>
            <w:hideMark/>
          </w:tcPr>
          <w:p w14:paraId="4DBE40B7" w14:textId="77777777" w:rsidR="00E31091" w:rsidRPr="00E31091" w:rsidRDefault="00E31091" w:rsidP="00E31091">
            <w:pPr>
              <w:spacing w:after="0" w:line="240" w:lineRule="auto"/>
              <w:rPr>
                <w:rFonts w:ascii="Arial" w:eastAsia="Times New Roman" w:hAnsi="Arial" w:cs="Arial"/>
                <w:b/>
                <w:bCs/>
                <w:color w:val="000099"/>
                <w:sz w:val="14"/>
                <w:szCs w:val="14"/>
                <w:lang w:eastAsia="en-GB"/>
              </w:rPr>
            </w:pPr>
            <w:r w:rsidRPr="00E31091">
              <w:rPr>
                <w:rFonts w:ascii="Arial" w:eastAsia="Times New Roman" w:hAnsi="Arial" w:cs="Arial"/>
                <w:b/>
                <w:bCs/>
                <w:color w:val="000099"/>
                <w:sz w:val="14"/>
                <w:szCs w:val="14"/>
                <w:lang w:eastAsia="en-GB"/>
              </w:rPr>
              <w:t>Traffic Management</w:t>
            </w:r>
          </w:p>
        </w:tc>
        <w:tc>
          <w:tcPr>
            <w:tcW w:w="0" w:type="auto"/>
            <w:shd w:val="clear" w:color="auto" w:fill="99CCFF"/>
            <w:vAlign w:val="center"/>
            <w:hideMark/>
          </w:tcPr>
          <w:p w14:paraId="16C5796F" w14:textId="77777777" w:rsidR="00E31091" w:rsidRPr="00E31091" w:rsidRDefault="00E31091" w:rsidP="00E31091">
            <w:pPr>
              <w:spacing w:after="0" w:line="240" w:lineRule="auto"/>
              <w:rPr>
                <w:rFonts w:ascii="Arial" w:eastAsia="Times New Roman" w:hAnsi="Arial" w:cs="Arial"/>
                <w:b/>
                <w:bCs/>
                <w:color w:val="000099"/>
                <w:sz w:val="14"/>
                <w:szCs w:val="14"/>
                <w:lang w:eastAsia="en-GB"/>
              </w:rPr>
            </w:pPr>
            <w:r w:rsidRPr="00E31091">
              <w:rPr>
                <w:rFonts w:ascii="Arial" w:eastAsia="Times New Roman" w:hAnsi="Arial" w:cs="Arial"/>
                <w:b/>
                <w:bCs/>
                <w:color w:val="000099"/>
                <w:sz w:val="14"/>
                <w:szCs w:val="14"/>
                <w:lang w:eastAsia="en-GB"/>
              </w:rPr>
              <w:t>Quantity</w:t>
            </w:r>
          </w:p>
        </w:tc>
        <w:tc>
          <w:tcPr>
            <w:tcW w:w="0" w:type="auto"/>
            <w:shd w:val="clear" w:color="auto" w:fill="99CCFF"/>
            <w:vAlign w:val="center"/>
            <w:hideMark/>
          </w:tcPr>
          <w:p w14:paraId="30D05FB5" w14:textId="77777777" w:rsidR="00E31091" w:rsidRPr="00E31091" w:rsidRDefault="00E31091" w:rsidP="00E31091">
            <w:pPr>
              <w:spacing w:after="0" w:line="240" w:lineRule="auto"/>
              <w:rPr>
                <w:rFonts w:ascii="Arial" w:eastAsia="Times New Roman" w:hAnsi="Arial" w:cs="Arial"/>
                <w:b/>
                <w:bCs/>
                <w:color w:val="000099"/>
                <w:sz w:val="14"/>
                <w:szCs w:val="14"/>
                <w:lang w:eastAsia="en-GB"/>
              </w:rPr>
            </w:pPr>
            <w:r w:rsidRPr="00E31091">
              <w:rPr>
                <w:rFonts w:ascii="Arial" w:eastAsia="Times New Roman" w:hAnsi="Arial" w:cs="Arial"/>
                <w:b/>
                <w:bCs/>
                <w:color w:val="000099"/>
                <w:sz w:val="14"/>
                <w:szCs w:val="14"/>
                <w:lang w:eastAsia="en-GB"/>
              </w:rPr>
              <w:t xml:space="preserve">Total tCO2 from traffic management </w:t>
            </w:r>
          </w:p>
        </w:tc>
        <w:tc>
          <w:tcPr>
            <w:tcW w:w="0" w:type="auto"/>
            <w:shd w:val="clear" w:color="auto" w:fill="99CCFF"/>
            <w:vAlign w:val="center"/>
            <w:hideMark/>
          </w:tcPr>
          <w:p w14:paraId="44F46810" w14:textId="77777777" w:rsidR="00E31091" w:rsidRPr="00E31091" w:rsidRDefault="00E31091" w:rsidP="00E31091">
            <w:pPr>
              <w:spacing w:after="0" w:line="240" w:lineRule="auto"/>
              <w:rPr>
                <w:rFonts w:ascii="Arial" w:eastAsia="Times New Roman" w:hAnsi="Arial" w:cs="Arial"/>
                <w:b/>
                <w:bCs/>
                <w:color w:val="000099"/>
                <w:sz w:val="14"/>
                <w:szCs w:val="14"/>
                <w:lang w:eastAsia="en-GB"/>
              </w:rPr>
            </w:pPr>
            <w:r w:rsidRPr="00E31091">
              <w:rPr>
                <w:rFonts w:ascii="Arial" w:eastAsia="Times New Roman" w:hAnsi="Arial" w:cs="Arial"/>
                <w:b/>
                <w:bCs/>
                <w:color w:val="000099"/>
                <w:sz w:val="14"/>
                <w:szCs w:val="14"/>
                <w:lang w:eastAsia="en-GB"/>
              </w:rPr>
              <w:t xml:space="preserve">Total discounted cost of CO2 emissions from TM </w:t>
            </w:r>
          </w:p>
        </w:tc>
        <w:tc>
          <w:tcPr>
            <w:tcW w:w="0" w:type="auto"/>
            <w:shd w:val="clear" w:color="auto" w:fill="99CCFF"/>
            <w:vAlign w:val="center"/>
            <w:hideMark/>
          </w:tcPr>
          <w:p w14:paraId="6F490853" w14:textId="77777777" w:rsidR="00E31091" w:rsidRPr="00E31091" w:rsidRDefault="00E31091" w:rsidP="00E31091">
            <w:pPr>
              <w:spacing w:after="0" w:line="240" w:lineRule="auto"/>
              <w:rPr>
                <w:rFonts w:ascii="Arial" w:eastAsia="Times New Roman" w:hAnsi="Arial" w:cs="Arial"/>
                <w:b/>
                <w:bCs/>
                <w:color w:val="000099"/>
                <w:sz w:val="14"/>
                <w:szCs w:val="14"/>
                <w:lang w:eastAsia="en-GB"/>
              </w:rPr>
            </w:pPr>
            <w:r w:rsidRPr="00E31091">
              <w:rPr>
                <w:rFonts w:ascii="Arial" w:eastAsia="Times New Roman" w:hAnsi="Arial" w:cs="Arial"/>
                <w:b/>
                <w:bCs/>
                <w:color w:val="000099"/>
                <w:sz w:val="14"/>
                <w:szCs w:val="14"/>
                <w:lang w:eastAsia="en-GB"/>
              </w:rPr>
              <w:t xml:space="preserve">tCO2 emitted from maintenance </w:t>
            </w:r>
          </w:p>
        </w:tc>
        <w:tc>
          <w:tcPr>
            <w:tcW w:w="0" w:type="auto"/>
            <w:shd w:val="clear" w:color="auto" w:fill="99CCFF"/>
            <w:vAlign w:val="center"/>
            <w:hideMark/>
          </w:tcPr>
          <w:p w14:paraId="5FD1422D" w14:textId="77777777" w:rsidR="00E31091" w:rsidRPr="00E31091" w:rsidRDefault="00E31091" w:rsidP="00E31091">
            <w:pPr>
              <w:spacing w:after="0" w:line="240" w:lineRule="auto"/>
              <w:rPr>
                <w:rFonts w:ascii="Arial" w:eastAsia="Times New Roman" w:hAnsi="Arial" w:cs="Arial"/>
                <w:b/>
                <w:bCs/>
                <w:color w:val="000099"/>
                <w:sz w:val="14"/>
                <w:szCs w:val="14"/>
                <w:lang w:eastAsia="en-GB"/>
              </w:rPr>
            </w:pPr>
            <w:r w:rsidRPr="00E31091">
              <w:rPr>
                <w:rFonts w:ascii="Arial" w:eastAsia="Times New Roman" w:hAnsi="Arial" w:cs="Arial"/>
                <w:b/>
                <w:bCs/>
                <w:color w:val="000099"/>
                <w:sz w:val="14"/>
                <w:szCs w:val="14"/>
                <w:lang w:eastAsia="en-GB"/>
              </w:rPr>
              <w:t>Discounted cost of  CO2  emitted during maintenance</w:t>
            </w:r>
          </w:p>
        </w:tc>
        <w:tc>
          <w:tcPr>
            <w:tcW w:w="0" w:type="auto"/>
            <w:shd w:val="clear" w:color="auto" w:fill="99CCFF"/>
            <w:vAlign w:val="center"/>
            <w:hideMark/>
          </w:tcPr>
          <w:p w14:paraId="79E49315" w14:textId="77777777" w:rsidR="00E31091" w:rsidRPr="00E31091" w:rsidRDefault="00E31091" w:rsidP="00E31091">
            <w:pPr>
              <w:spacing w:after="0" w:line="240" w:lineRule="auto"/>
              <w:rPr>
                <w:rFonts w:ascii="Arial" w:eastAsia="Times New Roman" w:hAnsi="Arial" w:cs="Arial"/>
                <w:b/>
                <w:bCs/>
                <w:color w:val="000099"/>
                <w:sz w:val="14"/>
                <w:szCs w:val="14"/>
                <w:lang w:eastAsia="en-GB"/>
              </w:rPr>
            </w:pPr>
            <w:r w:rsidRPr="00E31091">
              <w:rPr>
                <w:rFonts w:ascii="Arial" w:eastAsia="Times New Roman" w:hAnsi="Arial" w:cs="Arial"/>
                <w:b/>
                <w:bCs/>
                <w:color w:val="000099"/>
                <w:sz w:val="14"/>
                <w:szCs w:val="14"/>
                <w:lang w:eastAsia="en-GB"/>
              </w:rPr>
              <w:t>TOTAL Discounted Price of Carbon</w:t>
            </w:r>
          </w:p>
        </w:tc>
        <w:tc>
          <w:tcPr>
            <w:tcW w:w="0" w:type="auto"/>
            <w:shd w:val="clear" w:color="auto" w:fill="99CCFF"/>
            <w:vAlign w:val="center"/>
            <w:hideMark/>
          </w:tcPr>
          <w:p w14:paraId="50EB8B8F" w14:textId="77777777" w:rsidR="00E31091" w:rsidRPr="00E31091" w:rsidRDefault="00E31091" w:rsidP="00E31091">
            <w:pPr>
              <w:spacing w:after="0" w:line="240" w:lineRule="auto"/>
              <w:rPr>
                <w:rFonts w:ascii="Arial" w:eastAsia="Times New Roman" w:hAnsi="Arial" w:cs="Arial"/>
                <w:b/>
                <w:bCs/>
                <w:color w:val="000099"/>
                <w:sz w:val="14"/>
                <w:szCs w:val="14"/>
                <w:lang w:eastAsia="en-GB"/>
              </w:rPr>
            </w:pPr>
            <w:r w:rsidRPr="00E31091">
              <w:rPr>
                <w:rFonts w:ascii="Arial" w:eastAsia="Times New Roman" w:hAnsi="Arial" w:cs="Arial"/>
                <w:b/>
                <w:bCs/>
                <w:color w:val="000099"/>
                <w:sz w:val="14"/>
                <w:szCs w:val="14"/>
                <w:lang w:eastAsia="en-GB"/>
              </w:rPr>
              <w:t>Traffic Delay Costs</w:t>
            </w:r>
          </w:p>
        </w:tc>
        <w:tc>
          <w:tcPr>
            <w:tcW w:w="0" w:type="auto"/>
            <w:shd w:val="clear" w:color="auto" w:fill="99CCFF"/>
            <w:vAlign w:val="center"/>
            <w:hideMark/>
          </w:tcPr>
          <w:p w14:paraId="7755BB65" w14:textId="77777777" w:rsidR="00E31091" w:rsidRPr="00E31091" w:rsidRDefault="00E31091" w:rsidP="00E31091">
            <w:pPr>
              <w:spacing w:after="0" w:line="240" w:lineRule="auto"/>
              <w:rPr>
                <w:rFonts w:ascii="Arial" w:eastAsia="Times New Roman" w:hAnsi="Arial" w:cs="Arial"/>
                <w:b/>
                <w:bCs/>
                <w:color w:val="000099"/>
                <w:sz w:val="14"/>
                <w:szCs w:val="14"/>
                <w:lang w:eastAsia="en-GB"/>
              </w:rPr>
            </w:pPr>
            <w:r w:rsidRPr="00E31091">
              <w:rPr>
                <w:rFonts w:ascii="Arial" w:eastAsia="Times New Roman" w:hAnsi="Arial" w:cs="Arial"/>
                <w:b/>
                <w:bCs/>
                <w:color w:val="000099"/>
                <w:sz w:val="14"/>
                <w:szCs w:val="14"/>
                <w:lang w:eastAsia="en-GB"/>
              </w:rPr>
              <w:t>Discounted Traffic Delay Cost</w:t>
            </w:r>
          </w:p>
        </w:tc>
        <w:tc>
          <w:tcPr>
            <w:tcW w:w="0" w:type="auto"/>
            <w:shd w:val="clear" w:color="auto" w:fill="99CCFF"/>
            <w:vAlign w:val="center"/>
            <w:hideMark/>
          </w:tcPr>
          <w:p w14:paraId="2F0318B7" w14:textId="77777777" w:rsidR="00E31091" w:rsidRPr="00E31091" w:rsidRDefault="00E31091" w:rsidP="00E31091">
            <w:pPr>
              <w:spacing w:after="0" w:line="240" w:lineRule="auto"/>
              <w:rPr>
                <w:rFonts w:ascii="Arial" w:eastAsia="Times New Roman" w:hAnsi="Arial" w:cs="Arial"/>
                <w:b/>
                <w:bCs/>
                <w:color w:val="000099"/>
                <w:sz w:val="14"/>
                <w:szCs w:val="14"/>
                <w:lang w:eastAsia="en-GB"/>
              </w:rPr>
            </w:pPr>
            <w:r w:rsidRPr="00E31091">
              <w:rPr>
                <w:rFonts w:ascii="Arial" w:eastAsia="Times New Roman" w:hAnsi="Arial" w:cs="Arial"/>
                <w:b/>
                <w:bCs/>
                <w:color w:val="000099"/>
                <w:sz w:val="14"/>
                <w:szCs w:val="14"/>
                <w:lang w:eastAsia="en-GB"/>
              </w:rPr>
              <w:t>Scheme Costs</w:t>
            </w:r>
          </w:p>
        </w:tc>
        <w:tc>
          <w:tcPr>
            <w:tcW w:w="0" w:type="auto"/>
            <w:shd w:val="clear" w:color="auto" w:fill="99CCFF"/>
            <w:vAlign w:val="center"/>
            <w:hideMark/>
          </w:tcPr>
          <w:p w14:paraId="24D7E43F" w14:textId="77777777" w:rsidR="00E31091" w:rsidRPr="00E31091" w:rsidRDefault="00E31091" w:rsidP="00E31091">
            <w:pPr>
              <w:spacing w:after="0" w:line="240" w:lineRule="auto"/>
              <w:rPr>
                <w:rFonts w:ascii="Arial" w:eastAsia="Times New Roman" w:hAnsi="Arial" w:cs="Arial"/>
                <w:b/>
                <w:bCs/>
                <w:color w:val="000099"/>
                <w:sz w:val="14"/>
                <w:szCs w:val="14"/>
                <w:lang w:eastAsia="en-GB"/>
              </w:rPr>
            </w:pPr>
            <w:r w:rsidRPr="00E31091">
              <w:rPr>
                <w:rFonts w:ascii="Arial" w:eastAsia="Times New Roman" w:hAnsi="Arial" w:cs="Arial"/>
                <w:b/>
                <w:bCs/>
                <w:color w:val="000099"/>
                <w:sz w:val="14"/>
                <w:szCs w:val="14"/>
                <w:lang w:eastAsia="en-GB"/>
              </w:rPr>
              <w:t>Discounted Scheme Cost</w:t>
            </w:r>
          </w:p>
        </w:tc>
      </w:tr>
      <w:tr w:rsidR="00594589" w:rsidRPr="00594589" w14:paraId="40BFC449" w14:textId="77777777" w:rsidTr="00594589">
        <w:trPr>
          <w:trHeight w:val="300"/>
        </w:trPr>
        <w:tc>
          <w:tcPr>
            <w:tcW w:w="0" w:type="auto"/>
            <w:shd w:val="clear" w:color="auto" w:fill="auto"/>
            <w:vAlign w:val="center"/>
            <w:hideMark/>
          </w:tcPr>
          <w:p w14:paraId="2BA3D34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w:t>
            </w:r>
          </w:p>
        </w:tc>
        <w:tc>
          <w:tcPr>
            <w:tcW w:w="0" w:type="auto"/>
            <w:shd w:val="clear" w:color="auto" w:fill="auto"/>
            <w:vAlign w:val="center"/>
            <w:hideMark/>
          </w:tcPr>
          <w:p w14:paraId="46EE3CA4"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vAlign w:val="center"/>
            <w:hideMark/>
          </w:tcPr>
          <w:p w14:paraId="3C99293C"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vAlign w:val="center"/>
            <w:hideMark/>
          </w:tcPr>
          <w:p w14:paraId="5ACFAB7A"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vAlign w:val="center"/>
            <w:hideMark/>
          </w:tcPr>
          <w:p w14:paraId="6BF24880"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8D446E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vAlign w:val="center"/>
            <w:hideMark/>
          </w:tcPr>
          <w:p w14:paraId="12B0845A"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8D23D4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485725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E8000CC"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2FAB446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586B5F3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2A314F6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6659E36D" w14:textId="77777777" w:rsidTr="00594589">
        <w:trPr>
          <w:trHeight w:val="300"/>
        </w:trPr>
        <w:tc>
          <w:tcPr>
            <w:tcW w:w="0" w:type="auto"/>
            <w:shd w:val="clear" w:color="auto" w:fill="auto"/>
            <w:noWrap/>
            <w:vAlign w:val="bottom"/>
            <w:hideMark/>
          </w:tcPr>
          <w:p w14:paraId="17DA024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w:t>
            </w:r>
          </w:p>
        </w:tc>
        <w:tc>
          <w:tcPr>
            <w:tcW w:w="0" w:type="auto"/>
            <w:shd w:val="clear" w:color="auto" w:fill="auto"/>
            <w:noWrap/>
            <w:vAlign w:val="bottom"/>
            <w:hideMark/>
          </w:tcPr>
          <w:p w14:paraId="21955A5F"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9B8B16B"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D7B5DF1"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0CFBAFF"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C45974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4CAA744"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D7F8F0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19EE9A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8761A36"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55D8571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27,158.31 </w:t>
            </w:r>
          </w:p>
        </w:tc>
        <w:tc>
          <w:tcPr>
            <w:tcW w:w="0" w:type="auto"/>
            <w:shd w:val="clear" w:color="auto" w:fill="auto"/>
            <w:noWrap/>
            <w:vAlign w:val="bottom"/>
            <w:hideMark/>
          </w:tcPr>
          <w:p w14:paraId="67920683"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6810C4C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5BAB3096" w14:textId="77777777" w:rsidTr="00594589">
        <w:trPr>
          <w:trHeight w:val="300"/>
        </w:trPr>
        <w:tc>
          <w:tcPr>
            <w:tcW w:w="0" w:type="auto"/>
            <w:shd w:val="clear" w:color="auto" w:fill="auto"/>
            <w:vAlign w:val="center"/>
            <w:hideMark/>
          </w:tcPr>
          <w:p w14:paraId="2176C45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w:t>
            </w:r>
          </w:p>
        </w:tc>
        <w:tc>
          <w:tcPr>
            <w:tcW w:w="0" w:type="auto"/>
            <w:shd w:val="clear" w:color="auto" w:fill="auto"/>
            <w:noWrap/>
            <w:vAlign w:val="bottom"/>
            <w:hideMark/>
          </w:tcPr>
          <w:p w14:paraId="6456D4C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Expansion Joints</w:t>
            </w:r>
          </w:p>
        </w:tc>
        <w:tc>
          <w:tcPr>
            <w:tcW w:w="0" w:type="auto"/>
            <w:shd w:val="clear" w:color="auto" w:fill="auto"/>
            <w:noWrap/>
            <w:vAlign w:val="bottom"/>
            <w:hideMark/>
          </w:tcPr>
          <w:p w14:paraId="722CF52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Road Closure - Night</w:t>
            </w:r>
          </w:p>
        </w:tc>
        <w:tc>
          <w:tcPr>
            <w:tcW w:w="0" w:type="auto"/>
            <w:shd w:val="clear" w:color="auto" w:fill="auto"/>
            <w:noWrap/>
            <w:vAlign w:val="bottom"/>
            <w:hideMark/>
          </w:tcPr>
          <w:p w14:paraId="41C6FCB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w:t>
            </w:r>
          </w:p>
        </w:tc>
        <w:tc>
          <w:tcPr>
            <w:tcW w:w="0" w:type="auto"/>
            <w:shd w:val="clear" w:color="auto" w:fill="auto"/>
            <w:noWrap/>
            <w:vAlign w:val="bottom"/>
            <w:hideMark/>
          </w:tcPr>
          <w:p w14:paraId="09D8EC7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9.35</w:t>
            </w:r>
          </w:p>
        </w:tc>
        <w:tc>
          <w:tcPr>
            <w:tcW w:w="0" w:type="auto"/>
            <w:shd w:val="clear" w:color="auto" w:fill="auto"/>
            <w:noWrap/>
            <w:vAlign w:val="bottom"/>
            <w:hideMark/>
          </w:tcPr>
          <w:p w14:paraId="61F3723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£724.77</w:t>
            </w:r>
          </w:p>
        </w:tc>
        <w:tc>
          <w:tcPr>
            <w:tcW w:w="0" w:type="auto"/>
            <w:shd w:val="clear" w:color="auto" w:fill="auto"/>
            <w:noWrap/>
            <w:vAlign w:val="bottom"/>
            <w:hideMark/>
          </w:tcPr>
          <w:p w14:paraId="537230B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7.29</w:t>
            </w:r>
          </w:p>
        </w:tc>
        <w:tc>
          <w:tcPr>
            <w:tcW w:w="0" w:type="auto"/>
            <w:shd w:val="clear" w:color="auto" w:fill="auto"/>
            <w:noWrap/>
            <w:vAlign w:val="bottom"/>
            <w:hideMark/>
          </w:tcPr>
          <w:p w14:paraId="5EC3391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£569.60</w:t>
            </w:r>
          </w:p>
        </w:tc>
        <w:tc>
          <w:tcPr>
            <w:tcW w:w="0" w:type="auto"/>
            <w:shd w:val="clear" w:color="auto" w:fill="auto"/>
            <w:noWrap/>
            <w:vAlign w:val="bottom"/>
            <w:hideMark/>
          </w:tcPr>
          <w:p w14:paraId="0272F19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£1,294.37</w:t>
            </w:r>
          </w:p>
        </w:tc>
        <w:tc>
          <w:tcPr>
            <w:tcW w:w="0" w:type="auto"/>
            <w:shd w:val="clear" w:color="auto" w:fill="auto"/>
            <w:noWrap/>
            <w:vAlign w:val="bottom"/>
            <w:hideMark/>
          </w:tcPr>
          <w:p w14:paraId="0EAA0DF6"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2CE6586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BD9730F"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£20,097</w:t>
            </w:r>
          </w:p>
        </w:tc>
        <w:tc>
          <w:tcPr>
            <w:tcW w:w="0" w:type="auto"/>
            <w:shd w:val="clear" w:color="auto" w:fill="auto"/>
            <w:noWrap/>
            <w:vAlign w:val="bottom"/>
            <w:hideMark/>
          </w:tcPr>
          <w:p w14:paraId="001FB68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18,760.52 </w:t>
            </w:r>
          </w:p>
        </w:tc>
      </w:tr>
      <w:tr w:rsidR="00594589" w:rsidRPr="00E31091" w14:paraId="16DB1E5A" w14:textId="77777777" w:rsidTr="00594589">
        <w:trPr>
          <w:trHeight w:val="300"/>
        </w:trPr>
        <w:tc>
          <w:tcPr>
            <w:tcW w:w="0" w:type="auto"/>
            <w:shd w:val="clear" w:color="auto" w:fill="auto"/>
            <w:noWrap/>
            <w:vAlign w:val="bottom"/>
            <w:hideMark/>
          </w:tcPr>
          <w:p w14:paraId="5173E3E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w:t>
            </w:r>
          </w:p>
        </w:tc>
        <w:tc>
          <w:tcPr>
            <w:tcW w:w="0" w:type="auto"/>
            <w:shd w:val="clear" w:color="auto" w:fill="auto"/>
            <w:noWrap/>
            <w:vAlign w:val="bottom"/>
            <w:hideMark/>
          </w:tcPr>
          <w:p w14:paraId="65F9FA7D"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20B7FC0"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E30C9A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0B4205F"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94AB22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1A1739D"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9DD01A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E95900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AC24784"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5A3E3B9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207FEE63"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66E9151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59B2AD78" w14:textId="77777777" w:rsidTr="00594589">
        <w:trPr>
          <w:trHeight w:val="300"/>
        </w:trPr>
        <w:tc>
          <w:tcPr>
            <w:tcW w:w="0" w:type="auto"/>
            <w:shd w:val="clear" w:color="auto" w:fill="auto"/>
            <w:vAlign w:val="center"/>
            <w:hideMark/>
          </w:tcPr>
          <w:p w14:paraId="6F2813F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4</w:t>
            </w:r>
          </w:p>
        </w:tc>
        <w:tc>
          <w:tcPr>
            <w:tcW w:w="0" w:type="auto"/>
            <w:shd w:val="clear" w:color="auto" w:fill="auto"/>
            <w:noWrap/>
            <w:vAlign w:val="bottom"/>
            <w:hideMark/>
          </w:tcPr>
          <w:p w14:paraId="6F940B67"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D8672AB"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9E9D486"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A8B00AF"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1A5F18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63055A3"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752168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336D10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8FD8B73"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11DBA46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23FC7C9"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53E029D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0D1501A4" w14:textId="77777777" w:rsidTr="00594589">
        <w:trPr>
          <w:trHeight w:val="300"/>
        </w:trPr>
        <w:tc>
          <w:tcPr>
            <w:tcW w:w="0" w:type="auto"/>
            <w:shd w:val="clear" w:color="auto" w:fill="auto"/>
            <w:noWrap/>
            <w:vAlign w:val="bottom"/>
            <w:hideMark/>
          </w:tcPr>
          <w:p w14:paraId="36B5B88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5</w:t>
            </w:r>
          </w:p>
        </w:tc>
        <w:tc>
          <w:tcPr>
            <w:tcW w:w="0" w:type="auto"/>
            <w:shd w:val="clear" w:color="auto" w:fill="auto"/>
            <w:noWrap/>
            <w:vAlign w:val="bottom"/>
            <w:hideMark/>
          </w:tcPr>
          <w:p w14:paraId="7475B889"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3354C44"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EBBA725"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007F32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C073E2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CE795F1"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B6FEE2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00F4EF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6543D35"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58BCE2E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11,833.45 </w:t>
            </w:r>
          </w:p>
        </w:tc>
        <w:tc>
          <w:tcPr>
            <w:tcW w:w="0" w:type="auto"/>
            <w:shd w:val="clear" w:color="auto" w:fill="auto"/>
            <w:noWrap/>
            <w:vAlign w:val="bottom"/>
            <w:hideMark/>
          </w:tcPr>
          <w:p w14:paraId="615ACC01"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735132C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6D0E79B5" w14:textId="77777777" w:rsidTr="00594589">
        <w:trPr>
          <w:trHeight w:val="300"/>
        </w:trPr>
        <w:tc>
          <w:tcPr>
            <w:tcW w:w="0" w:type="auto"/>
            <w:shd w:val="clear" w:color="auto" w:fill="auto"/>
            <w:vAlign w:val="center"/>
            <w:hideMark/>
          </w:tcPr>
          <w:p w14:paraId="79EC96D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w:t>
            </w:r>
          </w:p>
        </w:tc>
        <w:tc>
          <w:tcPr>
            <w:tcW w:w="0" w:type="auto"/>
            <w:shd w:val="clear" w:color="auto" w:fill="auto"/>
            <w:noWrap/>
            <w:vAlign w:val="bottom"/>
            <w:hideMark/>
          </w:tcPr>
          <w:p w14:paraId="04649586"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1C8E543"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30FFBE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740A2F8"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5B8BED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B7E012B"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BFF97E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773451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C2F85AF"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2628791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22,866.57 </w:t>
            </w:r>
          </w:p>
        </w:tc>
        <w:tc>
          <w:tcPr>
            <w:tcW w:w="0" w:type="auto"/>
            <w:shd w:val="clear" w:color="auto" w:fill="auto"/>
            <w:noWrap/>
            <w:vAlign w:val="bottom"/>
            <w:hideMark/>
          </w:tcPr>
          <w:p w14:paraId="79BA647C"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7EADCFE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5F63D41F" w14:textId="77777777" w:rsidTr="00594589">
        <w:trPr>
          <w:trHeight w:val="300"/>
        </w:trPr>
        <w:tc>
          <w:tcPr>
            <w:tcW w:w="0" w:type="auto"/>
            <w:shd w:val="clear" w:color="auto" w:fill="auto"/>
            <w:noWrap/>
            <w:vAlign w:val="bottom"/>
            <w:hideMark/>
          </w:tcPr>
          <w:p w14:paraId="5F60010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w:t>
            </w:r>
          </w:p>
        </w:tc>
        <w:tc>
          <w:tcPr>
            <w:tcW w:w="0" w:type="auto"/>
            <w:shd w:val="clear" w:color="auto" w:fill="auto"/>
            <w:noWrap/>
            <w:vAlign w:val="bottom"/>
            <w:hideMark/>
          </w:tcPr>
          <w:p w14:paraId="01142F2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Bearings</w:t>
            </w:r>
          </w:p>
        </w:tc>
        <w:tc>
          <w:tcPr>
            <w:tcW w:w="0" w:type="auto"/>
            <w:shd w:val="clear" w:color="auto" w:fill="auto"/>
            <w:noWrap/>
            <w:vAlign w:val="bottom"/>
            <w:hideMark/>
          </w:tcPr>
          <w:p w14:paraId="7E61BB3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0657205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w:t>
            </w:r>
          </w:p>
        </w:tc>
        <w:tc>
          <w:tcPr>
            <w:tcW w:w="0" w:type="auto"/>
            <w:shd w:val="clear" w:color="auto" w:fill="auto"/>
            <w:noWrap/>
            <w:vAlign w:val="bottom"/>
            <w:hideMark/>
          </w:tcPr>
          <w:p w14:paraId="57809161"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A56260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5FDDB0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22.825</w:t>
            </w:r>
          </w:p>
        </w:tc>
        <w:tc>
          <w:tcPr>
            <w:tcW w:w="0" w:type="auto"/>
            <w:shd w:val="clear" w:color="auto" w:fill="auto"/>
            <w:noWrap/>
            <w:vAlign w:val="bottom"/>
            <w:hideMark/>
          </w:tcPr>
          <w:p w14:paraId="06C9229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£1,622.70</w:t>
            </w:r>
          </w:p>
        </w:tc>
        <w:tc>
          <w:tcPr>
            <w:tcW w:w="0" w:type="auto"/>
            <w:shd w:val="clear" w:color="auto" w:fill="auto"/>
            <w:noWrap/>
            <w:vAlign w:val="bottom"/>
            <w:hideMark/>
          </w:tcPr>
          <w:p w14:paraId="6D41D74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£1,622.70</w:t>
            </w:r>
          </w:p>
        </w:tc>
        <w:tc>
          <w:tcPr>
            <w:tcW w:w="0" w:type="auto"/>
            <w:shd w:val="clear" w:color="auto" w:fill="auto"/>
            <w:noWrap/>
            <w:vAlign w:val="bottom"/>
            <w:hideMark/>
          </w:tcPr>
          <w:p w14:paraId="11EC6409"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34C66B6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B127EB2"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£137,423</w:t>
            </w:r>
          </w:p>
        </w:tc>
        <w:tc>
          <w:tcPr>
            <w:tcW w:w="0" w:type="auto"/>
            <w:shd w:val="clear" w:color="auto" w:fill="auto"/>
            <w:noWrap/>
            <w:vAlign w:val="bottom"/>
            <w:hideMark/>
          </w:tcPr>
          <w:p w14:paraId="4F93425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108,013.16 </w:t>
            </w:r>
          </w:p>
        </w:tc>
      </w:tr>
      <w:tr w:rsidR="00594589" w:rsidRPr="00E31091" w14:paraId="42D8FAE9" w14:textId="77777777" w:rsidTr="00594589">
        <w:trPr>
          <w:trHeight w:val="300"/>
        </w:trPr>
        <w:tc>
          <w:tcPr>
            <w:tcW w:w="0" w:type="auto"/>
            <w:shd w:val="clear" w:color="auto" w:fill="auto"/>
            <w:vAlign w:val="center"/>
            <w:hideMark/>
          </w:tcPr>
          <w:p w14:paraId="13CD9A0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8</w:t>
            </w:r>
          </w:p>
        </w:tc>
        <w:tc>
          <w:tcPr>
            <w:tcW w:w="0" w:type="auto"/>
            <w:shd w:val="clear" w:color="auto" w:fill="auto"/>
            <w:noWrap/>
            <w:vAlign w:val="bottom"/>
            <w:hideMark/>
          </w:tcPr>
          <w:p w14:paraId="519AE68B"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E8B40D5"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F42F927"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75D3BD6"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ECD658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8BC84EC"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34410E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549261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2480938"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2096654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44B88759"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762D4C6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7944A535" w14:textId="77777777" w:rsidTr="00594589">
        <w:trPr>
          <w:trHeight w:val="300"/>
        </w:trPr>
        <w:tc>
          <w:tcPr>
            <w:tcW w:w="0" w:type="auto"/>
            <w:shd w:val="clear" w:color="auto" w:fill="auto"/>
            <w:noWrap/>
            <w:vAlign w:val="bottom"/>
            <w:hideMark/>
          </w:tcPr>
          <w:p w14:paraId="191EA14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9</w:t>
            </w:r>
          </w:p>
        </w:tc>
        <w:tc>
          <w:tcPr>
            <w:tcW w:w="0" w:type="auto"/>
            <w:shd w:val="clear" w:color="auto" w:fill="auto"/>
            <w:noWrap/>
            <w:vAlign w:val="bottom"/>
            <w:hideMark/>
          </w:tcPr>
          <w:p w14:paraId="471DD218"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E11D07D"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C782938"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8D23311"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2FDF86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42F7078"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AFA786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5E99B8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DFF4B0D"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05EF0B7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E98851D"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7C37870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417FF58A" w14:textId="77777777" w:rsidTr="00594589">
        <w:trPr>
          <w:trHeight w:val="300"/>
        </w:trPr>
        <w:tc>
          <w:tcPr>
            <w:tcW w:w="0" w:type="auto"/>
            <w:shd w:val="clear" w:color="auto" w:fill="auto"/>
            <w:vAlign w:val="center"/>
            <w:hideMark/>
          </w:tcPr>
          <w:p w14:paraId="5982D7F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10</w:t>
            </w:r>
          </w:p>
        </w:tc>
        <w:tc>
          <w:tcPr>
            <w:tcW w:w="0" w:type="auto"/>
            <w:shd w:val="clear" w:color="auto" w:fill="auto"/>
            <w:noWrap/>
            <w:vAlign w:val="bottom"/>
            <w:hideMark/>
          </w:tcPr>
          <w:p w14:paraId="0BA4065C"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E94B2EB"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9A09D64"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1C2CBC3"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90FC7C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D7062F5"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B910AE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65CE93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56C730C"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1C865B7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9,963.45 </w:t>
            </w:r>
          </w:p>
        </w:tc>
        <w:tc>
          <w:tcPr>
            <w:tcW w:w="0" w:type="auto"/>
            <w:shd w:val="clear" w:color="auto" w:fill="auto"/>
            <w:noWrap/>
            <w:vAlign w:val="bottom"/>
            <w:hideMark/>
          </w:tcPr>
          <w:p w14:paraId="696ECDD9"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5ADBE8D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2F075078" w14:textId="77777777" w:rsidTr="00594589">
        <w:trPr>
          <w:trHeight w:val="300"/>
        </w:trPr>
        <w:tc>
          <w:tcPr>
            <w:tcW w:w="0" w:type="auto"/>
            <w:shd w:val="clear" w:color="auto" w:fill="auto"/>
            <w:noWrap/>
            <w:vAlign w:val="bottom"/>
            <w:hideMark/>
          </w:tcPr>
          <w:p w14:paraId="64FB97E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11</w:t>
            </w:r>
          </w:p>
        </w:tc>
        <w:tc>
          <w:tcPr>
            <w:tcW w:w="0" w:type="auto"/>
            <w:shd w:val="clear" w:color="auto" w:fill="auto"/>
            <w:noWrap/>
            <w:vAlign w:val="bottom"/>
            <w:hideMark/>
          </w:tcPr>
          <w:p w14:paraId="22FE9065"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AF63D9F"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3A6C8D0"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072BB69"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C8CA20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A31D70B"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513804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82E433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1D4AF9A"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67618A0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19,253.04 </w:t>
            </w:r>
          </w:p>
        </w:tc>
        <w:tc>
          <w:tcPr>
            <w:tcW w:w="0" w:type="auto"/>
            <w:shd w:val="clear" w:color="auto" w:fill="auto"/>
            <w:noWrap/>
            <w:vAlign w:val="bottom"/>
            <w:hideMark/>
          </w:tcPr>
          <w:p w14:paraId="23F800C9"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7C42F03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4BF134AA" w14:textId="77777777" w:rsidTr="00594589">
        <w:trPr>
          <w:trHeight w:val="300"/>
        </w:trPr>
        <w:tc>
          <w:tcPr>
            <w:tcW w:w="0" w:type="auto"/>
            <w:shd w:val="clear" w:color="auto" w:fill="auto"/>
            <w:vAlign w:val="center"/>
            <w:hideMark/>
          </w:tcPr>
          <w:p w14:paraId="46A6CC4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12</w:t>
            </w:r>
          </w:p>
        </w:tc>
        <w:tc>
          <w:tcPr>
            <w:tcW w:w="0" w:type="auto"/>
            <w:shd w:val="clear" w:color="auto" w:fill="auto"/>
            <w:noWrap/>
            <w:vAlign w:val="bottom"/>
            <w:hideMark/>
          </w:tcPr>
          <w:p w14:paraId="07F6D07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Expansion Joints</w:t>
            </w:r>
          </w:p>
        </w:tc>
        <w:tc>
          <w:tcPr>
            <w:tcW w:w="0" w:type="auto"/>
            <w:shd w:val="clear" w:color="auto" w:fill="auto"/>
            <w:noWrap/>
            <w:vAlign w:val="bottom"/>
            <w:hideMark/>
          </w:tcPr>
          <w:p w14:paraId="22A7A8C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Road Closure - Night</w:t>
            </w:r>
          </w:p>
        </w:tc>
        <w:tc>
          <w:tcPr>
            <w:tcW w:w="0" w:type="auto"/>
            <w:shd w:val="clear" w:color="auto" w:fill="auto"/>
            <w:noWrap/>
            <w:vAlign w:val="bottom"/>
            <w:hideMark/>
          </w:tcPr>
          <w:p w14:paraId="15022AA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w:t>
            </w:r>
          </w:p>
        </w:tc>
        <w:tc>
          <w:tcPr>
            <w:tcW w:w="0" w:type="auto"/>
            <w:shd w:val="clear" w:color="auto" w:fill="auto"/>
            <w:noWrap/>
            <w:vAlign w:val="bottom"/>
            <w:hideMark/>
          </w:tcPr>
          <w:p w14:paraId="0F2A9B57"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7.09</w:t>
            </w:r>
          </w:p>
        </w:tc>
        <w:tc>
          <w:tcPr>
            <w:tcW w:w="0" w:type="auto"/>
            <w:shd w:val="clear" w:color="auto" w:fill="auto"/>
            <w:noWrap/>
            <w:vAlign w:val="bottom"/>
            <w:hideMark/>
          </w:tcPr>
          <w:p w14:paraId="7096103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£512.76</w:t>
            </w:r>
          </w:p>
        </w:tc>
        <w:tc>
          <w:tcPr>
            <w:tcW w:w="0" w:type="auto"/>
            <w:shd w:val="clear" w:color="auto" w:fill="auto"/>
            <w:noWrap/>
            <w:vAlign w:val="bottom"/>
            <w:hideMark/>
          </w:tcPr>
          <w:p w14:paraId="47F86C3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7.29</w:t>
            </w:r>
          </w:p>
        </w:tc>
        <w:tc>
          <w:tcPr>
            <w:tcW w:w="0" w:type="auto"/>
            <w:shd w:val="clear" w:color="auto" w:fill="auto"/>
            <w:noWrap/>
            <w:vAlign w:val="bottom"/>
            <w:hideMark/>
          </w:tcPr>
          <w:p w14:paraId="205B4A6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£540.57</w:t>
            </w:r>
          </w:p>
        </w:tc>
        <w:tc>
          <w:tcPr>
            <w:tcW w:w="0" w:type="auto"/>
            <w:shd w:val="clear" w:color="auto" w:fill="auto"/>
            <w:noWrap/>
            <w:vAlign w:val="bottom"/>
            <w:hideMark/>
          </w:tcPr>
          <w:p w14:paraId="6942FB0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£1,053.33</w:t>
            </w:r>
          </w:p>
        </w:tc>
        <w:tc>
          <w:tcPr>
            <w:tcW w:w="0" w:type="auto"/>
            <w:shd w:val="clear" w:color="auto" w:fill="auto"/>
            <w:noWrap/>
            <w:vAlign w:val="bottom"/>
            <w:hideMark/>
          </w:tcPr>
          <w:p w14:paraId="49A54E07"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65AF408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0F4A662A"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£20,097</w:t>
            </w:r>
          </w:p>
        </w:tc>
        <w:tc>
          <w:tcPr>
            <w:tcW w:w="0" w:type="auto"/>
            <w:shd w:val="clear" w:color="auto" w:fill="auto"/>
            <w:noWrap/>
            <w:vAlign w:val="bottom"/>
            <w:hideMark/>
          </w:tcPr>
          <w:p w14:paraId="343E0FC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13,299.69 </w:t>
            </w:r>
          </w:p>
        </w:tc>
      </w:tr>
      <w:tr w:rsidR="00594589" w:rsidRPr="00E31091" w14:paraId="66BD0EB2" w14:textId="77777777" w:rsidTr="00594589">
        <w:trPr>
          <w:trHeight w:val="300"/>
        </w:trPr>
        <w:tc>
          <w:tcPr>
            <w:tcW w:w="0" w:type="auto"/>
            <w:shd w:val="clear" w:color="auto" w:fill="auto"/>
            <w:noWrap/>
            <w:vAlign w:val="bottom"/>
            <w:hideMark/>
          </w:tcPr>
          <w:p w14:paraId="7F7E4DF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13</w:t>
            </w:r>
          </w:p>
        </w:tc>
        <w:tc>
          <w:tcPr>
            <w:tcW w:w="0" w:type="auto"/>
            <w:shd w:val="clear" w:color="auto" w:fill="auto"/>
            <w:noWrap/>
            <w:vAlign w:val="bottom"/>
            <w:hideMark/>
          </w:tcPr>
          <w:p w14:paraId="2B833396"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35ED66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8536616"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28036D4"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BC43EE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2AD0BBD"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3A82EE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61AF95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3DCD174"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395C2E3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20662DCE"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0AF7FD4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2D38D148" w14:textId="77777777" w:rsidTr="00594589">
        <w:trPr>
          <w:trHeight w:val="300"/>
        </w:trPr>
        <w:tc>
          <w:tcPr>
            <w:tcW w:w="0" w:type="auto"/>
            <w:shd w:val="clear" w:color="auto" w:fill="auto"/>
            <w:vAlign w:val="center"/>
            <w:hideMark/>
          </w:tcPr>
          <w:p w14:paraId="7DE9A47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14</w:t>
            </w:r>
          </w:p>
        </w:tc>
        <w:tc>
          <w:tcPr>
            <w:tcW w:w="0" w:type="auto"/>
            <w:shd w:val="clear" w:color="auto" w:fill="auto"/>
            <w:noWrap/>
            <w:vAlign w:val="bottom"/>
            <w:hideMark/>
          </w:tcPr>
          <w:p w14:paraId="075684D5"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D32839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5EE479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w:t>
            </w:r>
          </w:p>
        </w:tc>
        <w:tc>
          <w:tcPr>
            <w:tcW w:w="0" w:type="auto"/>
            <w:shd w:val="clear" w:color="auto" w:fill="auto"/>
            <w:noWrap/>
            <w:vAlign w:val="bottom"/>
            <w:hideMark/>
          </w:tcPr>
          <w:p w14:paraId="113E2822"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896488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868B137"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3636CD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853301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A6A0210"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1FDDC96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8,682.57 </w:t>
            </w:r>
          </w:p>
        </w:tc>
        <w:tc>
          <w:tcPr>
            <w:tcW w:w="0" w:type="auto"/>
            <w:shd w:val="clear" w:color="auto" w:fill="auto"/>
            <w:noWrap/>
            <w:vAlign w:val="bottom"/>
            <w:hideMark/>
          </w:tcPr>
          <w:p w14:paraId="1A8420A1"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59E47A6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544FBEAB" w14:textId="77777777" w:rsidTr="00594589">
        <w:trPr>
          <w:trHeight w:val="300"/>
        </w:trPr>
        <w:tc>
          <w:tcPr>
            <w:tcW w:w="0" w:type="auto"/>
            <w:shd w:val="clear" w:color="auto" w:fill="auto"/>
            <w:noWrap/>
            <w:vAlign w:val="bottom"/>
            <w:hideMark/>
          </w:tcPr>
          <w:p w14:paraId="77C1876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15</w:t>
            </w:r>
          </w:p>
        </w:tc>
        <w:tc>
          <w:tcPr>
            <w:tcW w:w="0" w:type="auto"/>
            <w:shd w:val="clear" w:color="auto" w:fill="auto"/>
            <w:noWrap/>
            <w:vAlign w:val="bottom"/>
            <w:hideMark/>
          </w:tcPr>
          <w:p w14:paraId="567468D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Concrete repairs to bearing plinth / shelf</w:t>
            </w:r>
          </w:p>
        </w:tc>
        <w:tc>
          <w:tcPr>
            <w:tcW w:w="0" w:type="auto"/>
            <w:shd w:val="clear" w:color="auto" w:fill="auto"/>
            <w:noWrap/>
            <w:vAlign w:val="bottom"/>
            <w:hideMark/>
          </w:tcPr>
          <w:p w14:paraId="4AE7B63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3646EE5E"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A336C6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1D3A17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EE5FC1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3.5625</w:t>
            </w:r>
          </w:p>
        </w:tc>
        <w:tc>
          <w:tcPr>
            <w:tcW w:w="0" w:type="auto"/>
            <w:shd w:val="clear" w:color="auto" w:fill="auto"/>
            <w:noWrap/>
            <w:vAlign w:val="bottom"/>
            <w:hideMark/>
          </w:tcPr>
          <w:p w14:paraId="4805D2F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£294.24</w:t>
            </w:r>
          </w:p>
        </w:tc>
        <w:tc>
          <w:tcPr>
            <w:tcW w:w="0" w:type="auto"/>
            <w:shd w:val="clear" w:color="auto" w:fill="auto"/>
            <w:noWrap/>
            <w:vAlign w:val="bottom"/>
            <w:hideMark/>
          </w:tcPr>
          <w:p w14:paraId="227BCDF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£294.24</w:t>
            </w:r>
          </w:p>
        </w:tc>
        <w:tc>
          <w:tcPr>
            <w:tcW w:w="0" w:type="auto"/>
            <w:shd w:val="clear" w:color="auto" w:fill="auto"/>
            <w:noWrap/>
            <w:vAlign w:val="bottom"/>
            <w:hideMark/>
          </w:tcPr>
          <w:p w14:paraId="029A1E7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6D9017A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8,388.95 </w:t>
            </w:r>
          </w:p>
        </w:tc>
        <w:tc>
          <w:tcPr>
            <w:tcW w:w="0" w:type="auto"/>
            <w:shd w:val="clear" w:color="auto" w:fill="auto"/>
            <w:noWrap/>
            <w:vAlign w:val="bottom"/>
            <w:hideMark/>
          </w:tcPr>
          <w:p w14:paraId="4BE8E3CC"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£34,640</w:t>
            </w:r>
          </w:p>
        </w:tc>
        <w:tc>
          <w:tcPr>
            <w:tcW w:w="0" w:type="auto"/>
            <w:shd w:val="clear" w:color="auto" w:fill="auto"/>
            <w:noWrap/>
            <w:vAlign w:val="bottom"/>
            <w:hideMark/>
          </w:tcPr>
          <w:p w14:paraId="4077F07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20,676.47 </w:t>
            </w:r>
          </w:p>
        </w:tc>
      </w:tr>
      <w:tr w:rsidR="00594589" w:rsidRPr="00E31091" w14:paraId="5883C641" w14:textId="77777777" w:rsidTr="00594589">
        <w:trPr>
          <w:trHeight w:val="300"/>
        </w:trPr>
        <w:tc>
          <w:tcPr>
            <w:tcW w:w="0" w:type="auto"/>
            <w:shd w:val="clear" w:color="auto" w:fill="auto"/>
            <w:vAlign w:val="center"/>
            <w:hideMark/>
          </w:tcPr>
          <w:p w14:paraId="125298F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16</w:t>
            </w:r>
          </w:p>
        </w:tc>
        <w:tc>
          <w:tcPr>
            <w:tcW w:w="0" w:type="auto"/>
            <w:shd w:val="clear" w:color="auto" w:fill="auto"/>
            <w:noWrap/>
            <w:vAlign w:val="bottom"/>
            <w:hideMark/>
          </w:tcPr>
          <w:p w14:paraId="05C3E6D9"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77BCA81"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3148F20"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6C3BDC6"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E545E9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5BCFACE"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DEE7CA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13158B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D24CE27"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7805830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8,105.27 </w:t>
            </w:r>
          </w:p>
        </w:tc>
        <w:tc>
          <w:tcPr>
            <w:tcW w:w="0" w:type="auto"/>
            <w:shd w:val="clear" w:color="auto" w:fill="auto"/>
            <w:noWrap/>
            <w:vAlign w:val="bottom"/>
            <w:hideMark/>
          </w:tcPr>
          <w:p w14:paraId="0681CEF0"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3CEC83A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56B73A6C" w14:textId="77777777" w:rsidTr="00594589">
        <w:trPr>
          <w:trHeight w:val="300"/>
        </w:trPr>
        <w:tc>
          <w:tcPr>
            <w:tcW w:w="0" w:type="auto"/>
            <w:shd w:val="clear" w:color="auto" w:fill="auto"/>
            <w:noWrap/>
            <w:vAlign w:val="bottom"/>
            <w:hideMark/>
          </w:tcPr>
          <w:p w14:paraId="52599FF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17</w:t>
            </w:r>
          </w:p>
        </w:tc>
        <w:tc>
          <w:tcPr>
            <w:tcW w:w="0" w:type="auto"/>
            <w:shd w:val="clear" w:color="auto" w:fill="auto"/>
            <w:noWrap/>
            <w:vAlign w:val="bottom"/>
            <w:hideMark/>
          </w:tcPr>
          <w:p w14:paraId="535B1708"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88F663F"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0525EA5"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305BF06"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E7E364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AF50740"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5240AB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2BB56F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803DE5A"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57760B5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7,831.18 </w:t>
            </w:r>
          </w:p>
        </w:tc>
        <w:tc>
          <w:tcPr>
            <w:tcW w:w="0" w:type="auto"/>
            <w:shd w:val="clear" w:color="auto" w:fill="auto"/>
            <w:noWrap/>
            <w:vAlign w:val="bottom"/>
            <w:hideMark/>
          </w:tcPr>
          <w:p w14:paraId="669F0BD5"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7E95DFC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7022F42B" w14:textId="77777777" w:rsidTr="00594589">
        <w:trPr>
          <w:trHeight w:val="300"/>
        </w:trPr>
        <w:tc>
          <w:tcPr>
            <w:tcW w:w="0" w:type="auto"/>
            <w:shd w:val="clear" w:color="auto" w:fill="auto"/>
            <w:vAlign w:val="center"/>
            <w:hideMark/>
          </w:tcPr>
          <w:p w14:paraId="4E492CC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18</w:t>
            </w:r>
          </w:p>
        </w:tc>
        <w:tc>
          <w:tcPr>
            <w:tcW w:w="0" w:type="auto"/>
            <w:shd w:val="clear" w:color="auto" w:fill="auto"/>
            <w:noWrap/>
            <w:vAlign w:val="bottom"/>
            <w:hideMark/>
          </w:tcPr>
          <w:p w14:paraId="6846DB0D"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14E73F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9C48AD3"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40E994B"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F1BB2F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4AE0DC4"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452F63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DBD5A6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442E063"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74A7193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7,566.36 </w:t>
            </w:r>
          </w:p>
        </w:tc>
        <w:tc>
          <w:tcPr>
            <w:tcW w:w="0" w:type="auto"/>
            <w:shd w:val="clear" w:color="auto" w:fill="auto"/>
            <w:noWrap/>
            <w:vAlign w:val="bottom"/>
            <w:hideMark/>
          </w:tcPr>
          <w:p w14:paraId="49805336"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5B0529D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6E9E4E15" w14:textId="77777777" w:rsidTr="00594589">
        <w:trPr>
          <w:trHeight w:val="300"/>
        </w:trPr>
        <w:tc>
          <w:tcPr>
            <w:tcW w:w="0" w:type="auto"/>
            <w:shd w:val="clear" w:color="auto" w:fill="auto"/>
            <w:noWrap/>
            <w:vAlign w:val="bottom"/>
            <w:hideMark/>
          </w:tcPr>
          <w:p w14:paraId="07FE186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19</w:t>
            </w:r>
          </w:p>
        </w:tc>
        <w:tc>
          <w:tcPr>
            <w:tcW w:w="0" w:type="auto"/>
            <w:shd w:val="clear" w:color="auto" w:fill="auto"/>
            <w:noWrap/>
            <w:vAlign w:val="bottom"/>
            <w:hideMark/>
          </w:tcPr>
          <w:p w14:paraId="39F9CD0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Substructure Drainage</w:t>
            </w:r>
          </w:p>
        </w:tc>
        <w:tc>
          <w:tcPr>
            <w:tcW w:w="0" w:type="auto"/>
            <w:shd w:val="clear" w:color="auto" w:fill="auto"/>
            <w:noWrap/>
            <w:vAlign w:val="bottom"/>
            <w:hideMark/>
          </w:tcPr>
          <w:p w14:paraId="3F3A66B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3E82918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w:t>
            </w:r>
          </w:p>
        </w:tc>
        <w:tc>
          <w:tcPr>
            <w:tcW w:w="0" w:type="auto"/>
            <w:shd w:val="clear" w:color="auto" w:fill="auto"/>
            <w:noWrap/>
            <w:vAlign w:val="bottom"/>
            <w:hideMark/>
          </w:tcPr>
          <w:p w14:paraId="3214EFB6"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83CD78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125620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0.85</w:t>
            </w:r>
          </w:p>
        </w:tc>
        <w:tc>
          <w:tcPr>
            <w:tcW w:w="0" w:type="auto"/>
            <w:shd w:val="clear" w:color="auto" w:fill="auto"/>
            <w:noWrap/>
            <w:vAlign w:val="bottom"/>
            <w:hideMark/>
          </w:tcPr>
          <w:p w14:paraId="122DCC4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£76.70</w:t>
            </w:r>
          </w:p>
        </w:tc>
        <w:tc>
          <w:tcPr>
            <w:tcW w:w="0" w:type="auto"/>
            <w:shd w:val="clear" w:color="auto" w:fill="auto"/>
            <w:noWrap/>
            <w:vAlign w:val="bottom"/>
            <w:hideMark/>
          </w:tcPr>
          <w:p w14:paraId="0201B82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£76.70</w:t>
            </w:r>
          </w:p>
        </w:tc>
        <w:tc>
          <w:tcPr>
            <w:tcW w:w="0" w:type="auto"/>
            <w:shd w:val="clear" w:color="auto" w:fill="auto"/>
            <w:noWrap/>
            <w:vAlign w:val="bottom"/>
            <w:hideMark/>
          </w:tcPr>
          <w:p w14:paraId="17035E2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7740623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7,310.49 </w:t>
            </w:r>
          </w:p>
        </w:tc>
        <w:tc>
          <w:tcPr>
            <w:tcW w:w="0" w:type="auto"/>
            <w:shd w:val="clear" w:color="auto" w:fill="auto"/>
            <w:noWrap/>
            <w:vAlign w:val="bottom"/>
            <w:hideMark/>
          </w:tcPr>
          <w:p w14:paraId="7C04AED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£3,597</w:t>
            </w:r>
          </w:p>
        </w:tc>
        <w:tc>
          <w:tcPr>
            <w:tcW w:w="0" w:type="auto"/>
            <w:shd w:val="clear" w:color="auto" w:fill="auto"/>
            <w:noWrap/>
            <w:vAlign w:val="bottom"/>
            <w:hideMark/>
          </w:tcPr>
          <w:p w14:paraId="5AB50C1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1,870.74 </w:t>
            </w:r>
          </w:p>
        </w:tc>
      </w:tr>
      <w:tr w:rsidR="00594589" w:rsidRPr="00E31091" w14:paraId="769C7FF6" w14:textId="77777777" w:rsidTr="00594589">
        <w:trPr>
          <w:trHeight w:val="300"/>
        </w:trPr>
        <w:tc>
          <w:tcPr>
            <w:tcW w:w="0" w:type="auto"/>
            <w:shd w:val="clear" w:color="auto" w:fill="auto"/>
            <w:vAlign w:val="center"/>
            <w:hideMark/>
          </w:tcPr>
          <w:p w14:paraId="4A26798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20</w:t>
            </w:r>
          </w:p>
        </w:tc>
        <w:tc>
          <w:tcPr>
            <w:tcW w:w="0" w:type="auto"/>
            <w:shd w:val="clear" w:color="auto" w:fill="auto"/>
            <w:noWrap/>
            <w:vAlign w:val="bottom"/>
            <w:hideMark/>
          </w:tcPr>
          <w:p w14:paraId="4110500F"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9DC3581"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FFD5879"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5380628"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150EB1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857EB42"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FE9204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D8789A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3B880F2"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58377D1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7,063.27 </w:t>
            </w:r>
          </w:p>
        </w:tc>
        <w:tc>
          <w:tcPr>
            <w:tcW w:w="0" w:type="auto"/>
            <w:shd w:val="clear" w:color="auto" w:fill="auto"/>
            <w:noWrap/>
            <w:vAlign w:val="bottom"/>
            <w:hideMark/>
          </w:tcPr>
          <w:p w14:paraId="63C67F2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51098E1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5338EF8B" w14:textId="77777777" w:rsidTr="00594589">
        <w:trPr>
          <w:trHeight w:val="300"/>
        </w:trPr>
        <w:tc>
          <w:tcPr>
            <w:tcW w:w="0" w:type="auto"/>
            <w:shd w:val="clear" w:color="auto" w:fill="auto"/>
            <w:noWrap/>
            <w:vAlign w:val="bottom"/>
            <w:hideMark/>
          </w:tcPr>
          <w:p w14:paraId="6CE5F36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21</w:t>
            </w:r>
          </w:p>
        </w:tc>
        <w:tc>
          <w:tcPr>
            <w:tcW w:w="0" w:type="auto"/>
            <w:shd w:val="clear" w:color="auto" w:fill="auto"/>
            <w:noWrap/>
            <w:vAlign w:val="bottom"/>
            <w:hideMark/>
          </w:tcPr>
          <w:p w14:paraId="4CB6C98C"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B5EDCB3"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1457487"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0942D0C"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F90DC3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35CB599"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6AF737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3EC8D1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4EE944A"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4FBB8CE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13,648.84 </w:t>
            </w:r>
          </w:p>
        </w:tc>
        <w:tc>
          <w:tcPr>
            <w:tcW w:w="0" w:type="auto"/>
            <w:shd w:val="clear" w:color="auto" w:fill="auto"/>
            <w:noWrap/>
            <w:vAlign w:val="bottom"/>
            <w:hideMark/>
          </w:tcPr>
          <w:p w14:paraId="691A938C"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3B9B633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4A648089" w14:textId="77777777" w:rsidTr="00594589">
        <w:trPr>
          <w:trHeight w:val="300"/>
        </w:trPr>
        <w:tc>
          <w:tcPr>
            <w:tcW w:w="0" w:type="auto"/>
            <w:shd w:val="clear" w:color="auto" w:fill="auto"/>
            <w:vAlign w:val="center"/>
            <w:hideMark/>
          </w:tcPr>
          <w:p w14:paraId="4A4A8FC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22</w:t>
            </w:r>
          </w:p>
        </w:tc>
        <w:tc>
          <w:tcPr>
            <w:tcW w:w="0" w:type="auto"/>
            <w:shd w:val="clear" w:color="auto" w:fill="auto"/>
            <w:noWrap/>
            <w:vAlign w:val="bottom"/>
            <w:hideMark/>
          </w:tcPr>
          <w:p w14:paraId="297B58F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Expansion Joints</w:t>
            </w:r>
          </w:p>
        </w:tc>
        <w:tc>
          <w:tcPr>
            <w:tcW w:w="0" w:type="auto"/>
            <w:shd w:val="clear" w:color="auto" w:fill="auto"/>
            <w:noWrap/>
            <w:vAlign w:val="bottom"/>
            <w:hideMark/>
          </w:tcPr>
          <w:p w14:paraId="7C106C4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Road Closure - Night</w:t>
            </w:r>
          </w:p>
        </w:tc>
        <w:tc>
          <w:tcPr>
            <w:tcW w:w="0" w:type="auto"/>
            <w:shd w:val="clear" w:color="auto" w:fill="auto"/>
            <w:noWrap/>
            <w:vAlign w:val="bottom"/>
            <w:hideMark/>
          </w:tcPr>
          <w:p w14:paraId="1D17696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w:t>
            </w:r>
          </w:p>
        </w:tc>
        <w:tc>
          <w:tcPr>
            <w:tcW w:w="0" w:type="auto"/>
            <w:shd w:val="clear" w:color="auto" w:fill="auto"/>
            <w:noWrap/>
            <w:vAlign w:val="bottom"/>
            <w:hideMark/>
          </w:tcPr>
          <w:p w14:paraId="2633DE34"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3.64</w:t>
            </w:r>
          </w:p>
        </w:tc>
        <w:tc>
          <w:tcPr>
            <w:tcW w:w="0" w:type="auto"/>
            <w:shd w:val="clear" w:color="auto" w:fill="auto"/>
            <w:noWrap/>
            <w:vAlign w:val="bottom"/>
            <w:hideMark/>
          </w:tcPr>
          <w:p w14:paraId="2EE02A7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£337.98</w:t>
            </w:r>
          </w:p>
        </w:tc>
        <w:tc>
          <w:tcPr>
            <w:tcW w:w="0" w:type="auto"/>
            <w:shd w:val="clear" w:color="auto" w:fill="auto"/>
            <w:noWrap/>
            <w:vAlign w:val="bottom"/>
            <w:hideMark/>
          </w:tcPr>
          <w:p w14:paraId="68C8D15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7.29</w:t>
            </w:r>
          </w:p>
        </w:tc>
        <w:tc>
          <w:tcPr>
            <w:tcW w:w="0" w:type="auto"/>
            <w:shd w:val="clear" w:color="auto" w:fill="auto"/>
            <w:noWrap/>
            <w:vAlign w:val="bottom"/>
            <w:hideMark/>
          </w:tcPr>
          <w:p w14:paraId="7B1401D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£683.34</w:t>
            </w:r>
          </w:p>
        </w:tc>
        <w:tc>
          <w:tcPr>
            <w:tcW w:w="0" w:type="auto"/>
            <w:shd w:val="clear" w:color="auto" w:fill="auto"/>
            <w:noWrap/>
            <w:vAlign w:val="bottom"/>
            <w:hideMark/>
          </w:tcPr>
          <w:p w14:paraId="4996C1D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£1,021.32</w:t>
            </w:r>
          </w:p>
        </w:tc>
        <w:tc>
          <w:tcPr>
            <w:tcW w:w="0" w:type="auto"/>
            <w:vMerge w:val="restart"/>
            <w:shd w:val="clear" w:color="auto" w:fill="auto"/>
            <w:noWrap/>
            <w:vAlign w:val="bottom"/>
            <w:hideMark/>
          </w:tcPr>
          <w:p w14:paraId="3797F668"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vMerge w:val="restart"/>
            <w:shd w:val="clear" w:color="auto" w:fill="auto"/>
            <w:noWrap/>
            <w:vAlign w:val="bottom"/>
            <w:hideMark/>
          </w:tcPr>
          <w:p w14:paraId="5BD4B35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6,593.64 </w:t>
            </w:r>
          </w:p>
        </w:tc>
        <w:tc>
          <w:tcPr>
            <w:tcW w:w="0" w:type="auto"/>
            <w:vMerge w:val="restart"/>
            <w:shd w:val="clear" w:color="auto" w:fill="auto"/>
            <w:noWrap/>
            <w:vAlign w:val="bottom"/>
            <w:hideMark/>
          </w:tcPr>
          <w:p w14:paraId="09F02BD5"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£76,496</w:t>
            </w:r>
          </w:p>
        </w:tc>
        <w:tc>
          <w:tcPr>
            <w:tcW w:w="0" w:type="auto"/>
            <w:vMerge w:val="restart"/>
            <w:shd w:val="clear" w:color="auto" w:fill="auto"/>
            <w:noWrap/>
            <w:vAlign w:val="bottom"/>
            <w:hideMark/>
          </w:tcPr>
          <w:p w14:paraId="5DCE321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35,888.36 </w:t>
            </w:r>
          </w:p>
        </w:tc>
      </w:tr>
      <w:tr w:rsidR="00594589" w:rsidRPr="00E31091" w14:paraId="424B2694" w14:textId="77777777" w:rsidTr="00594589">
        <w:trPr>
          <w:trHeight w:val="300"/>
        </w:trPr>
        <w:tc>
          <w:tcPr>
            <w:tcW w:w="0" w:type="auto"/>
            <w:shd w:val="clear" w:color="auto" w:fill="auto"/>
            <w:noWrap/>
            <w:vAlign w:val="bottom"/>
            <w:hideMark/>
          </w:tcPr>
          <w:p w14:paraId="0CA3DBF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22</w:t>
            </w:r>
          </w:p>
        </w:tc>
        <w:tc>
          <w:tcPr>
            <w:tcW w:w="0" w:type="auto"/>
            <w:shd w:val="clear" w:color="auto" w:fill="auto"/>
            <w:noWrap/>
            <w:vAlign w:val="bottom"/>
            <w:hideMark/>
          </w:tcPr>
          <w:p w14:paraId="053B590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Handrail/ Parapets/ Safety Fences</w:t>
            </w:r>
          </w:p>
        </w:tc>
        <w:tc>
          <w:tcPr>
            <w:tcW w:w="0" w:type="auto"/>
            <w:shd w:val="clear" w:color="auto" w:fill="auto"/>
            <w:noWrap/>
            <w:vAlign w:val="bottom"/>
            <w:hideMark/>
          </w:tcPr>
          <w:p w14:paraId="50D3D68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Lane Closure - Night</w:t>
            </w:r>
          </w:p>
        </w:tc>
        <w:tc>
          <w:tcPr>
            <w:tcW w:w="0" w:type="auto"/>
            <w:shd w:val="clear" w:color="auto" w:fill="auto"/>
            <w:noWrap/>
            <w:vAlign w:val="bottom"/>
            <w:hideMark/>
          </w:tcPr>
          <w:p w14:paraId="69DB047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w:t>
            </w:r>
          </w:p>
        </w:tc>
        <w:tc>
          <w:tcPr>
            <w:tcW w:w="0" w:type="auto"/>
            <w:shd w:val="clear" w:color="auto" w:fill="auto"/>
            <w:noWrap/>
            <w:vAlign w:val="bottom"/>
            <w:hideMark/>
          </w:tcPr>
          <w:p w14:paraId="12462A63"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0.64</w:t>
            </w:r>
          </w:p>
        </w:tc>
        <w:tc>
          <w:tcPr>
            <w:tcW w:w="0" w:type="auto"/>
            <w:shd w:val="clear" w:color="auto" w:fill="auto"/>
            <w:noWrap/>
            <w:vAlign w:val="bottom"/>
            <w:hideMark/>
          </w:tcPr>
          <w:p w14:paraId="28D4C87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£59.03</w:t>
            </w:r>
          </w:p>
        </w:tc>
        <w:tc>
          <w:tcPr>
            <w:tcW w:w="0" w:type="auto"/>
            <w:shd w:val="clear" w:color="auto" w:fill="auto"/>
            <w:noWrap/>
            <w:vAlign w:val="bottom"/>
            <w:hideMark/>
          </w:tcPr>
          <w:p w14:paraId="061A84E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14.15</w:t>
            </w:r>
          </w:p>
        </w:tc>
        <w:tc>
          <w:tcPr>
            <w:tcW w:w="0" w:type="auto"/>
            <w:shd w:val="clear" w:color="auto" w:fill="auto"/>
            <w:noWrap/>
            <w:vAlign w:val="bottom"/>
            <w:hideMark/>
          </w:tcPr>
          <w:p w14:paraId="426929F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£1,326.37</w:t>
            </w:r>
          </w:p>
        </w:tc>
        <w:tc>
          <w:tcPr>
            <w:tcW w:w="0" w:type="auto"/>
            <w:shd w:val="clear" w:color="auto" w:fill="auto"/>
            <w:noWrap/>
            <w:vAlign w:val="bottom"/>
            <w:hideMark/>
          </w:tcPr>
          <w:p w14:paraId="577BF4B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£1,385.40</w:t>
            </w:r>
          </w:p>
        </w:tc>
        <w:tc>
          <w:tcPr>
            <w:tcW w:w="0" w:type="auto"/>
            <w:vMerge/>
            <w:vAlign w:val="center"/>
            <w:hideMark/>
          </w:tcPr>
          <w:p w14:paraId="49673631"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1796D45D"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105DB01B"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7539B7C0"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r>
      <w:tr w:rsidR="00594589" w:rsidRPr="00E31091" w14:paraId="11E90A8C" w14:textId="77777777" w:rsidTr="00594589">
        <w:trPr>
          <w:trHeight w:val="300"/>
        </w:trPr>
        <w:tc>
          <w:tcPr>
            <w:tcW w:w="0" w:type="auto"/>
            <w:shd w:val="clear" w:color="auto" w:fill="auto"/>
            <w:noWrap/>
            <w:vAlign w:val="bottom"/>
            <w:hideMark/>
          </w:tcPr>
          <w:p w14:paraId="5813CFE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23</w:t>
            </w:r>
          </w:p>
        </w:tc>
        <w:tc>
          <w:tcPr>
            <w:tcW w:w="0" w:type="auto"/>
            <w:shd w:val="clear" w:color="auto" w:fill="auto"/>
            <w:noWrap/>
            <w:vAlign w:val="bottom"/>
            <w:hideMark/>
          </w:tcPr>
          <w:p w14:paraId="0B1BF6D0"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AD842E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58AB037"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4971F33"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494AC9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6AEC8A4"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A5431F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B0DAA4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649F53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4E519BF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6,370.67 </w:t>
            </w:r>
          </w:p>
        </w:tc>
        <w:tc>
          <w:tcPr>
            <w:tcW w:w="0" w:type="auto"/>
            <w:shd w:val="clear" w:color="auto" w:fill="auto"/>
            <w:noWrap/>
            <w:vAlign w:val="bottom"/>
            <w:hideMark/>
          </w:tcPr>
          <w:p w14:paraId="2BD85FA4"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26D9F06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76F67089" w14:textId="77777777" w:rsidTr="00594589">
        <w:trPr>
          <w:trHeight w:val="300"/>
        </w:trPr>
        <w:tc>
          <w:tcPr>
            <w:tcW w:w="0" w:type="auto"/>
            <w:shd w:val="clear" w:color="auto" w:fill="auto"/>
            <w:noWrap/>
            <w:vAlign w:val="bottom"/>
            <w:hideMark/>
          </w:tcPr>
          <w:p w14:paraId="34464FE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24</w:t>
            </w:r>
          </w:p>
        </w:tc>
        <w:tc>
          <w:tcPr>
            <w:tcW w:w="0" w:type="auto"/>
            <w:shd w:val="clear" w:color="auto" w:fill="auto"/>
            <w:noWrap/>
            <w:vAlign w:val="bottom"/>
            <w:hideMark/>
          </w:tcPr>
          <w:p w14:paraId="087385B2"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2DCA30D"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5681C0F"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60972B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381EB4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A2B1F96"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367AAC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B10C7E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DD2AB55"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1603CCC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6,155.24 </w:t>
            </w:r>
          </w:p>
        </w:tc>
        <w:tc>
          <w:tcPr>
            <w:tcW w:w="0" w:type="auto"/>
            <w:shd w:val="clear" w:color="auto" w:fill="auto"/>
            <w:noWrap/>
            <w:vAlign w:val="bottom"/>
            <w:hideMark/>
          </w:tcPr>
          <w:p w14:paraId="2AD47DC3"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34E9588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2FCAB763" w14:textId="77777777" w:rsidTr="00594589">
        <w:trPr>
          <w:trHeight w:val="300"/>
        </w:trPr>
        <w:tc>
          <w:tcPr>
            <w:tcW w:w="0" w:type="auto"/>
            <w:shd w:val="clear" w:color="auto" w:fill="auto"/>
            <w:noWrap/>
            <w:vAlign w:val="bottom"/>
            <w:hideMark/>
          </w:tcPr>
          <w:p w14:paraId="67481FC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25</w:t>
            </w:r>
          </w:p>
        </w:tc>
        <w:tc>
          <w:tcPr>
            <w:tcW w:w="0" w:type="auto"/>
            <w:shd w:val="clear" w:color="auto" w:fill="auto"/>
            <w:noWrap/>
            <w:vAlign w:val="bottom"/>
            <w:hideMark/>
          </w:tcPr>
          <w:p w14:paraId="54F7A6E6"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BCAB9B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B42A9F8"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77F73CB"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F8A37B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4895DC0"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4DE4D9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F54691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4503DCC"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155F758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5,947.09 </w:t>
            </w:r>
          </w:p>
        </w:tc>
        <w:tc>
          <w:tcPr>
            <w:tcW w:w="0" w:type="auto"/>
            <w:shd w:val="clear" w:color="auto" w:fill="auto"/>
            <w:noWrap/>
            <w:vAlign w:val="bottom"/>
            <w:hideMark/>
          </w:tcPr>
          <w:p w14:paraId="0A2D9624"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11E5967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4515F87A" w14:textId="77777777" w:rsidTr="00594589">
        <w:trPr>
          <w:trHeight w:val="300"/>
        </w:trPr>
        <w:tc>
          <w:tcPr>
            <w:tcW w:w="0" w:type="auto"/>
            <w:shd w:val="clear" w:color="auto" w:fill="auto"/>
            <w:noWrap/>
            <w:vAlign w:val="bottom"/>
            <w:hideMark/>
          </w:tcPr>
          <w:p w14:paraId="0EEA2E7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26</w:t>
            </w:r>
          </w:p>
        </w:tc>
        <w:tc>
          <w:tcPr>
            <w:tcW w:w="0" w:type="auto"/>
            <w:shd w:val="clear" w:color="auto" w:fill="auto"/>
            <w:noWrap/>
            <w:vAlign w:val="bottom"/>
            <w:hideMark/>
          </w:tcPr>
          <w:p w14:paraId="4905CC2C"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E768341"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3965B90"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A435C08"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52E8C0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5BDC7D2"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CA7ABB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774537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4B1F176"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69892CC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5,745.98 </w:t>
            </w:r>
          </w:p>
        </w:tc>
        <w:tc>
          <w:tcPr>
            <w:tcW w:w="0" w:type="auto"/>
            <w:shd w:val="clear" w:color="auto" w:fill="auto"/>
            <w:noWrap/>
            <w:vAlign w:val="bottom"/>
            <w:hideMark/>
          </w:tcPr>
          <w:p w14:paraId="4E87EAA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4F427F2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6A18D2E9" w14:textId="77777777" w:rsidTr="00594589">
        <w:trPr>
          <w:trHeight w:val="300"/>
        </w:trPr>
        <w:tc>
          <w:tcPr>
            <w:tcW w:w="0" w:type="auto"/>
            <w:shd w:val="clear" w:color="auto" w:fill="auto"/>
            <w:noWrap/>
            <w:vAlign w:val="bottom"/>
            <w:hideMark/>
          </w:tcPr>
          <w:p w14:paraId="76EA485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27</w:t>
            </w:r>
          </w:p>
        </w:tc>
        <w:tc>
          <w:tcPr>
            <w:tcW w:w="0" w:type="auto"/>
            <w:shd w:val="clear" w:color="auto" w:fill="auto"/>
            <w:noWrap/>
            <w:vAlign w:val="bottom"/>
            <w:hideMark/>
          </w:tcPr>
          <w:p w14:paraId="14E55020"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C3FA97A"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1557C97"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799B3CC"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E939E8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0369AC1"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9DBD0E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0EA123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ECADD0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278EC70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5,551.67 </w:t>
            </w:r>
          </w:p>
        </w:tc>
        <w:tc>
          <w:tcPr>
            <w:tcW w:w="0" w:type="auto"/>
            <w:shd w:val="clear" w:color="auto" w:fill="auto"/>
            <w:noWrap/>
            <w:vAlign w:val="bottom"/>
            <w:hideMark/>
          </w:tcPr>
          <w:p w14:paraId="2B768E85"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7E464D8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36B0E11E" w14:textId="77777777" w:rsidTr="00594589">
        <w:trPr>
          <w:trHeight w:val="300"/>
        </w:trPr>
        <w:tc>
          <w:tcPr>
            <w:tcW w:w="0" w:type="auto"/>
            <w:shd w:val="clear" w:color="auto" w:fill="auto"/>
            <w:noWrap/>
            <w:vAlign w:val="bottom"/>
            <w:hideMark/>
          </w:tcPr>
          <w:p w14:paraId="55602E8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28</w:t>
            </w:r>
          </w:p>
        </w:tc>
        <w:tc>
          <w:tcPr>
            <w:tcW w:w="0" w:type="auto"/>
            <w:shd w:val="clear" w:color="auto" w:fill="auto"/>
            <w:noWrap/>
            <w:vAlign w:val="bottom"/>
            <w:hideMark/>
          </w:tcPr>
          <w:p w14:paraId="65E6C55E"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12E816F"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0287AC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BFC17DD"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12C49C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B167477"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77EBCA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418B1E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26CE2B2"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5641BE7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5,363.93 </w:t>
            </w:r>
          </w:p>
        </w:tc>
        <w:tc>
          <w:tcPr>
            <w:tcW w:w="0" w:type="auto"/>
            <w:shd w:val="clear" w:color="auto" w:fill="auto"/>
            <w:noWrap/>
            <w:vAlign w:val="bottom"/>
            <w:hideMark/>
          </w:tcPr>
          <w:p w14:paraId="333512E1"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1622234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166A8AF3" w14:textId="77777777" w:rsidTr="00594589">
        <w:trPr>
          <w:trHeight w:val="300"/>
        </w:trPr>
        <w:tc>
          <w:tcPr>
            <w:tcW w:w="0" w:type="auto"/>
            <w:shd w:val="clear" w:color="auto" w:fill="auto"/>
            <w:noWrap/>
            <w:vAlign w:val="bottom"/>
            <w:hideMark/>
          </w:tcPr>
          <w:p w14:paraId="3AB912D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29</w:t>
            </w:r>
          </w:p>
        </w:tc>
        <w:tc>
          <w:tcPr>
            <w:tcW w:w="0" w:type="auto"/>
            <w:shd w:val="clear" w:color="auto" w:fill="auto"/>
            <w:noWrap/>
            <w:vAlign w:val="bottom"/>
            <w:hideMark/>
          </w:tcPr>
          <w:p w14:paraId="6913AA6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Access/ Walkways/ Gantries</w:t>
            </w:r>
          </w:p>
        </w:tc>
        <w:tc>
          <w:tcPr>
            <w:tcW w:w="0" w:type="auto"/>
            <w:shd w:val="clear" w:color="auto" w:fill="auto"/>
            <w:noWrap/>
            <w:vAlign w:val="bottom"/>
            <w:hideMark/>
          </w:tcPr>
          <w:p w14:paraId="327C058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5AED186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w:t>
            </w:r>
          </w:p>
        </w:tc>
        <w:tc>
          <w:tcPr>
            <w:tcW w:w="0" w:type="auto"/>
            <w:shd w:val="clear" w:color="auto" w:fill="auto"/>
            <w:noWrap/>
            <w:vAlign w:val="bottom"/>
            <w:hideMark/>
          </w:tcPr>
          <w:p w14:paraId="54CD499B"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28DAFA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09771A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w:t>
            </w:r>
          </w:p>
        </w:tc>
        <w:tc>
          <w:tcPr>
            <w:tcW w:w="0" w:type="auto"/>
            <w:shd w:val="clear" w:color="auto" w:fill="auto"/>
            <w:noWrap/>
            <w:vAlign w:val="bottom"/>
            <w:hideMark/>
          </w:tcPr>
          <w:p w14:paraId="7CF0F0E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£288.98</w:t>
            </w:r>
          </w:p>
        </w:tc>
        <w:tc>
          <w:tcPr>
            <w:tcW w:w="0" w:type="auto"/>
            <w:shd w:val="clear" w:color="auto" w:fill="auto"/>
            <w:noWrap/>
            <w:vAlign w:val="bottom"/>
            <w:hideMark/>
          </w:tcPr>
          <w:p w14:paraId="4256E63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£288.98</w:t>
            </w:r>
          </w:p>
        </w:tc>
        <w:tc>
          <w:tcPr>
            <w:tcW w:w="0" w:type="auto"/>
            <w:vMerge w:val="restart"/>
            <w:shd w:val="clear" w:color="auto" w:fill="auto"/>
            <w:noWrap/>
            <w:vAlign w:val="bottom"/>
            <w:hideMark/>
          </w:tcPr>
          <w:p w14:paraId="1ACBE35E"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vMerge w:val="restart"/>
            <w:shd w:val="clear" w:color="auto" w:fill="auto"/>
            <w:noWrap/>
            <w:vAlign w:val="bottom"/>
            <w:hideMark/>
          </w:tcPr>
          <w:p w14:paraId="1ADE56E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5,182.54 </w:t>
            </w:r>
          </w:p>
        </w:tc>
        <w:tc>
          <w:tcPr>
            <w:tcW w:w="0" w:type="auto"/>
            <w:vMerge w:val="restart"/>
            <w:shd w:val="clear" w:color="auto" w:fill="auto"/>
            <w:noWrap/>
            <w:vAlign w:val="bottom"/>
            <w:hideMark/>
          </w:tcPr>
          <w:p w14:paraId="5EB7C563"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£102,268</w:t>
            </w:r>
          </w:p>
        </w:tc>
        <w:tc>
          <w:tcPr>
            <w:tcW w:w="0" w:type="auto"/>
            <w:vMerge w:val="restart"/>
            <w:shd w:val="clear" w:color="auto" w:fill="auto"/>
            <w:noWrap/>
            <w:vAlign w:val="bottom"/>
            <w:hideMark/>
          </w:tcPr>
          <w:p w14:paraId="4B1C440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37,711.11 </w:t>
            </w:r>
          </w:p>
        </w:tc>
      </w:tr>
      <w:tr w:rsidR="00594589" w:rsidRPr="00E31091" w14:paraId="47D4E57E" w14:textId="77777777" w:rsidTr="00594589">
        <w:trPr>
          <w:trHeight w:val="300"/>
        </w:trPr>
        <w:tc>
          <w:tcPr>
            <w:tcW w:w="0" w:type="auto"/>
            <w:shd w:val="clear" w:color="auto" w:fill="auto"/>
            <w:noWrap/>
            <w:vAlign w:val="bottom"/>
            <w:hideMark/>
          </w:tcPr>
          <w:p w14:paraId="10614DE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29</w:t>
            </w:r>
          </w:p>
        </w:tc>
        <w:tc>
          <w:tcPr>
            <w:tcW w:w="0" w:type="auto"/>
            <w:shd w:val="clear" w:color="auto" w:fill="auto"/>
            <w:noWrap/>
            <w:vAlign w:val="bottom"/>
            <w:hideMark/>
          </w:tcPr>
          <w:p w14:paraId="7FF6E85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Footway surfacing</w:t>
            </w:r>
          </w:p>
        </w:tc>
        <w:tc>
          <w:tcPr>
            <w:tcW w:w="0" w:type="auto"/>
            <w:shd w:val="clear" w:color="auto" w:fill="auto"/>
            <w:noWrap/>
            <w:vAlign w:val="bottom"/>
            <w:hideMark/>
          </w:tcPr>
          <w:p w14:paraId="3E3C45B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Footway Closure</w:t>
            </w:r>
          </w:p>
        </w:tc>
        <w:tc>
          <w:tcPr>
            <w:tcW w:w="0" w:type="auto"/>
            <w:shd w:val="clear" w:color="auto" w:fill="auto"/>
            <w:noWrap/>
            <w:vAlign w:val="bottom"/>
            <w:hideMark/>
          </w:tcPr>
          <w:p w14:paraId="294C78D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w:t>
            </w:r>
          </w:p>
        </w:tc>
        <w:tc>
          <w:tcPr>
            <w:tcW w:w="0" w:type="auto"/>
            <w:shd w:val="clear" w:color="auto" w:fill="auto"/>
            <w:noWrap/>
            <w:vAlign w:val="bottom"/>
            <w:hideMark/>
          </w:tcPr>
          <w:p w14:paraId="75C4C2BE"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86FEFC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94E8FC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0.58835</w:t>
            </w:r>
          </w:p>
        </w:tc>
        <w:tc>
          <w:tcPr>
            <w:tcW w:w="0" w:type="auto"/>
            <w:shd w:val="clear" w:color="auto" w:fill="auto"/>
            <w:noWrap/>
            <w:vAlign w:val="bottom"/>
            <w:hideMark/>
          </w:tcPr>
          <w:p w14:paraId="75EE304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£56.67</w:t>
            </w:r>
          </w:p>
        </w:tc>
        <w:tc>
          <w:tcPr>
            <w:tcW w:w="0" w:type="auto"/>
            <w:shd w:val="clear" w:color="auto" w:fill="auto"/>
            <w:noWrap/>
            <w:vAlign w:val="bottom"/>
            <w:hideMark/>
          </w:tcPr>
          <w:p w14:paraId="4DC04C4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£56.67</w:t>
            </w:r>
          </w:p>
        </w:tc>
        <w:tc>
          <w:tcPr>
            <w:tcW w:w="0" w:type="auto"/>
            <w:vMerge/>
            <w:vAlign w:val="center"/>
            <w:hideMark/>
          </w:tcPr>
          <w:p w14:paraId="653BD45A"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434E6B3E"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32750E9A"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4FBE050F"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r>
      <w:tr w:rsidR="00594589" w:rsidRPr="00E31091" w14:paraId="64F4BE46" w14:textId="77777777" w:rsidTr="00594589">
        <w:trPr>
          <w:trHeight w:val="300"/>
        </w:trPr>
        <w:tc>
          <w:tcPr>
            <w:tcW w:w="0" w:type="auto"/>
            <w:shd w:val="clear" w:color="auto" w:fill="auto"/>
            <w:noWrap/>
            <w:vAlign w:val="bottom"/>
            <w:hideMark/>
          </w:tcPr>
          <w:p w14:paraId="4D74F2D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30</w:t>
            </w:r>
          </w:p>
        </w:tc>
        <w:tc>
          <w:tcPr>
            <w:tcW w:w="0" w:type="auto"/>
            <w:shd w:val="clear" w:color="auto" w:fill="auto"/>
            <w:noWrap/>
            <w:vAlign w:val="bottom"/>
            <w:hideMark/>
          </w:tcPr>
          <w:p w14:paraId="1A94A9FA"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4499211"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5758380"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8427981"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93BFF9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DC90066"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32119E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7EB8C6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27560CC"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0C0F39D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5,007.288 </w:t>
            </w:r>
          </w:p>
        </w:tc>
        <w:tc>
          <w:tcPr>
            <w:tcW w:w="0" w:type="auto"/>
            <w:shd w:val="clear" w:color="auto" w:fill="auto"/>
            <w:noWrap/>
            <w:vAlign w:val="bottom"/>
            <w:hideMark/>
          </w:tcPr>
          <w:p w14:paraId="3F29DA3F"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43A67C2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77CE2801" w14:textId="77777777" w:rsidTr="00594589">
        <w:trPr>
          <w:trHeight w:val="300"/>
        </w:trPr>
        <w:tc>
          <w:tcPr>
            <w:tcW w:w="0" w:type="auto"/>
            <w:shd w:val="clear" w:color="auto" w:fill="auto"/>
            <w:noWrap/>
            <w:vAlign w:val="bottom"/>
            <w:hideMark/>
          </w:tcPr>
          <w:p w14:paraId="1C347DC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31</w:t>
            </w:r>
          </w:p>
        </w:tc>
        <w:tc>
          <w:tcPr>
            <w:tcW w:w="0" w:type="auto"/>
            <w:shd w:val="clear" w:color="auto" w:fill="auto"/>
            <w:noWrap/>
            <w:vAlign w:val="bottom"/>
            <w:hideMark/>
          </w:tcPr>
          <w:p w14:paraId="24CA799D"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6A83D9A"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F4FEDF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868552D"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598675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2C1D6E4"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15DB19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272894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F095511"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141132C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11,243.179 </w:t>
            </w:r>
          </w:p>
        </w:tc>
        <w:tc>
          <w:tcPr>
            <w:tcW w:w="0" w:type="auto"/>
            <w:shd w:val="clear" w:color="auto" w:fill="auto"/>
            <w:noWrap/>
            <w:vAlign w:val="bottom"/>
            <w:hideMark/>
          </w:tcPr>
          <w:p w14:paraId="72D6190A"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1A8B948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3A5F3065" w14:textId="77777777" w:rsidTr="00594589">
        <w:trPr>
          <w:trHeight w:val="300"/>
        </w:trPr>
        <w:tc>
          <w:tcPr>
            <w:tcW w:w="0" w:type="auto"/>
            <w:shd w:val="clear" w:color="auto" w:fill="auto"/>
            <w:noWrap/>
            <w:vAlign w:val="bottom"/>
            <w:hideMark/>
          </w:tcPr>
          <w:p w14:paraId="3AE19F3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32</w:t>
            </w:r>
          </w:p>
        </w:tc>
        <w:tc>
          <w:tcPr>
            <w:tcW w:w="0" w:type="auto"/>
            <w:shd w:val="clear" w:color="auto" w:fill="auto"/>
            <w:noWrap/>
            <w:vAlign w:val="bottom"/>
            <w:hideMark/>
          </w:tcPr>
          <w:p w14:paraId="7CA57D0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Expansion Joints</w:t>
            </w:r>
          </w:p>
        </w:tc>
        <w:tc>
          <w:tcPr>
            <w:tcW w:w="0" w:type="auto"/>
            <w:shd w:val="clear" w:color="auto" w:fill="auto"/>
            <w:noWrap/>
            <w:vAlign w:val="bottom"/>
            <w:hideMark/>
          </w:tcPr>
          <w:p w14:paraId="73B99DE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Road Closure - Night</w:t>
            </w:r>
          </w:p>
        </w:tc>
        <w:tc>
          <w:tcPr>
            <w:tcW w:w="0" w:type="auto"/>
            <w:shd w:val="clear" w:color="auto" w:fill="auto"/>
            <w:noWrap/>
            <w:vAlign w:val="bottom"/>
            <w:hideMark/>
          </w:tcPr>
          <w:p w14:paraId="32EA86C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w:t>
            </w:r>
          </w:p>
        </w:tc>
        <w:tc>
          <w:tcPr>
            <w:tcW w:w="0" w:type="auto"/>
            <w:shd w:val="clear" w:color="auto" w:fill="auto"/>
            <w:noWrap/>
            <w:vAlign w:val="bottom"/>
            <w:hideMark/>
          </w:tcPr>
          <w:p w14:paraId="6A4213A7"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3F8DBD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D1594D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7.29</w:t>
            </w:r>
          </w:p>
        </w:tc>
        <w:tc>
          <w:tcPr>
            <w:tcW w:w="0" w:type="auto"/>
            <w:shd w:val="clear" w:color="auto" w:fill="auto"/>
            <w:noWrap/>
            <w:vAlign w:val="bottom"/>
            <w:hideMark/>
          </w:tcPr>
          <w:p w14:paraId="3FFC445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£814.81</w:t>
            </w:r>
          </w:p>
        </w:tc>
        <w:tc>
          <w:tcPr>
            <w:tcW w:w="0" w:type="auto"/>
            <w:shd w:val="clear" w:color="auto" w:fill="auto"/>
            <w:noWrap/>
            <w:vAlign w:val="bottom"/>
            <w:hideMark/>
          </w:tcPr>
          <w:p w14:paraId="4BD5981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£814.81</w:t>
            </w:r>
          </w:p>
        </w:tc>
        <w:tc>
          <w:tcPr>
            <w:tcW w:w="0" w:type="auto"/>
            <w:vMerge w:val="restart"/>
            <w:shd w:val="clear" w:color="auto" w:fill="auto"/>
            <w:noWrap/>
            <w:vAlign w:val="bottom"/>
            <w:hideMark/>
          </w:tcPr>
          <w:p w14:paraId="5C387AD4"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vMerge w:val="restart"/>
            <w:shd w:val="clear" w:color="auto" w:fill="auto"/>
            <w:noWrap/>
            <w:vAlign w:val="bottom"/>
            <w:hideMark/>
          </w:tcPr>
          <w:p w14:paraId="7DCCF40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10,915.707 </w:t>
            </w:r>
          </w:p>
        </w:tc>
        <w:tc>
          <w:tcPr>
            <w:tcW w:w="0" w:type="auto"/>
            <w:vMerge w:val="restart"/>
            <w:shd w:val="clear" w:color="auto" w:fill="auto"/>
            <w:noWrap/>
            <w:vAlign w:val="bottom"/>
            <w:hideMark/>
          </w:tcPr>
          <w:p w14:paraId="3AB98DCD"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£313,155</w:t>
            </w:r>
          </w:p>
        </w:tc>
        <w:tc>
          <w:tcPr>
            <w:tcW w:w="0" w:type="auto"/>
            <w:vMerge w:val="restart"/>
            <w:shd w:val="clear" w:color="auto" w:fill="auto"/>
            <w:noWrap/>
            <w:vAlign w:val="bottom"/>
            <w:hideMark/>
          </w:tcPr>
          <w:p w14:paraId="7B81B73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121,609.747 </w:t>
            </w:r>
          </w:p>
        </w:tc>
      </w:tr>
      <w:tr w:rsidR="00594589" w:rsidRPr="00E31091" w14:paraId="3F1BB69C" w14:textId="77777777" w:rsidTr="00594589">
        <w:trPr>
          <w:trHeight w:val="300"/>
        </w:trPr>
        <w:tc>
          <w:tcPr>
            <w:tcW w:w="0" w:type="auto"/>
            <w:shd w:val="clear" w:color="auto" w:fill="auto"/>
            <w:noWrap/>
            <w:vAlign w:val="bottom"/>
            <w:hideMark/>
          </w:tcPr>
          <w:p w14:paraId="70D0642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32</w:t>
            </w:r>
          </w:p>
        </w:tc>
        <w:tc>
          <w:tcPr>
            <w:tcW w:w="0" w:type="auto"/>
            <w:shd w:val="clear" w:color="auto" w:fill="auto"/>
            <w:noWrap/>
            <w:vAlign w:val="bottom"/>
            <w:hideMark/>
          </w:tcPr>
          <w:p w14:paraId="059E7D9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Renew waterproofing</w:t>
            </w:r>
          </w:p>
        </w:tc>
        <w:tc>
          <w:tcPr>
            <w:tcW w:w="0" w:type="auto"/>
            <w:shd w:val="clear" w:color="auto" w:fill="auto"/>
            <w:noWrap/>
            <w:vAlign w:val="bottom"/>
            <w:hideMark/>
          </w:tcPr>
          <w:p w14:paraId="2C43D80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Contraflow</w:t>
            </w:r>
          </w:p>
        </w:tc>
        <w:tc>
          <w:tcPr>
            <w:tcW w:w="0" w:type="auto"/>
            <w:shd w:val="clear" w:color="auto" w:fill="auto"/>
            <w:noWrap/>
            <w:vAlign w:val="bottom"/>
            <w:hideMark/>
          </w:tcPr>
          <w:p w14:paraId="41C4434A"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1563C2F"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44FA9C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F31BEF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6.2</w:t>
            </w:r>
          </w:p>
        </w:tc>
        <w:tc>
          <w:tcPr>
            <w:tcW w:w="0" w:type="auto"/>
            <w:shd w:val="clear" w:color="auto" w:fill="auto"/>
            <w:noWrap/>
            <w:vAlign w:val="bottom"/>
            <w:hideMark/>
          </w:tcPr>
          <w:p w14:paraId="3277EAF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£692.98</w:t>
            </w:r>
          </w:p>
        </w:tc>
        <w:tc>
          <w:tcPr>
            <w:tcW w:w="0" w:type="auto"/>
            <w:shd w:val="clear" w:color="auto" w:fill="auto"/>
            <w:noWrap/>
            <w:vAlign w:val="bottom"/>
            <w:hideMark/>
          </w:tcPr>
          <w:p w14:paraId="3D7EBD0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£692.98</w:t>
            </w:r>
          </w:p>
        </w:tc>
        <w:tc>
          <w:tcPr>
            <w:tcW w:w="0" w:type="auto"/>
            <w:vMerge/>
            <w:vAlign w:val="center"/>
            <w:hideMark/>
          </w:tcPr>
          <w:p w14:paraId="4227B76D"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08B49550"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12D0C0D5"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6D8269A4"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r>
      <w:tr w:rsidR="00594589" w:rsidRPr="00E31091" w14:paraId="1310C30B" w14:textId="77777777" w:rsidTr="00594589">
        <w:trPr>
          <w:trHeight w:val="300"/>
        </w:trPr>
        <w:tc>
          <w:tcPr>
            <w:tcW w:w="0" w:type="auto"/>
            <w:shd w:val="clear" w:color="auto" w:fill="auto"/>
            <w:noWrap/>
            <w:vAlign w:val="bottom"/>
            <w:hideMark/>
          </w:tcPr>
          <w:p w14:paraId="2539463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32</w:t>
            </w:r>
          </w:p>
        </w:tc>
        <w:tc>
          <w:tcPr>
            <w:tcW w:w="0" w:type="auto"/>
            <w:shd w:val="clear" w:color="auto" w:fill="auto"/>
            <w:noWrap/>
            <w:vAlign w:val="bottom"/>
            <w:hideMark/>
          </w:tcPr>
          <w:p w14:paraId="21480AD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superstructure Drainage</w:t>
            </w:r>
          </w:p>
        </w:tc>
        <w:tc>
          <w:tcPr>
            <w:tcW w:w="0" w:type="auto"/>
            <w:shd w:val="clear" w:color="auto" w:fill="auto"/>
            <w:noWrap/>
            <w:vAlign w:val="bottom"/>
            <w:hideMark/>
          </w:tcPr>
          <w:p w14:paraId="63D3D56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Lane Closures</w:t>
            </w:r>
          </w:p>
        </w:tc>
        <w:tc>
          <w:tcPr>
            <w:tcW w:w="0" w:type="auto"/>
            <w:shd w:val="clear" w:color="auto" w:fill="auto"/>
            <w:noWrap/>
            <w:vAlign w:val="bottom"/>
            <w:hideMark/>
          </w:tcPr>
          <w:p w14:paraId="50AEDCA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10</w:t>
            </w:r>
          </w:p>
        </w:tc>
        <w:tc>
          <w:tcPr>
            <w:tcW w:w="0" w:type="auto"/>
            <w:shd w:val="clear" w:color="auto" w:fill="auto"/>
            <w:noWrap/>
            <w:vAlign w:val="bottom"/>
            <w:hideMark/>
          </w:tcPr>
          <w:p w14:paraId="5F55009C"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B05551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69EF75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0.85</w:t>
            </w:r>
          </w:p>
        </w:tc>
        <w:tc>
          <w:tcPr>
            <w:tcW w:w="0" w:type="auto"/>
            <w:shd w:val="clear" w:color="auto" w:fill="auto"/>
            <w:noWrap/>
            <w:vAlign w:val="bottom"/>
            <w:hideMark/>
          </w:tcPr>
          <w:p w14:paraId="4B840BE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£95.01</w:t>
            </w:r>
          </w:p>
        </w:tc>
        <w:tc>
          <w:tcPr>
            <w:tcW w:w="0" w:type="auto"/>
            <w:shd w:val="clear" w:color="auto" w:fill="auto"/>
            <w:noWrap/>
            <w:vAlign w:val="bottom"/>
            <w:hideMark/>
          </w:tcPr>
          <w:p w14:paraId="23C9F02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£95.01</w:t>
            </w:r>
          </w:p>
        </w:tc>
        <w:tc>
          <w:tcPr>
            <w:tcW w:w="0" w:type="auto"/>
            <w:vMerge/>
            <w:vAlign w:val="center"/>
            <w:hideMark/>
          </w:tcPr>
          <w:p w14:paraId="150E70A5"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66041C11"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46B5A5DF"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41A932DB"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r>
      <w:tr w:rsidR="00594589" w:rsidRPr="00E31091" w14:paraId="2843A43B" w14:textId="77777777" w:rsidTr="00594589">
        <w:trPr>
          <w:trHeight w:val="300"/>
        </w:trPr>
        <w:tc>
          <w:tcPr>
            <w:tcW w:w="0" w:type="auto"/>
            <w:shd w:val="clear" w:color="auto" w:fill="auto"/>
            <w:noWrap/>
            <w:vAlign w:val="bottom"/>
            <w:hideMark/>
          </w:tcPr>
          <w:p w14:paraId="05173B6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33</w:t>
            </w:r>
          </w:p>
        </w:tc>
        <w:tc>
          <w:tcPr>
            <w:tcW w:w="0" w:type="auto"/>
            <w:shd w:val="clear" w:color="auto" w:fill="auto"/>
            <w:noWrap/>
            <w:vAlign w:val="bottom"/>
            <w:hideMark/>
          </w:tcPr>
          <w:p w14:paraId="674F10B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Concrete repairs to abutments </w:t>
            </w:r>
          </w:p>
        </w:tc>
        <w:tc>
          <w:tcPr>
            <w:tcW w:w="0" w:type="auto"/>
            <w:shd w:val="clear" w:color="auto" w:fill="auto"/>
            <w:noWrap/>
            <w:vAlign w:val="bottom"/>
            <w:hideMark/>
          </w:tcPr>
          <w:p w14:paraId="5F4254E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0EC07392"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81E645C"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0FCD95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F2BAA9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23.2875</w:t>
            </w:r>
          </w:p>
        </w:tc>
        <w:tc>
          <w:tcPr>
            <w:tcW w:w="0" w:type="auto"/>
            <w:shd w:val="clear" w:color="auto" w:fill="auto"/>
            <w:noWrap/>
            <w:vAlign w:val="bottom"/>
            <w:hideMark/>
          </w:tcPr>
          <w:p w14:paraId="593D1D1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£2,605.29</w:t>
            </w:r>
          </w:p>
        </w:tc>
        <w:tc>
          <w:tcPr>
            <w:tcW w:w="0" w:type="auto"/>
            <w:shd w:val="clear" w:color="auto" w:fill="auto"/>
            <w:noWrap/>
            <w:vAlign w:val="bottom"/>
            <w:hideMark/>
          </w:tcPr>
          <w:p w14:paraId="1892670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£2,605.29</w:t>
            </w:r>
          </w:p>
        </w:tc>
        <w:tc>
          <w:tcPr>
            <w:tcW w:w="0" w:type="auto"/>
            <w:vMerge w:val="restart"/>
            <w:shd w:val="clear" w:color="auto" w:fill="auto"/>
            <w:noWrap/>
            <w:vAlign w:val="bottom"/>
            <w:hideMark/>
          </w:tcPr>
          <w:p w14:paraId="4386752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vMerge w:val="restart"/>
            <w:shd w:val="clear" w:color="auto" w:fill="auto"/>
            <w:noWrap/>
            <w:vAlign w:val="bottom"/>
            <w:hideMark/>
          </w:tcPr>
          <w:p w14:paraId="1849CA5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5,298.887 </w:t>
            </w:r>
          </w:p>
        </w:tc>
        <w:tc>
          <w:tcPr>
            <w:tcW w:w="0" w:type="auto"/>
            <w:vMerge w:val="restart"/>
            <w:shd w:val="clear" w:color="auto" w:fill="auto"/>
            <w:noWrap/>
            <w:vAlign w:val="bottom"/>
            <w:hideMark/>
          </w:tcPr>
          <w:p w14:paraId="61E52029"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£269,524</w:t>
            </w:r>
          </w:p>
        </w:tc>
        <w:tc>
          <w:tcPr>
            <w:tcW w:w="0" w:type="auto"/>
            <w:vMerge w:val="restart"/>
            <w:shd w:val="clear" w:color="auto" w:fill="auto"/>
            <w:noWrap/>
            <w:vAlign w:val="bottom"/>
            <w:hideMark/>
          </w:tcPr>
          <w:p w14:paraId="2E0F9E9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101,617.483 </w:t>
            </w:r>
          </w:p>
        </w:tc>
      </w:tr>
      <w:tr w:rsidR="00594589" w:rsidRPr="00E31091" w14:paraId="44C1AA98" w14:textId="77777777" w:rsidTr="00594589">
        <w:trPr>
          <w:trHeight w:val="300"/>
        </w:trPr>
        <w:tc>
          <w:tcPr>
            <w:tcW w:w="0" w:type="auto"/>
            <w:shd w:val="clear" w:color="auto" w:fill="auto"/>
            <w:noWrap/>
            <w:vAlign w:val="bottom"/>
            <w:hideMark/>
          </w:tcPr>
          <w:p w14:paraId="460026B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33</w:t>
            </w:r>
          </w:p>
        </w:tc>
        <w:tc>
          <w:tcPr>
            <w:tcW w:w="0" w:type="auto"/>
            <w:shd w:val="clear" w:color="auto" w:fill="auto"/>
            <w:noWrap/>
            <w:vAlign w:val="bottom"/>
            <w:hideMark/>
          </w:tcPr>
          <w:p w14:paraId="0ED994D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Bearings</w:t>
            </w:r>
          </w:p>
        </w:tc>
        <w:tc>
          <w:tcPr>
            <w:tcW w:w="0" w:type="auto"/>
            <w:shd w:val="clear" w:color="auto" w:fill="auto"/>
            <w:noWrap/>
            <w:vAlign w:val="bottom"/>
            <w:hideMark/>
          </w:tcPr>
          <w:p w14:paraId="4C30DB7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095F733E"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DD4C84C"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714DCF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66E6D1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22.825</w:t>
            </w:r>
          </w:p>
        </w:tc>
        <w:tc>
          <w:tcPr>
            <w:tcW w:w="0" w:type="auto"/>
            <w:shd w:val="clear" w:color="auto" w:fill="auto"/>
            <w:noWrap/>
            <w:vAlign w:val="bottom"/>
            <w:hideMark/>
          </w:tcPr>
          <w:p w14:paraId="655ADD8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£2,553.55</w:t>
            </w:r>
          </w:p>
        </w:tc>
        <w:tc>
          <w:tcPr>
            <w:tcW w:w="0" w:type="auto"/>
            <w:shd w:val="clear" w:color="auto" w:fill="auto"/>
            <w:noWrap/>
            <w:vAlign w:val="bottom"/>
            <w:hideMark/>
          </w:tcPr>
          <w:p w14:paraId="69F127E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£2,553.55</w:t>
            </w:r>
          </w:p>
        </w:tc>
        <w:tc>
          <w:tcPr>
            <w:tcW w:w="0" w:type="auto"/>
            <w:vMerge/>
            <w:vAlign w:val="center"/>
            <w:hideMark/>
          </w:tcPr>
          <w:p w14:paraId="6395D5E3"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063B4C0C"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2BE10F06"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740A2887"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r>
      <w:tr w:rsidR="00594589" w:rsidRPr="00E31091" w14:paraId="06D8E752" w14:textId="77777777" w:rsidTr="00594589">
        <w:trPr>
          <w:trHeight w:val="300"/>
        </w:trPr>
        <w:tc>
          <w:tcPr>
            <w:tcW w:w="0" w:type="auto"/>
            <w:shd w:val="clear" w:color="auto" w:fill="auto"/>
            <w:noWrap/>
            <w:vAlign w:val="bottom"/>
            <w:hideMark/>
          </w:tcPr>
          <w:p w14:paraId="54BA644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34</w:t>
            </w:r>
          </w:p>
        </w:tc>
        <w:tc>
          <w:tcPr>
            <w:tcW w:w="0" w:type="auto"/>
            <w:shd w:val="clear" w:color="auto" w:fill="auto"/>
            <w:noWrap/>
            <w:vAlign w:val="bottom"/>
            <w:hideMark/>
          </w:tcPr>
          <w:p w14:paraId="0DA5060E"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EE604E8"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956E624"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5C7ACDA"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83EDC6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E99E72E"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146BD6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1DD15A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99362AE"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063D98F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5,144.55 </w:t>
            </w:r>
          </w:p>
        </w:tc>
        <w:tc>
          <w:tcPr>
            <w:tcW w:w="0" w:type="auto"/>
            <w:shd w:val="clear" w:color="auto" w:fill="auto"/>
            <w:noWrap/>
            <w:vAlign w:val="bottom"/>
            <w:hideMark/>
          </w:tcPr>
          <w:p w14:paraId="0421D07D"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20480AF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0141FE77" w14:textId="77777777" w:rsidTr="00594589">
        <w:trPr>
          <w:trHeight w:val="300"/>
        </w:trPr>
        <w:tc>
          <w:tcPr>
            <w:tcW w:w="0" w:type="auto"/>
            <w:shd w:val="clear" w:color="auto" w:fill="auto"/>
            <w:noWrap/>
            <w:vAlign w:val="bottom"/>
            <w:hideMark/>
          </w:tcPr>
          <w:p w14:paraId="4A2EDC8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35</w:t>
            </w:r>
          </w:p>
        </w:tc>
        <w:tc>
          <w:tcPr>
            <w:tcW w:w="0" w:type="auto"/>
            <w:shd w:val="clear" w:color="auto" w:fill="auto"/>
            <w:noWrap/>
            <w:vAlign w:val="bottom"/>
            <w:hideMark/>
          </w:tcPr>
          <w:p w14:paraId="02CDFEAF"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3B02D6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8CBB51A"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9EF4C4A"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C4E5BF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52A1B12"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B5D584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7118F3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7AFF384"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641DF42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9,989.42 </w:t>
            </w:r>
          </w:p>
        </w:tc>
        <w:tc>
          <w:tcPr>
            <w:tcW w:w="0" w:type="auto"/>
            <w:shd w:val="clear" w:color="auto" w:fill="auto"/>
            <w:noWrap/>
            <w:vAlign w:val="bottom"/>
            <w:hideMark/>
          </w:tcPr>
          <w:p w14:paraId="6C2D71C2"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267212A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15FE8754" w14:textId="77777777" w:rsidTr="00594589">
        <w:trPr>
          <w:trHeight w:val="300"/>
        </w:trPr>
        <w:tc>
          <w:tcPr>
            <w:tcW w:w="0" w:type="auto"/>
            <w:shd w:val="clear" w:color="auto" w:fill="auto"/>
            <w:noWrap/>
            <w:vAlign w:val="bottom"/>
            <w:hideMark/>
          </w:tcPr>
          <w:p w14:paraId="5BCBC96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36</w:t>
            </w:r>
          </w:p>
        </w:tc>
        <w:tc>
          <w:tcPr>
            <w:tcW w:w="0" w:type="auto"/>
            <w:shd w:val="clear" w:color="auto" w:fill="auto"/>
            <w:noWrap/>
            <w:vAlign w:val="bottom"/>
            <w:hideMark/>
          </w:tcPr>
          <w:p w14:paraId="33F9B09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Carriageway Surfacing</w:t>
            </w:r>
          </w:p>
        </w:tc>
        <w:tc>
          <w:tcPr>
            <w:tcW w:w="0" w:type="auto"/>
            <w:shd w:val="clear" w:color="auto" w:fill="auto"/>
            <w:noWrap/>
            <w:vAlign w:val="bottom"/>
            <w:hideMark/>
          </w:tcPr>
          <w:p w14:paraId="0CF9273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Lane Closures</w:t>
            </w:r>
          </w:p>
        </w:tc>
        <w:tc>
          <w:tcPr>
            <w:tcW w:w="0" w:type="auto"/>
            <w:shd w:val="clear" w:color="auto" w:fill="auto"/>
            <w:noWrap/>
            <w:vAlign w:val="bottom"/>
            <w:hideMark/>
          </w:tcPr>
          <w:p w14:paraId="4D623AF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10</w:t>
            </w:r>
          </w:p>
        </w:tc>
        <w:tc>
          <w:tcPr>
            <w:tcW w:w="0" w:type="auto"/>
            <w:shd w:val="clear" w:color="auto" w:fill="auto"/>
            <w:noWrap/>
            <w:vAlign w:val="bottom"/>
            <w:hideMark/>
          </w:tcPr>
          <w:p w14:paraId="4C7C718A"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D1C9F3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E15B46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3.51165</w:t>
            </w:r>
          </w:p>
        </w:tc>
        <w:tc>
          <w:tcPr>
            <w:tcW w:w="0" w:type="auto"/>
            <w:shd w:val="clear" w:color="auto" w:fill="auto"/>
            <w:noWrap/>
            <w:vAlign w:val="bottom"/>
            <w:hideMark/>
          </w:tcPr>
          <w:p w14:paraId="11B7046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£391.91</w:t>
            </w:r>
          </w:p>
        </w:tc>
        <w:tc>
          <w:tcPr>
            <w:tcW w:w="0" w:type="auto"/>
            <w:shd w:val="clear" w:color="auto" w:fill="auto"/>
            <w:noWrap/>
            <w:vAlign w:val="bottom"/>
            <w:hideMark/>
          </w:tcPr>
          <w:p w14:paraId="3530983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£391.91</w:t>
            </w:r>
          </w:p>
        </w:tc>
        <w:tc>
          <w:tcPr>
            <w:tcW w:w="0" w:type="auto"/>
            <w:shd w:val="clear" w:color="auto" w:fill="auto"/>
            <w:noWrap/>
            <w:vAlign w:val="bottom"/>
            <w:hideMark/>
          </w:tcPr>
          <w:p w14:paraId="244D5E8A"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473089B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4,849.23 </w:t>
            </w:r>
          </w:p>
        </w:tc>
        <w:tc>
          <w:tcPr>
            <w:tcW w:w="0" w:type="auto"/>
            <w:shd w:val="clear" w:color="auto" w:fill="auto"/>
            <w:noWrap/>
            <w:vAlign w:val="bottom"/>
            <w:hideMark/>
          </w:tcPr>
          <w:p w14:paraId="2C1FB9B9"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£100,681</w:t>
            </w:r>
          </w:p>
        </w:tc>
        <w:tc>
          <w:tcPr>
            <w:tcW w:w="0" w:type="auto"/>
            <w:shd w:val="clear" w:color="auto" w:fill="auto"/>
            <w:noWrap/>
            <w:vAlign w:val="bottom"/>
            <w:hideMark/>
          </w:tcPr>
          <w:p w14:paraId="5824C74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34,738.11 </w:t>
            </w:r>
          </w:p>
        </w:tc>
      </w:tr>
      <w:tr w:rsidR="00594589" w:rsidRPr="00E31091" w14:paraId="70224A40" w14:textId="77777777" w:rsidTr="00594589">
        <w:trPr>
          <w:trHeight w:val="300"/>
        </w:trPr>
        <w:tc>
          <w:tcPr>
            <w:tcW w:w="0" w:type="auto"/>
            <w:shd w:val="clear" w:color="auto" w:fill="auto"/>
            <w:noWrap/>
            <w:vAlign w:val="bottom"/>
            <w:hideMark/>
          </w:tcPr>
          <w:p w14:paraId="609A576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37</w:t>
            </w:r>
          </w:p>
        </w:tc>
        <w:tc>
          <w:tcPr>
            <w:tcW w:w="0" w:type="auto"/>
            <w:shd w:val="clear" w:color="auto" w:fill="auto"/>
            <w:noWrap/>
            <w:vAlign w:val="bottom"/>
            <w:hideMark/>
          </w:tcPr>
          <w:p w14:paraId="1C1761CF"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8100AC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A7B5B0D"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960CFDF"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213892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281B9FD"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5C925D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0BE21A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91D7DBF"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5B6DFB2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4,707.99 </w:t>
            </w:r>
          </w:p>
        </w:tc>
        <w:tc>
          <w:tcPr>
            <w:tcW w:w="0" w:type="auto"/>
            <w:shd w:val="clear" w:color="auto" w:fill="auto"/>
            <w:noWrap/>
            <w:vAlign w:val="bottom"/>
            <w:hideMark/>
          </w:tcPr>
          <w:p w14:paraId="2549D1AE"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1BFDBC0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0086954E" w14:textId="77777777" w:rsidTr="00594589">
        <w:trPr>
          <w:trHeight w:val="300"/>
        </w:trPr>
        <w:tc>
          <w:tcPr>
            <w:tcW w:w="0" w:type="auto"/>
            <w:shd w:val="clear" w:color="auto" w:fill="auto"/>
            <w:noWrap/>
            <w:vAlign w:val="bottom"/>
            <w:hideMark/>
          </w:tcPr>
          <w:p w14:paraId="6E877BE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38</w:t>
            </w:r>
          </w:p>
        </w:tc>
        <w:tc>
          <w:tcPr>
            <w:tcW w:w="0" w:type="auto"/>
            <w:shd w:val="clear" w:color="auto" w:fill="auto"/>
            <w:noWrap/>
            <w:vAlign w:val="bottom"/>
            <w:hideMark/>
          </w:tcPr>
          <w:p w14:paraId="5EAA048B"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B7D336B"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D2A716D"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04E4F77"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74B858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74DC109"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CF37D4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41A660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3C84ABF"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55E84A1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4,570.87 </w:t>
            </w:r>
          </w:p>
        </w:tc>
        <w:tc>
          <w:tcPr>
            <w:tcW w:w="0" w:type="auto"/>
            <w:shd w:val="clear" w:color="auto" w:fill="auto"/>
            <w:noWrap/>
            <w:vAlign w:val="bottom"/>
            <w:hideMark/>
          </w:tcPr>
          <w:p w14:paraId="4B6E4F5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61E7467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672C3117" w14:textId="77777777" w:rsidTr="00594589">
        <w:trPr>
          <w:trHeight w:val="300"/>
        </w:trPr>
        <w:tc>
          <w:tcPr>
            <w:tcW w:w="0" w:type="auto"/>
            <w:shd w:val="clear" w:color="auto" w:fill="auto"/>
            <w:noWrap/>
            <w:vAlign w:val="bottom"/>
            <w:hideMark/>
          </w:tcPr>
          <w:p w14:paraId="461A778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39</w:t>
            </w:r>
          </w:p>
        </w:tc>
        <w:tc>
          <w:tcPr>
            <w:tcW w:w="0" w:type="auto"/>
            <w:shd w:val="clear" w:color="auto" w:fill="auto"/>
            <w:noWrap/>
            <w:vAlign w:val="bottom"/>
            <w:hideMark/>
          </w:tcPr>
          <w:p w14:paraId="00692821"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D353900"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DD8ABFC"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C4ADBDB"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EE13D5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1FA47AE"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99CD6B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0E5477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6F4D55D"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19AA1EF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4,437.73 </w:t>
            </w:r>
          </w:p>
        </w:tc>
        <w:tc>
          <w:tcPr>
            <w:tcW w:w="0" w:type="auto"/>
            <w:shd w:val="clear" w:color="auto" w:fill="auto"/>
            <w:noWrap/>
            <w:vAlign w:val="bottom"/>
            <w:hideMark/>
          </w:tcPr>
          <w:p w14:paraId="2E71A1F9"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585F9D8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0A245C50" w14:textId="77777777" w:rsidTr="00594589">
        <w:trPr>
          <w:trHeight w:val="300"/>
        </w:trPr>
        <w:tc>
          <w:tcPr>
            <w:tcW w:w="0" w:type="auto"/>
            <w:shd w:val="clear" w:color="auto" w:fill="auto"/>
            <w:noWrap/>
            <w:vAlign w:val="bottom"/>
            <w:hideMark/>
          </w:tcPr>
          <w:p w14:paraId="25643DC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40</w:t>
            </w:r>
          </w:p>
        </w:tc>
        <w:tc>
          <w:tcPr>
            <w:tcW w:w="0" w:type="auto"/>
            <w:shd w:val="clear" w:color="auto" w:fill="auto"/>
            <w:noWrap/>
            <w:vAlign w:val="bottom"/>
            <w:hideMark/>
          </w:tcPr>
          <w:p w14:paraId="11A225BA"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48E19C7"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A7FAC87"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F0A8A96"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2738AA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59A69A7"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FD40EB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545ADF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D30BA92"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31724FF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4,308.48 </w:t>
            </w:r>
          </w:p>
        </w:tc>
        <w:tc>
          <w:tcPr>
            <w:tcW w:w="0" w:type="auto"/>
            <w:shd w:val="clear" w:color="auto" w:fill="auto"/>
            <w:noWrap/>
            <w:vAlign w:val="bottom"/>
            <w:hideMark/>
          </w:tcPr>
          <w:p w14:paraId="0972001D"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757AFC0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2DDC7185" w14:textId="77777777" w:rsidTr="00594589">
        <w:trPr>
          <w:trHeight w:val="300"/>
        </w:trPr>
        <w:tc>
          <w:tcPr>
            <w:tcW w:w="0" w:type="auto"/>
            <w:shd w:val="clear" w:color="auto" w:fill="auto"/>
            <w:noWrap/>
            <w:vAlign w:val="bottom"/>
            <w:hideMark/>
          </w:tcPr>
          <w:p w14:paraId="2FF6179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41</w:t>
            </w:r>
          </w:p>
        </w:tc>
        <w:tc>
          <w:tcPr>
            <w:tcW w:w="0" w:type="auto"/>
            <w:shd w:val="clear" w:color="auto" w:fill="auto"/>
            <w:noWrap/>
            <w:vAlign w:val="bottom"/>
            <w:hideMark/>
          </w:tcPr>
          <w:p w14:paraId="0EF3F458"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FF18A71"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058ECEA"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E859B0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69878F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2646787"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0E485C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9EDE88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6FF7CAE"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225F0B0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8,365.98 </w:t>
            </w:r>
          </w:p>
        </w:tc>
        <w:tc>
          <w:tcPr>
            <w:tcW w:w="0" w:type="auto"/>
            <w:shd w:val="clear" w:color="auto" w:fill="auto"/>
            <w:noWrap/>
            <w:vAlign w:val="bottom"/>
            <w:hideMark/>
          </w:tcPr>
          <w:p w14:paraId="33371A5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63FAF6D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4251F2F1" w14:textId="77777777" w:rsidTr="00594589">
        <w:trPr>
          <w:trHeight w:val="300"/>
        </w:trPr>
        <w:tc>
          <w:tcPr>
            <w:tcW w:w="0" w:type="auto"/>
            <w:shd w:val="clear" w:color="auto" w:fill="auto"/>
            <w:noWrap/>
            <w:vAlign w:val="bottom"/>
            <w:hideMark/>
          </w:tcPr>
          <w:p w14:paraId="7CFBC5D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42</w:t>
            </w:r>
          </w:p>
        </w:tc>
        <w:tc>
          <w:tcPr>
            <w:tcW w:w="0" w:type="auto"/>
            <w:shd w:val="clear" w:color="auto" w:fill="auto"/>
            <w:noWrap/>
            <w:vAlign w:val="bottom"/>
            <w:hideMark/>
          </w:tcPr>
          <w:p w14:paraId="61E2CB9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Expansion Joints</w:t>
            </w:r>
          </w:p>
        </w:tc>
        <w:tc>
          <w:tcPr>
            <w:tcW w:w="0" w:type="auto"/>
            <w:shd w:val="clear" w:color="auto" w:fill="auto"/>
            <w:noWrap/>
            <w:vAlign w:val="bottom"/>
            <w:hideMark/>
          </w:tcPr>
          <w:p w14:paraId="54A90FB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Road Closure - Night</w:t>
            </w:r>
          </w:p>
        </w:tc>
        <w:tc>
          <w:tcPr>
            <w:tcW w:w="0" w:type="auto"/>
            <w:shd w:val="clear" w:color="auto" w:fill="auto"/>
            <w:noWrap/>
            <w:vAlign w:val="bottom"/>
            <w:hideMark/>
          </w:tcPr>
          <w:p w14:paraId="74CD7BC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w:t>
            </w:r>
          </w:p>
        </w:tc>
        <w:tc>
          <w:tcPr>
            <w:tcW w:w="0" w:type="auto"/>
            <w:shd w:val="clear" w:color="auto" w:fill="auto"/>
            <w:noWrap/>
            <w:vAlign w:val="bottom"/>
            <w:hideMark/>
          </w:tcPr>
          <w:p w14:paraId="0A11A0DD"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154FA9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41EC84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7.29</w:t>
            </w:r>
          </w:p>
        </w:tc>
        <w:tc>
          <w:tcPr>
            <w:tcW w:w="0" w:type="auto"/>
            <w:shd w:val="clear" w:color="auto" w:fill="auto"/>
            <w:noWrap/>
            <w:vAlign w:val="bottom"/>
            <w:hideMark/>
          </w:tcPr>
          <w:p w14:paraId="7BF5251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£776.36</w:t>
            </w:r>
          </w:p>
        </w:tc>
        <w:tc>
          <w:tcPr>
            <w:tcW w:w="0" w:type="auto"/>
            <w:shd w:val="clear" w:color="auto" w:fill="auto"/>
            <w:noWrap/>
            <w:vAlign w:val="bottom"/>
            <w:hideMark/>
          </w:tcPr>
          <w:p w14:paraId="069C445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£776.36</w:t>
            </w:r>
          </w:p>
        </w:tc>
        <w:tc>
          <w:tcPr>
            <w:tcW w:w="0" w:type="auto"/>
            <w:shd w:val="clear" w:color="auto" w:fill="auto"/>
            <w:noWrap/>
            <w:vAlign w:val="bottom"/>
            <w:hideMark/>
          </w:tcPr>
          <w:p w14:paraId="33F66997"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0F3D913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4,061.16 </w:t>
            </w:r>
          </w:p>
        </w:tc>
        <w:tc>
          <w:tcPr>
            <w:tcW w:w="0" w:type="auto"/>
            <w:shd w:val="clear" w:color="auto" w:fill="auto"/>
            <w:noWrap/>
            <w:vAlign w:val="bottom"/>
            <w:hideMark/>
          </w:tcPr>
          <w:p w14:paraId="47F97A4C"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£21,663</w:t>
            </w:r>
          </w:p>
        </w:tc>
        <w:tc>
          <w:tcPr>
            <w:tcW w:w="0" w:type="auto"/>
            <w:shd w:val="clear" w:color="auto" w:fill="auto"/>
            <w:noWrap/>
            <w:vAlign w:val="bottom"/>
            <w:hideMark/>
          </w:tcPr>
          <w:p w14:paraId="48D584B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6,259.70 </w:t>
            </w:r>
          </w:p>
        </w:tc>
      </w:tr>
      <w:tr w:rsidR="00594589" w:rsidRPr="00E31091" w14:paraId="0BA909D5" w14:textId="77777777" w:rsidTr="00594589">
        <w:trPr>
          <w:trHeight w:val="300"/>
        </w:trPr>
        <w:tc>
          <w:tcPr>
            <w:tcW w:w="0" w:type="auto"/>
            <w:shd w:val="clear" w:color="auto" w:fill="auto"/>
            <w:noWrap/>
            <w:vAlign w:val="bottom"/>
            <w:hideMark/>
          </w:tcPr>
          <w:p w14:paraId="5CE1EEC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43</w:t>
            </w:r>
          </w:p>
        </w:tc>
        <w:tc>
          <w:tcPr>
            <w:tcW w:w="0" w:type="auto"/>
            <w:shd w:val="clear" w:color="auto" w:fill="auto"/>
            <w:noWrap/>
            <w:vAlign w:val="bottom"/>
            <w:hideMark/>
          </w:tcPr>
          <w:p w14:paraId="629313D9"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F6D62D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274D6D9"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7632464"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177D6D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D79A6A9"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EFB6FD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EFE922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738BB9A"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1681E50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7,885.74 </w:t>
            </w:r>
          </w:p>
        </w:tc>
        <w:tc>
          <w:tcPr>
            <w:tcW w:w="0" w:type="auto"/>
            <w:shd w:val="clear" w:color="auto" w:fill="auto"/>
            <w:noWrap/>
            <w:vAlign w:val="bottom"/>
            <w:hideMark/>
          </w:tcPr>
          <w:p w14:paraId="103C0E78"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6B03CBA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70AEE4B6" w14:textId="77777777" w:rsidTr="00594589">
        <w:trPr>
          <w:trHeight w:val="300"/>
        </w:trPr>
        <w:tc>
          <w:tcPr>
            <w:tcW w:w="0" w:type="auto"/>
            <w:shd w:val="clear" w:color="auto" w:fill="auto"/>
            <w:noWrap/>
            <w:vAlign w:val="bottom"/>
            <w:hideMark/>
          </w:tcPr>
          <w:p w14:paraId="6EEAF88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44</w:t>
            </w:r>
          </w:p>
        </w:tc>
        <w:tc>
          <w:tcPr>
            <w:tcW w:w="0" w:type="auto"/>
            <w:shd w:val="clear" w:color="auto" w:fill="auto"/>
            <w:noWrap/>
            <w:vAlign w:val="bottom"/>
            <w:hideMark/>
          </w:tcPr>
          <w:p w14:paraId="474D768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Metalwork repairs to deck bracing</w:t>
            </w:r>
          </w:p>
        </w:tc>
        <w:tc>
          <w:tcPr>
            <w:tcW w:w="0" w:type="auto"/>
            <w:shd w:val="clear" w:color="auto" w:fill="auto"/>
            <w:noWrap/>
            <w:vAlign w:val="bottom"/>
            <w:hideMark/>
          </w:tcPr>
          <w:p w14:paraId="01C94CC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2293FE96"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29A771F"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AD8945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1BF8A4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1.3875</w:t>
            </w:r>
          </w:p>
        </w:tc>
        <w:tc>
          <w:tcPr>
            <w:tcW w:w="0" w:type="auto"/>
            <w:shd w:val="clear" w:color="auto" w:fill="auto"/>
            <w:noWrap/>
            <w:vAlign w:val="bottom"/>
            <w:hideMark/>
          </w:tcPr>
          <w:p w14:paraId="2C29646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£142.85</w:t>
            </w:r>
          </w:p>
        </w:tc>
        <w:tc>
          <w:tcPr>
            <w:tcW w:w="0" w:type="auto"/>
            <w:shd w:val="clear" w:color="auto" w:fill="auto"/>
            <w:noWrap/>
            <w:vAlign w:val="bottom"/>
            <w:hideMark/>
          </w:tcPr>
          <w:p w14:paraId="4AFD47E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£142.85</w:t>
            </w:r>
          </w:p>
        </w:tc>
        <w:tc>
          <w:tcPr>
            <w:tcW w:w="0" w:type="auto"/>
            <w:shd w:val="clear" w:color="auto" w:fill="auto"/>
            <w:noWrap/>
            <w:vAlign w:val="bottom"/>
            <w:hideMark/>
          </w:tcPr>
          <w:p w14:paraId="71BCC8F3"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7276168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74B0373"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£130,346</w:t>
            </w:r>
          </w:p>
        </w:tc>
        <w:tc>
          <w:tcPr>
            <w:tcW w:w="0" w:type="auto"/>
            <w:shd w:val="clear" w:color="auto" w:fill="auto"/>
            <w:noWrap/>
            <w:vAlign w:val="bottom"/>
            <w:hideMark/>
          </w:tcPr>
          <w:p w14:paraId="53D0147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35,502.55 </w:t>
            </w:r>
          </w:p>
        </w:tc>
      </w:tr>
      <w:tr w:rsidR="00594589" w:rsidRPr="00E31091" w14:paraId="6BF1B2E5" w14:textId="77777777" w:rsidTr="00594589">
        <w:trPr>
          <w:trHeight w:val="300"/>
        </w:trPr>
        <w:tc>
          <w:tcPr>
            <w:tcW w:w="0" w:type="auto"/>
            <w:shd w:val="clear" w:color="auto" w:fill="auto"/>
            <w:noWrap/>
            <w:vAlign w:val="bottom"/>
            <w:hideMark/>
          </w:tcPr>
          <w:p w14:paraId="00890A2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45</w:t>
            </w:r>
          </w:p>
        </w:tc>
        <w:tc>
          <w:tcPr>
            <w:tcW w:w="0" w:type="auto"/>
            <w:shd w:val="clear" w:color="auto" w:fill="auto"/>
            <w:noWrap/>
            <w:vAlign w:val="bottom"/>
            <w:hideMark/>
          </w:tcPr>
          <w:p w14:paraId="2456A979"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BB048BF"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4E398CC"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A699E4A"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0EA6CB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C5972F5"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E9C0FF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41D9DA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F369DA2"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4D4A3B0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3C63F19"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576F829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3281D81C" w14:textId="77777777" w:rsidTr="00594589">
        <w:trPr>
          <w:trHeight w:val="300"/>
        </w:trPr>
        <w:tc>
          <w:tcPr>
            <w:tcW w:w="0" w:type="auto"/>
            <w:shd w:val="clear" w:color="auto" w:fill="auto"/>
            <w:noWrap/>
            <w:vAlign w:val="bottom"/>
            <w:hideMark/>
          </w:tcPr>
          <w:p w14:paraId="3268E57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46</w:t>
            </w:r>
          </w:p>
        </w:tc>
        <w:tc>
          <w:tcPr>
            <w:tcW w:w="0" w:type="auto"/>
            <w:shd w:val="clear" w:color="auto" w:fill="auto"/>
            <w:noWrap/>
            <w:vAlign w:val="bottom"/>
            <w:hideMark/>
          </w:tcPr>
          <w:p w14:paraId="7D36E967"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EA50DF4"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D151518"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CD71030"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194CC7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473DE13"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C1B3C4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BE3F3D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30E519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275D5A4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435C8399"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4F31547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28568560" w14:textId="77777777" w:rsidTr="00594589">
        <w:trPr>
          <w:trHeight w:val="300"/>
        </w:trPr>
        <w:tc>
          <w:tcPr>
            <w:tcW w:w="0" w:type="auto"/>
            <w:shd w:val="clear" w:color="auto" w:fill="auto"/>
            <w:noWrap/>
            <w:vAlign w:val="bottom"/>
            <w:hideMark/>
          </w:tcPr>
          <w:p w14:paraId="3A4C683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47</w:t>
            </w:r>
          </w:p>
        </w:tc>
        <w:tc>
          <w:tcPr>
            <w:tcW w:w="0" w:type="auto"/>
            <w:shd w:val="clear" w:color="auto" w:fill="auto"/>
            <w:noWrap/>
            <w:vAlign w:val="bottom"/>
            <w:hideMark/>
          </w:tcPr>
          <w:p w14:paraId="2046C8B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Concrete repairs to bearing plinth / shelf</w:t>
            </w:r>
          </w:p>
        </w:tc>
        <w:tc>
          <w:tcPr>
            <w:tcW w:w="0" w:type="auto"/>
            <w:shd w:val="clear" w:color="auto" w:fill="auto"/>
            <w:noWrap/>
            <w:vAlign w:val="bottom"/>
            <w:hideMark/>
          </w:tcPr>
          <w:p w14:paraId="568FF4C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6BAEEC6E"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0B12C40"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7FB697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30AE33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3.5625</w:t>
            </w:r>
          </w:p>
        </w:tc>
        <w:tc>
          <w:tcPr>
            <w:tcW w:w="0" w:type="auto"/>
            <w:shd w:val="clear" w:color="auto" w:fill="auto"/>
            <w:noWrap/>
            <w:vAlign w:val="bottom"/>
            <w:hideMark/>
          </w:tcPr>
          <w:p w14:paraId="73BC542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£348.25</w:t>
            </w:r>
          </w:p>
        </w:tc>
        <w:tc>
          <w:tcPr>
            <w:tcW w:w="0" w:type="auto"/>
            <w:shd w:val="clear" w:color="auto" w:fill="auto"/>
            <w:noWrap/>
            <w:vAlign w:val="bottom"/>
            <w:hideMark/>
          </w:tcPr>
          <w:p w14:paraId="1AF64B5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£348.25</w:t>
            </w:r>
          </w:p>
        </w:tc>
        <w:tc>
          <w:tcPr>
            <w:tcW w:w="0" w:type="auto"/>
            <w:shd w:val="clear" w:color="auto" w:fill="auto"/>
            <w:noWrap/>
            <w:vAlign w:val="bottom"/>
            <w:hideMark/>
          </w:tcPr>
          <w:p w14:paraId="75B43DC3"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1EB24BC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912583A"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£37,340</w:t>
            </w:r>
          </w:p>
        </w:tc>
        <w:tc>
          <w:tcPr>
            <w:tcW w:w="0" w:type="auto"/>
            <w:shd w:val="clear" w:color="auto" w:fill="auto"/>
            <w:noWrap/>
            <w:vAlign w:val="bottom"/>
            <w:hideMark/>
          </w:tcPr>
          <w:p w14:paraId="0FCF8CB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9,307.29 </w:t>
            </w:r>
          </w:p>
        </w:tc>
      </w:tr>
      <w:tr w:rsidR="00594589" w:rsidRPr="00E31091" w14:paraId="02F3631A" w14:textId="77777777" w:rsidTr="00594589">
        <w:trPr>
          <w:trHeight w:val="300"/>
        </w:trPr>
        <w:tc>
          <w:tcPr>
            <w:tcW w:w="0" w:type="auto"/>
            <w:shd w:val="clear" w:color="auto" w:fill="auto"/>
            <w:noWrap/>
            <w:vAlign w:val="bottom"/>
            <w:hideMark/>
          </w:tcPr>
          <w:p w14:paraId="1A478A7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48</w:t>
            </w:r>
          </w:p>
        </w:tc>
        <w:tc>
          <w:tcPr>
            <w:tcW w:w="0" w:type="auto"/>
            <w:shd w:val="clear" w:color="auto" w:fill="auto"/>
            <w:noWrap/>
            <w:vAlign w:val="bottom"/>
            <w:hideMark/>
          </w:tcPr>
          <w:p w14:paraId="4598DCB7"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4582343"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44D7F75"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C1F753B"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DE14E7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78B488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2.1</w:t>
            </w:r>
          </w:p>
        </w:tc>
        <w:tc>
          <w:tcPr>
            <w:tcW w:w="0" w:type="auto"/>
            <w:shd w:val="clear" w:color="auto" w:fill="auto"/>
            <w:noWrap/>
            <w:vAlign w:val="bottom"/>
            <w:hideMark/>
          </w:tcPr>
          <w:p w14:paraId="256B1A9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£201.70</w:t>
            </w:r>
          </w:p>
        </w:tc>
        <w:tc>
          <w:tcPr>
            <w:tcW w:w="0" w:type="auto"/>
            <w:shd w:val="clear" w:color="auto" w:fill="auto"/>
            <w:noWrap/>
            <w:vAlign w:val="bottom"/>
            <w:hideMark/>
          </w:tcPr>
          <w:p w14:paraId="18E81D1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£201.70</w:t>
            </w:r>
          </w:p>
        </w:tc>
        <w:tc>
          <w:tcPr>
            <w:tcW w:w="0" w:type="auto"/>
            <w:shd w:val="clear" w:color="auto" w:fill="auto"/>
            <w:noWrap/>
            <w:vAlign w:val="bottom"/>
            <w:hideMark/>
          </w:tcPr>
          <w:p w14:paraId="1BB126C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762A03F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44E84E10"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1F07A28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4EDD4F13" w14:textId="77777777" w:rsidTr="00594589">
        <w:trPr>
          <w:trHeight w:val="300"/>
        </w:trPr>
        <w:tc>
          <w:tcPr>
            <w:tcW w:w="0" w:type="auto"/>
            <w:shd w:val="clear" w:color="auto" w:fill="auto"/>
            <w:noWrap/>
            <w:vAlign w:val="bottom"/>
            <w:hideMark/>
          </w:tcPr>
          <w:p w14:paraId="4E2D7D3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49</w:t>
            </w:r>
          </w:p>
        </w:tc>
        <w:tc>
          <w:tcPr>
            <w:tcW w:w="0" w:type="auto"/>
            <w:shd w:val="clear" w:color="auto" w:fill="auto"/>
            <w:noWrap/>
            <w:vAlign w:val="bottom"/>
            <w:hideMark/>
          </w:tcPr>
          <w:p w14:paraId="422882BD"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72C778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FF190D0"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14D6C8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24A5A2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97075F5"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A6A2D4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6576DC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31C6B74"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4452FF1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F1190F7"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1FF32BA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5F0CAEEA" w14:textId="77777777" w:rsidTr="00594589">
        <w:trPr>
          <w:trHeight w:val="300"/>
        </w:trPr>
        <w:tc>
          <w:tcPr>
            <w:tcW w:w="0" w:type="auto"/>
            <w:shd w:val="clear" w:color="auto" w:fill="auto"/>
            <w:noWrap/>
            <w:vAlign w:val="bottom"/>
            <w:hideMark/>
          </w:tcPr>
          <w:p w14:paraId="1B2F5D5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50</w:t>
            </w:r>
          </w:p>
        </w:tc>
        <w:tc>
          <w:tcPr>
            <w:tcW w:w="0" w:type="auto"/>
            <w:shd w:val="clear" w:color="auto" w:fill="auto"/>
            <w:noWrap/>
            <w:vAlign w:val="bottom"/>
            <w:hideMark/>
          </w:tcPr>
          <w:p w14:paraId="031D0A2F"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C1C614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7CD919B"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457AE7B"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2CD84A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16761BE"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61DBD1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DED14E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B486039"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52A0574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3,205.91 </w:t>
            </w:r>
          </w:p>
        </w:tc>
        <w:tc>
          <w:tcPr>
            <w:tcW w:w="0" w:type="auto"/>
            <w:shd w:val="clear" w:color="auto" w:fill="auto"/>
            <w:noWrap/>
            <w:vAlign w:val="bottom"/>
            <w:hideMark/>
          </w:tcPr>
          <w:p w14:paraId="6C412046"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1980035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714E49A5" w14:textId="77777777" w:rsidTr="00594589">
        <w:trPr>
          <w:trHeight w:val="300"/>
        </w:trPr>
        <w:tc>
          <w:tcPr>
            <w:tcW w:w="0" w:type="auto"/>
            <w:shd w:val="clear" w:color="auto" w:fill="auto"/>
            <w:noWrap/>
            <w:vAlign w:val="bottom"/>
            <w:hideMark/>
          </w:tcPr>
          <w:p w14:paraId="049F3B7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51</w:t>
            </w:r>
          </w:p>
        </w:tc>
        <w:tc>
          <w:tcPr>
            <w:tcW w:w="0" w:type="auto"/>
            <w:shd w:val="clear" w:color="auto" w:fill="auto"/>
            <w:noWrap/>
            <w:vAlign w:val="bottom"/>
            <w:hideMark/>
          </w:tcPr>
          <w:p w14:paraId="6BB86897"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C916371"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0A09FD3"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D2016D9"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31981A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4910459"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A6081C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35F990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57E139C"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50C3036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6,225.08 </w:t>
            </w:r>
          </w:p>
        </w:tc>
        <w:tc>
          <w:tcPr>
            <w:tcW w:w="0" w:type="auto"/>
            <w:shd w:val="clear" w:color="auto" w:fill="auto"/>
            <w:noWrap/>
            <w:vAlign w:val="bottom"/>
            <w:hideMark/>
          </w:tcPr>
          <w:p w14:paraId="6465E440"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33F24BA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38FB0806" w14:textId="77777777" w:rsidTr="00594589">
        <w:trPr>
          <w:trHeight w:val="300"/>
        </w:trPr>
        <w:tc>
          <w:tcPr>
            <w:tcW w:w="0" w:type="auto"/>
            <w:shd w:val="clear" w:color="auto" w:fill="auto"/>
            <w:noWrap/>
            <w:vAlign w:val="bottom"/>
            <w:hideMark/>
          </w:tcPr>
          <w:p w14:paraId="636C2D4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52</w:t>
            </w:r>
          </w:p>
        </w:tc>
        <w:tc>
          <w:tcPr>
            <w:tcW w:w="0" w:type="auto"/>
            <w:shd w:val="clear" w:color="auto" w:fill="auto"/>
            <w:noWrap/>
            <w:vAlign w:val="bottom"/>
            <w:hideMark/>
          </w:tcPr>
          <w:p w14:paraId="48131EF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Expansion Joints</w:t>
            </w:r>
          </w:p>
        </w:tc>
        <w:tc>
          <w:tcPr>
            <w:tcW w:w="0" w:type="auto"/>
            <w:shd w:val="clear" w:color="auto" w:fill="auto"/>
            <w:noWrap/>
            <w:vAlign w:val="bottom"/>
            <w:hideMark/>
          </w:tcPr>
          <w:p w14:paraId="2097DFD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Road Closure - Night</w:t>
            </w:r>
          </w:p>
        </w:tc>
        <w:tc>
          <w:tcPr>
            <w:tcW w:w="0" w:type="auto"/>
            <w:shd w:val="clear" w:color="auto" w:fill="auto"/>
            <w:noWrap/>
            <w:vAlign w:val="bottom"/>
            <w:hideMark/>
          </w:tcPr>
          <w:p w14:paraId="7D7238F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w:t>
            </w:r>
          </w:p>
        </w:tc>
        <w:tc>
          <w:tcPr>
            <w:tcW w:w="0" w:type="auto"/>
            <w:shd w:val="clear" w:color="auto" w:fill="auto"/>
            <w:noWrap/>
            <w:vAlign w:val="bottom"/>
            <w:hideMark/>
          </w:tcPr>
          <w:p w14:paraId="21FFD54A"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EA63A0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A0DA0B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7.29</w:t>
            </w:r>
          </w:p>
        </w:tc>
        <w:tc>
          <w:tcPr>
            <w:tcW w:w="0" w:type="auto"/>
            <w:shd w:val="clear" w:color="auto" w:fill="auto"/>
            <w:noWrap/>
            <w:vAlign w:val="bottom"/>
            <w:hideMark/>
          </w:tcPr>
          <w:p w14:paraId="77DC96D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£639.05</w:t>
            </w:r>
          </w:p>
        </w:tc>
        <w:tc>
          <w:tcPr>
            <w:tcW w:w="0" w:type="auto"/>
            <w:shd w:val="clear" w:color="auto" w:fill="auto"/>
            <w:noWrap/>
            <w:vAlign w:val="bottom"/>
            <w:hideMark/>
          </w:tcPr>
          <w:p w14:paraId="64931BF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£639.05</w:t>
            </w:r>
          </w:p>
        </w:tc>
        <w:tc>
          <w:tcPr>
            <w:tcW w:w="0" w:type="auto"/>
            <w:shd w:val="clear" w:color="auto" w:fill="auto"/>
            <w:noWrap/>
            <w:vAlign w:val="bottom"/>
            <w:hideMark/>
          </w:tcPr>
          <w:p w14:paraId="7AA450D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0CBECD0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0ECB8B7D"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£21,663</w:t>
            </w:r>
          </w:p>
        </w:tc>
        <w:tc>
          <w:tcPr>
            <w:tcW w:w="0" w:type="auto"/>
            <w:shd w:val="clear" w:color="auto" w:fill="auto"/>
            <w:noWrap/>
            <w:vAlign w:val="bottom"/>
            <w:hideMark/>
          </w:tcPr>
          <w:p w14:paraId="31B2F20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4,657.80 </w:t>
            </w:r>
          </w:p>
        </w:tc>
      </w:tr>
      <w:tr w:rsidR="00594589" w:rsidRPr="00E31091" w14:paraId="5F749508" w14:textId="77777777" w:rsidTr="00594589">
        <w:trPr>
          <w:trHeight w:val="300"/>
        </w:trPr>
        <w:tc>
          <w:tcPr>
            <w:tcW w:w="0" w:type="auto"/>
            <w:shd w:val="clear" w:color="auto" w:fill="auto"/>
            <w:noWrap/>
            <w:vAlign w:val="bottom"/>
            <w:hideMark/>
          </w:tcPr>
          <w:p w14:paraId="116FAB1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53</w:t>
            </w:r>
          </w:p>
        </w:tc>
        <w:tc>
          <w:tcPr>
            <w:tcW w:w="0" w:type="auto"/>
            <w:shd w:val="clear" w:color="auto" w:fill="auto"/>
            <w:noWrap/>
            <w:vAlign w:val="bottom"/>
            <w:hideMark/>
          </w:tcPr>
          <w:p w14:paraId="0403743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Access/ Walkways/ Gantries</w:t>
            </w:r>
          </w:p>
        </w:tc>
        <w:tc>
          <w:tcPr>
            <w:tcW w:w="0" w:type="auto"/>
            <w:shd w:val="clear" w:color="auto" w:fill="auto"/>
            <w:noWrap/>
            <w:vAlign w:val="bottom"/>
            <w:hideMark/>
          </w:tcPr>
          <w:p w14:paraId="138D1F5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27F74403"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3F8FBE8"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1E4E4C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52A471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w:t>
            </w:r>
          </w:p>
        </w:tc>
        <w:tc>
          <w:tcPr>
            <w:tcW w:w="0" w:type="auto"/>
            <w:shd w:val="clear" w:color="auto" w:fill="auto"/>
            <w:noWrap/>
            <w:vAlign w:val="bottom"/>
            <w:hideMark/>
          </w:tcPr>
          <w:p w14:paraId="11F532A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£255.75</w:t>
            </w:r>
          </w:p>
        </w:tc>
        <w:tc>
          <w:tcPr>
            <w:tcW w:w="0" w:type="auto"/>
            <w:shd w:val="clear" w:color="auto" w:fill="auto"/>
            <w:noWrap/>
            <w:vAlign w:val="bottom"/>
            <w:hideMark/>
          </w:tcPr>
          <w:p w14:paraId="06A5754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£255.75</w:t>
            </w:r>
          </w:p>
        </w:tc>
        <w:tc>
          <w:tcPr>
            <w:tcW w:w="0" w:type="auto"/>
            <w:shd w:val="clear" w:color="auto" w:fill="auto"/>
            <w:noWrap/>
            <w:vAlign w:val="bottom"/>
            <w:hideMark/>
          </w:tcPr>
          <w:p w14:paraId="1491169D"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1D1D352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048C7116"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£87,182</w:t>
            </w:r>
          </w:p>
        </w:tc>
        <w:tc>
          <w:tcPr>
            <w:tcW w:w="0" w:type="auto"/>
            <w:shd w:val="clear" w:color="auto" w:fill="auto"/>
            <w:noWrap/>
            <w:vAlign w:val="bottom"/>
            <w:hideMark/>
          </w:tcPr>
          <w:p w14:paraId="1ADB05A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18,199.18 </w:t>
            </w:r>
          </w:p>
        </w:tc>
      </w:tr>
      <w:tr w:rsidR="00594589" w:rsidRPr="00E31091" w14:paraId="3B6695D2" w14:textId="77777777" w:rsidTr="00594589">
        <w:trPr>
          <w:trHeight w:val="300"/>
        </w:trPr>
        <w:tc>
          <w:tcPr>
            <w:tcW w:w="0" w:type="auto"/>
            <w:shd w:val="clear" w:color="auto" w:fill="auto"/>
            <w:noWrap/>
            <w:vAlign w:val="bottom"/>
            <w:hideMark/>
          </w:tcPr>
          <w:p w14:paraId="16864B0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54</w:t>
            </w:r>
          </w:p>
        </w:tc>
        <w:tc>
          <w:tcPr>
            <w:tcW w:w="0" w:type="auto"/>
            <w:shd w:val="clear" w:color="auto" w:fill="auto"/>
            <w:noWrap/>
            <w:vAlign w:val="bottom"/>
            <w:hideMark/>
          </w:tcPr>
          <w:p w14:paraId="38F9B77E"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F013616"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C84D79D"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F5071E9"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C2EC33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9052C4A"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680FC0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D50AC8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AF660D2"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08ED4C9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29FA003"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10CA493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4B5DB489" w14:textId="77777777" w:rsidTr="00594589">
        <w:trPr>
          <w:trHeight w:val="300"/>
        </w:trPr>
        <w:tc>
          <w:tcPr>
            <w:tcW w:w="0" w:type="auto"/>
            <w:shd w:val="clear" w:color="auto" w:fill="auto"/>
            <w:noWrap/>
            <w:vAlign w:val="bottom"/>
            <w:hideMark/>
          </w:tcPr>
          <w:p w14:paraId="698E7BE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55</w:t>
            </w:r>
          </w:p>
        </w:tc>
        <w:tc>
          <w:tcPr>
            <w:tcW w:w="0" w:type="auto"/>
            <w:shd w:val="clear" w:color="auto" w:fill="auto"/>
            <w:noWrap/>
            <w:vAlign w:val="bottom"/>
            <w:hideMark/>
          </w:tcPr>
          <w:p w14:paraId="1A33DB88"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279B3F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1FAEAF8"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21501D0"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AF35A9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4E7E88B"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FD0D64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9B8CA4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1346B32"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4301247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DE1F2F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00334EA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0C4E3A39" w14:textId="77777777" w:rsidTr="00594589">
        <w:trPr>
          <w:trHeight w:val="300"/>
        </w:trPr>
        <w:tc>
          <w:tcPr>
            <w:tcW w:w="0" w:type="auto"/>
            <w:shd w:val="clear" w:color="auto" w:fill="auto"/>
            <w:noWrap/>
            <w:vAlign w:val="bottom"/>
            <w:hideMark/>
          </w:tcPr>
          <w:p w14:paraId="64E3D15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56</w:t>
            </w:r>
          </w:p>
        </w:tc>
        <w:tc>
          <w:tcPr>
            <w:tcW w:w="0" w:type="auto"/>
            <w:shd w:val="clear" w:color="auto" w:fill="auto"/>
            <w:noWrap/>
            <w:vAlign w:val="bottom"/>
            <w:hideMark/>
          </w:tcPr>
          <w:p w14:paraId="12E41D6E"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449B85C"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B32927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E2AA2EC"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4B9059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9181AC4"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CC7B1C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3FC4B0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0D731A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3A995D1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2,684.90 </w:t>
            </w:r>
          </w:p>
        </w:tc>
        <w:tc>
          <w:tcPr>
            <w:tcW w:w="0" w:type="auto"/>
            <w:shd w:val="clear" w:color="auto" w:fill="auto"/>
            <w:noWrap/>
            <w:vAlign w:val="bottom"/>
            <w:hideMark/>
          </w:tcPr>
          <w:p w14:paraId="289416E4"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543EE7C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4DAF2A55" w14:textId="77777777" w:rsidTr="00594589">
        <w:trPr>
          <w:trHeight w:val="300"/>
        </w:trPr>
        <w:tc>
          <w:tcPr>
            <w:tcW w:w="0" w:type="auto"/>
            <w:shd w:val="clear" w:color="auto" w:fill="auto"/>
            <w:noWrap/>
            <w:vAlign w:val="bottom"/>
            <w:hideMark/>
          </w:tcPr>
          <w:p w14:paraId="301C656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57</w:t>
            </w:r>
          </w:p>
        </w:tc>
        <w:tc>
          <w:tcPr>
            <w:tcW w:w="0" w:type="auto"/>
            <w:shd w:val="clear" w:color="auto" w:fill="auto"/>
            <w:noWrap/>
            <w:vAlign w:val="bottom"/>
            <w:hideMark/>
          </w:tcPr>
          <w:p w14:paraId="4C6A6825"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92A43D6"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5792DE6"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4E2C37F"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A72AB0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C18788D"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1D56B8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389E2C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BCD6E2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03082FD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2,606.70 </w:t>
            </w:r>
          </w:p>
        </w:tc>
        <w:tc>
          <w:tcPr>
            <w:tcW w:w="0" w:type="auto"/>
            <w:shd w:val="clear" w:color="auto" w:fill="auto"/>
            <w:noWrap/>
            <w:vAlign w:val="bottom"/>
            <w:hideMark/>
          </w:tcPr>
          <w:p w14:paraId="6C209BEE"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3A0ADC3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3C53E149" w14:textId="77777777" w:rsidTr="00594589">
        <w:trPr>
          <w:trHeight w:val="300"/>
        </w:trPr>
        <w:tc>
          <w:tcPr>
            <w:tcW w:w="0" w:type="auto"/>
            <w:shd w:val="clear" w:color="auto" w:fill="auto"/>
            <w:noWrap/>
            <w:vAlign w:val="bottom"/>
            <w:hideMark/>
          </w:tcPr>
          <w:p w14:paraId="53F7DE7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58</w:t>
            </w:r>
          </w:p>
        </w:tc>
        <w:tc>
          <w:tcPr>
            <w:tcW w:w="0" w:type="auto"/>
            <w:shd w:val="clear" w:color="auto" w:fill="auto"/>
            <w:noWrap/>
            <w:vAlign w:val="bottom"/>
            <w:hideMark/>
          </w:tcPr>
          <w:p w14:paraId="671F328E"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2E366ED"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8F056C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73F0C55"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8C8D72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BF27E1B"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0DCBF9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FAE6EA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1D7C6FE"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7DFA05A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5,061.56 </w:t>
            </w:r>
          </w:p>
        </w:tc>
        <w:tc>
          <w:tcPr>
            <w:tcW w:w="0" w:type="auto"/>
            <w:shd w:val="clear" w:color="auto" w:fill="auto"/>
            <w:noWrap/>
            <w:vAlign w:val="bottom"/>
            <w:hideMark/>
          </w:tcPr>
          <w:p w14:paraId="7BB853A6"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696E021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721ED211" w14:textId="77777777" w:rsidTr="00594589">
        <w:trPr>
          <w:trHeight w:val="300"/>
        </w:trPr>
        <w:tc>
          <w:tcPr>
            <w:tcW w:w="0" w:type="auto"/>
            <w:shd w:val="clear" w:color="auto" w:fill="auto"/>
            <w:noWrap/>
            <w:vAlign w:val="bottom"/>
            <w:hideMark/>
          </w:tcPr>
          <w:p w14:paraId="78F683A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59</w:t>
            </w:r>
          </w:p>
        </w:tc>
        <w:tc>
          <w:tcPr>
            <w:tcW w:w="0" w:type="auto"/>
            <w:shd w:val="clear" w:color="auto" w:fill="auto"/>
            <w:noWrap/>
            <w:vAlign w:val="bottom"/>
            <w:hideMark/>
          </w:tcPr>
          <w:p w14:paraId="2426CC6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Bearings</w:t>
            </w:r>
          </w:p>
        </w:tc>
        <w:tc>
          <w:tcPr>
            <w:tcW w:w="0" w:type="auto"/>
            <w:shd w:val="clear" w:color="auto" w:fill="auto"/>
            <w:noWrap/>
            <w:vAlign w:val="bottom"/>
            <w:hideMark/>
          </w:tcPr>
          <w:p w14:paraId="7F7D7B8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0BF94656"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50C059D"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94056F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455102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22.825</w:t>
            </w:r>
          </w:p>
        </w:tc>
        <w:tc>
          <w:tcPr>
            <w:tcW w:w="0" w:type="auto"/>
            <w:shd w:val="clear" w:color="auto" w:fill="auto"/>
            <w:noWrap/>
            <w:vAlign w:val="bottom"/>
            <w:hideMark/>
          </w:tcPr>
          <w:p w14:paraId="2E5A955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£1,645.73</w:t>
            </w:r>
          </w:p>
        </w:tc>
        <w:tc>
          <w:tcPr>
            <w:tcW w:w="0" w:type="auto"/>
            <w:shd w:val="clear" w:color="auto" w:fill="auto"/>
            <w:noWrap/>
            <w:vAlign w:val="bottom"/>
            <w:hideMark/>
          </w:tcPr>
          <w:p w14:paraId="64211D2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£1,645.73</w:t>
            </w:r>
          </w:p>
        </w:tc>
        <w:tc>
          <w:tcPr>
            <w:tcW w:w="0" w:type="auto"/>
            <w:shd w:val="clear" w:color="auto" w:fill="auto"/>
            <w:noWrap/>
            <w:vAlign w:val="bottom"/>
            <w:hideMark/>
          </w:tcPr>
          <w:p w14:paraId="656736A1"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43A7AEC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2,457.07 </w:t>
            </w:r>
          </w:p>
        </w:tc>
        <w:tc>
          <w:tcPr>
            <w:tcW w:w="0" w:type="auto"/>
            <w:shd w:val="clear" w:color="auto" w:fill="auto"/>
            <w:noWrap/>
            <w:vAlign w:val="bottom"/>
            <w:hideMark/>
          </w:tcPr>
          <w:p w14:paraId="12E9F965"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£148,132</w:t>
            </w:r>
          </w:p>
        </w:tc>
        <w:tc>
          <w:tcPr>
            <w:tcW w:w="0" w:type="auto"/>
            <w:shd w:val="clear" w:color="auto" w:fill="auto"/>
            <w:noWrap/>
            <w:vAlign w:val="bottom"/>
            <w:hideMark/>
          </w:tcPr>
          <w:p w14:paraId="3511420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25,897.27 </w:t>
            </w:r>
          </w:p>
        </w:tc>
      </w:tr>
      <w:tr w:rsidR="00594589" w:rsidRPr="00E31091" w14:paraId="2D19057D" w14:textId="77777777" w:rsidTr="00594589">
        <w:trPr>
          <w:trHeight w:val="300"/>
        </w:trPr>
        <w:tc>
          <w:tcPr>
            <w:tcW w:w="0" w:type="auto"/>
            <w:shd w:val="clear" w:color="auto" w:fill="auto"/>
            <w:noWrap/>
            <w:vAlign w:val="bottom"/>
            <w:hideMark/>
          </w:tcPr>
          <w:p w14:paraId="236DD9F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60</w:t>
            </w:r>
          </w:p>
        </w:tc>
        <w:tc>
          <w:tcPr>
            <w:tcW w:w="0" w:type="auto"/>
            <w:shd w:val="clear" w:color="auto" w:fill="auto"/>
            <w:noWrap/>
            <w:vAlign w:val="bottom"/>
            <w:hideMark/>
          </w:tcPr>
          <w:p w14:paraId="485012C7"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2ED36A8"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156A71F"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4560CCF"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4360BA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86B1209"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E9FDED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63432A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B87D6A9"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4542C86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2,385.50 </w:t>
            </w:r>
          </w:p>
        </w:tc>
        <w:tc>
          <w:tcPr>
            <w:tcW w:w="0" w:type="auto"/>
            <w:shd w:val="clear" w:color="auto" w:fill="auto"/>
            <w:noWrap/>
            <w:vAlign w:val="bottom"/>
            <w:hideMark/>
          </w:tcPr>
          <w:p w14:paraId="2E0E8A9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7EE833D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1E9D24BA" w14:textId="77777777" w:rsidTr="00594589">
        <w:trPr>
          <w:trHeight w:val="300"/>
        </w:trPr>
        <w:tc>
          <w:tcPr>
            <w:tcW w:w="0" w:type="auto"/>
            <w:shd w:val="clear" w:color="auto" w:fill="auto"/>
            <w:noWrap/>
            <w:vAlign w:val="bottom"/>
            <w:hideMark/>
          </w:tcPr>
          <w:p w14:paraId="33F44C2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61</w:t>
            </w:r>
          </w:p>
        </w:tc>
        <w:tc>
          <w:tcPr>
            <w:tcW w:w="0" w:type="auto"/>
            <w:shd w:val="clear" w:color="auto" w:fill="auto"/>
            <w:noWrap/>
            <w:vAlign w:val="bottom"/>
            <w:hideMark/>
          </w:tcPr>
          <w:p w14:paraId="3E1B23ED"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23E232D"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4D8344A"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55AC48A"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632AAD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0CFCEBF"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F3B3F6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EFCB10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F204C7C"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5522FD1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4,632.04 </w:t>
            </w:r>
          </w:p>
        </w:tc>
        <w:tc>
          <w:tcPr>
            <w:tcW w:w="0" w:type="auto"/>
            <w:shd w:val="clear" w:color="auto" w:fill="auto"/>
            <w:noWrap/>
            <w:vAlign w:val="bottom"/>
            <w:hideMark/>
          </w:tcPr>
          <w:p w14:paraId="3A548FEF"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5922943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7C24AED3" w14:textId="77777777" w:rsidTr="00594589">
        <w:trPr>
          <w:trHeight w:val="300"/>
        </w:trPr>
        <w:tc>
          <w:tcPr>
            <w:tcW w:w="0" w:type="auto"/>
            <w:shd w:val="clear" w:color="auto" w:fill="auto"/>
            <w:noWrap/>
            <w:vAlign w:val="bottom"/>
            <w:hideMark/>
          </w:tcPr>
          <w:p w14:paraId="0D96BB2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62</w:t>
            </w:r>
          </w:p>
        </w:tc>
        <w:tc>
          <w:tcPr>
            <w:tcW w:w="0" w:type="auto"/>
            <w:shd w:val="clear" w:color="auto" w:fill="auto"/>
            <w:noWrap/>
            <w:vAlign w:val="bottom"/>
            <w:hideMark/>
          </w:tcPr>
          <w:p w14:paraId="6A95A65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Expansion Joints</w:t>
            </w:r>
          </w:p>
        </w:tc>
        <w:tc>
          <w:tcPr>
            <w:tcW w:w="0" w:type="auto"/>
            <w:shd w:val="clear" w:color="auto" w:fill="auto"/>
            <w:noWrap/>
            <w:vAlign w:val="bottom"/>
            <w:hideMark/>
          </w:tcPr>
          <w:p w14:paraId="0A1C6BF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Road Closure - Night</w:t>
            </w:r>
          </w:p>
        </w:tc>
        <w:tc>
          <w:tcPr>
            <w:tcW w:w="0" w:type="auto"/>
            <w:shd w:val="clear" w:color="auto" w:fill="auto"/>
            <w:noWrap/>
            <w:vAlign w:val="bottom"/>
            <w:hideMark/>
          </w:tcPr>
          <w:p w14:paraId="7F67D52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w:t>
            </w:r>
          </w:p>
        </w:tc>
        <w:tc>
          <w:tcPr>
            <w:tcW w:w="0" w:type="auto"/>
            <w:shd w:val="clear" w:color="auto" w:fill="auto"/>
            <w:noWrap/>
            <w:vAlign w:val="bottom"/>
            <w:hideMark/>
          </w:tcPr>
          <w:p w14:paraId="4D69FA63"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5B7761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A3B21A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7.29</w:t>
            </w:r>
          </w:p>
        </w:tc>
        <w:tc>
          <w:tcPr>
            <w:tcW w:w="0" w:type="auto"/>
            <w:shd w:val="clear" w:color="auto" w:fill="auto"/>
            <w:noWrap/>
            <w:vAlign w:val="bottom"/>
            <w:hideMark/>
          </w:tcPr>
          <w:p w14:paraId="698806D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£477.40</w:t>
            </w:r>
          </w:p>
        </w:tc>
        <w:tc>
          <w:tcPr>
            <w:tcW w:w="0" w:type="auto"/>
            <w:shd w:val="clear" w:color="auto" w:fill="auto"/>
            <w:noWrap/>
            <w:vAlign w:val="bottom"/>
            <w:hideMark/>
          </w:tcPr>
          <w:p w14:paraId="227A94B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£477.40</w:t>
            </w:r>
          </w:p>
        </w:tc>
        <w:tc>
          <w:tcPr>
            <w:tcW w:w="0" w:type="auto"/>
            <w:vMerge w:val="restart"/>
            <w:shd w:val="clear" w:color="auto" w:fill="auto"/>
            <w:noWrap/>
            <w:vAlign w:val="bottom"/>
            <w:hideMark/>
          </w:tcPr>
          <w:p w14:paraId="53A8C018"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0BDE43B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68D8AC01"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£725,564</w:t>
            </w:r>
          </w:p>
        </w:tc>
        <w:tc>
          <w:tcPr>
            <w:tcW w:w="0" w:type="auto"/>
            <w:vMerge w:val="restart"/>
            <w:shd w:val="clear" w:color="auto" w:fill="auto"/>
            <w:noWrap/>
            <w:vAlign w:val="bottom"/>
            <w:hideMark/>
          </w:tcPr>
          <w:p w14:paraId="5B4B8B1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116,082.821 </w:t>
            </w:r>
          </w:p>
        </w:tc>
      </w:tr>
      <w:tr w:rsidR="00594589" w:rsidRPr="00E31091" w14:paraId="22864AB4" w14:textId="77777777" w:rsidTr="00594589">
        <w:trPr>
          <w:trHeight w:val="300"/>
        </w:trPr>
        <w:tc>
          <w:tcPr>
            <w:tcW w:w="0" w:type="auto"/>
            <w:shd w:val="clear" w:color="auto" w:fill="auto"/>
            <w:noWrap/>
            <w:vAlign w:val="bottom"/>
            <w:hideMark/>
          </w:tcPr>
          <w:p w14:paraId="2653C5F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62</w:t>
            </w:r>
          </w:p>
        </w:tc>
        <w:tc>
          <w:tcPr>
            <w:tcW w:w="0" w:type="auto"/>
            <w:shd w:val="clear" w:color="auto" w:fill="auto"/>
            <w:noWrap/>
            <w:vAlign w:val="bottom"/>
            <w:hideMark/>
          </w:tcPr>
          <w:p w14:paraId="76DDA0F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Metal work repair to weathering steel beams</w:t>
            </w:r>
          </w:p>
        </w:tc>
        <w:tc>
          <w:tcPr>
            <w:tcW w:w="0" w:type="auto"/>
            <w:shd w:val="clear" w:color="auto" w:fill="auto"/>
            <w:noWrap/>
            <w:vAlign w:val="bottom"/>
            <w:hideMark/>
          </w:tcPr>
          <w:p w14:paraId="2F750B9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384A23AD"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F4787C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631A92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A33034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25.0875</w:t>
            </w:r>
          </w:p>
        </w:tc>
        <w:tc>
          <w:tcPr>
            <w:tcW w:w="0" w:type="auto"/>
            <w:shd w:val="clear" w:color="auto" w:fill="auto"/>
            <w:noWrap/>
            <w:vAlign w:val="bottom"/>
            <w:hideMark/>
          </w:tcPr>
          <w:p w14:paraId="12127B6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£1,642.90</w:t>
            </w:r>
          </w:p>
        </w:tc>
        <w:tc>
          <w:tcPr>
            <w:tcW w:w="0" w:type="auto"/>
            <w:shd w:val="clear" w:color="auto" w:fill="auto"/>
            <w:noWrap/>
            <w:vAlign w:val="bottom"/>
            <w:hideMark/>
          </w:tcPr>
          <w:p w14:paraId="6A154E4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£1,642.90</w:t>
            </w:r>
          </w:p>
        </w:tc>
        <w:tc>
          <w:tcPr>
            <w:tcW w:w="0" w:type="auto"/>
            <w:vMerge/>
            <w:vAlign w:val="center"/>
            <w:hideMark/>
          </w:tcPr>
          <w:p w14:paraId="4E68B92F"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22950D2D"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4B274DAA"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3DDB5630"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r>
      <w:tr w:rsidR="00594589" w:rsidRPr="00E31091" w14:paraId="784754E5" w14:textId="77777777" w:rsidTr="00594589">
        <w:trPr>
          <w:trHeight w:val="300"/>
        </w:trPr>
        <w:tc>
          <w:tcPr>
            <w:tcW w:w="0" w:type="auto"/>
            <w:shd w:val="clear" w:color="auto" w:fill="auto"/>
            <w:noWrap/>
            <w:vAlign w:val="bottom"/>
            <w:hideMark/>
          </w:tcPr>
          <w:p w14:paraId="14EC980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62</w:t>
            </w:r>
          </w:p>
        </w:tc>
        <w:tc>
          <w:tcPr>
            <w:tcW w:w="0" w:type="auto"/>
            <w:shd w:val="clear" w:color="auto" w:fill="auto"/>
            <w:noWrap/>
            <w:vAlign w:val="bottom"/>
            <w:hideMark/>
          </w:tcPr>
          <w:p w14:paraId="53905C8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Concrete Repairs to reinforced concrete slab</w:t>
            </w:r>
          </w:p>
        </w:tc>
        <w:tc>
          <w:tcPr>
            <w:tcW w:w="0" w:type="auto"/>
            <w:shd w:val="clear" w:color="auto" w:fill="auto"/>
            <w:noWrap/>
            <w:vAlign w:val="bottom"/>
            <w:hideMark/>
          </w:tcPr>
          <w:p w14:paraId="643B15D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49C1AEAC"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656E6F6"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EE7231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43AEEC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28.125</w:t>
            </w:r>
          </w:p>
        </w:tc>
        <w:tc>
          <w:tcPr>
            <w:tcW w:w="0" w:type="auto"/>
            <w:shd w:val="clear" w:color="auto" w:fill="auto"/>
            <w:noWrap/>
            <w:vAlign w:val="bottom"/>
            <w:hideMark/>
          </w:tcPr>
          <w:p w14:paraId="53E6D04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£1,841.82</w:t>
            </w:r>
          </w:p>
        </w:tc>
        <w:tc>
          <w:tcPr>
            <w:tcW w:w="0" w:type="auto"/>
            <w:shd w:val="clear" w:color="auto" w:fill="auto"/>
            <w:noWrap/>
            <w:vAlign w:val="bottom"/>
            <w:hideMark/>
          </w:tcPr>
          <w:p w14:paraId="58D2513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£1,841.82</w:t>
            </w:r>
          </w:p>
        </w:tc>
        <w:tc>
          <w:tcPr>
            <w:tcW w:w="0" w:type="auto"/>
            <w:vMerge/>
            <w:vAlign w:val="center"/>
            <w:hideMark/>
          </w:tcPr>
          <w:p w14:paraId="1783C2F8"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34DB58D8"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5DEC2B83"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484E20A6"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r>
      <w:tr w:rsidR="00594589" w:rsidRPr="00E31091" w14:paraId="6905EB44" w14:textId="77777777" w:rsidTr="00594589">
        <w:trPr>
          <w:trHeight w:val="300"/>
        </w:trPr>
        <w:tc>
          <w:tcPr>
            <w:tcW w:w="0" w:type="auto"/>
            <w:shd w:val="clear" w:color="auto" w:fill="auto"/>
            <w:noWrap/>
            <w:vAlign w:val="bottom"/>
            <w:hideMark/>
          </w:tcPr>
          <w:p w14:paraId="6390D82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63</w:t>
            </w:r>
          </w:p>
        </w:tc>
        <w:tc>
          <w:tcPr>
            <w:tcW w:w="0" w:type="auto"/>
            <w:shd w:val="clear" w:color="auto" w:fill="auto"/>
            <w:noWrap/>
            <w:vAlign w:val="bottom"/>
            <w:hideMark/>
          </w:tcPr>
          <w:p w14:paraId="46C1B094"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F9FF82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6FEE614"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BCD49C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D955B0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5D2B4E6"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F72B7B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EFED15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0B25CDD"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45A144B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56D6877C"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7F1879C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4B8B0DB1" w14:textId="77777777" w:rsidTr="00594589">
        <w:trPr>
          <w:trHeight w:val="300"/>
        </w:trPr>
        <w:tc>
          <w:tcPr>
            <w:tcW w:w="0" w:type="auto"/>
            <w:shd w:val="clear" w:color="auto" w:fill="auto"/>
            <w:noWrap/>
            <w:vAlign w:val="bottom"/>
            <w:hideMark/>
          </w:tcPr>
          <w:p w14:paraId="231F6D4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64</w:t>
            </w:r>
          </w:p>
        </w:tc>
        <w:tc>
          <w:tcPr>
            <w:tcW w:w="0" w:type="auto"/>
            <w:shd w:val="clear" w:color="auto" w:fill="auto"/>
            <w:noWrap/>
            <w:vAlign w:val="bottom"/>
            <w:hideMark/>
          </w:tcPr>
          <w:p w14:paraId="07B084B5"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9DFB88C"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6B78D74"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ABA76A1"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E65D00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2E9CE8B"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EA580F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E514EB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0465552"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4543E82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592E174E"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5840DDD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5ABB6BA8" w14:textId="77777777" w:rsidTr="00594589">
        <w:trPr>
          <w:trHeight w:val="300"/>
        </w:trPr>
        <w:tc>
          <w:tcPr>
            <w:tcW w:w="0" w:type="auto"/>
            <w:shd w:val="clear" w:color="auto" w:fill="auto"/>
            <w:noWrap/>
            <w:vAlign w:val="bottom"/>
            <w:hideMark/>
          </w:tcPr>
          <w:p w14:paraId="30992CE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65</w:t>
            </w:r>
          </w:p>
        </w:tc>
        <w:tc>
          <w:tcPr>
            <w:tcW w:w="0" w:type="auto"/>
            <w:shd w:val="clear" w:color="auto" w:fill="auto"/>
            <w:noWrap/>
            <w:vAlign w:val="bottom"/>
            <w:hideMark/>
          </w:tcPr>
          <w:p w14:paraId="7F5D299B"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4121147"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42D8EE9"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2D04A60"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BC2148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F9A35BD"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A0C846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D4131A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91B78CA"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6DF5A70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0415F351"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5924256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7983A4BA" w14:textId="77777777" w:rsidTr="00594589">
        <w:trPr>
          <w:trHeight w:val="300"/>
        </w:trPr>
        <w:tc>
          <w:tcPr>
            <w:tcW w:w="0" w:type="auto"/>
            <w:shd w:val="clear" w:color="auto" w:fill="auto"/>
            <w:noWrap/>
            <w:vAlign w:val="bottom"/>
            <w:hideMark/>
          </w:tcPr>
          <w:p w14:paraId="631DEF4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66</w:t>
            </w:r>
          </w:p>
        </w:tc>
        <w:tc>
          <w:tcPr>
            <w:tcW w:w="0" w:type="auto"/>
            <w:shd w:val="clear" w:color="auto" w:fill="auto"/>
            <w:noWrap/>
            <w:vAlign w:val="bottom"/>
            <w:hideMark/>
          </w:tcPr>
          <w:p w14:paraId="0E729D64"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E0CCA30"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BB56A81"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9C3B33F"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3C076A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9953E7C"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D8AF60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70C983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9379E76"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15C70F1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09A2F8F"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061F4AC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0E93C2D4" w14:textId="77777777" w:rsidTr="00594589">
        <w:trPr>
          <w:trHeight w:val="300"/>
        </w:trPr>
        <w:tc>
          <w:tcPr>
            <w:tcW w:w="0" w:type="auto"/>
            <w:shd w:val="clear" w:color="auto" w:fill="auto"/>
            <w:noWrap/>
            <w:vAlign w:val="bottom"/>
            <w:hideMark/>
          </w:tcPr>
          <w:p w14:paraId="4A5372E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67</w:t>
            </w:r>
          </w:p>
        </w:tc>
        <w:tc>
          <w:tcPr>
            <w:tcW w:w="0" w:type="auto"/>
            <w:shd w:val="clear" w:color="auto" w:fill="auto"/>
            <w:noWrap/>
            <w:vAlign w:val="bottom"/>
            <w:hideMark/>
          </w:tcPr>
          <w:p w14:paraId="7E6AC63A"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1438A84"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725D61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19274D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A9A13B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3F3D7C9"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CA9F9B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FDD7DB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F2D34C4"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444E282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1,939.631 </w:t>
            </w:r>
          </w:p>
        </w:tc>
        <w:tc>
          <w:tcPr>
            <w:tcW w:w="0" w:type="auto"/>
            <w:shd w:val="clear" w:color="auto" w:fill="auto"/>
            <w:noWrap/>
            <w:vAlign w:val="bottom"/>
            <w:hideMark/>
          </w:tcPr>
          <w:p w14:paraId="05666D88"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4584B15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1C293775" w14:textId="77777777" w:rsidTr="00594589">
        <w:trPr>
          <w:trHeight w:val="300"/>
        </w:trPr>
        <w:tc>
          <w:tcPr>
            <w:tcW w:w="0" w:type="auto"/>
            <w:shd w:val="clear" w:color="auto" w:fill="auto"/>
            <w:noWrap/>
            <w:vAlign w:val="bottom"/>
            <w:hideMark/>
          </w:tcPr>
          <w:p w14:paraId="55A5F44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68</w:t>
            </w:r>
          </w:p>
        </w:tc>
        <w:tc>
          <w:tcPr>
            <w:tcW w:w="0" w:type="auto"/>
            <w:shd w:val="clear" w:color="auto" w:fill="auto"/>
            <w:noWrap/>
            <w:vAlign w:val="bottom"/>
            <w:hideMark/>
          </w:tcPr>
          <w:p w14:paraId="5A999A57"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1C2E52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CDEECE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F342A6C"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F4C416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B761A42"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CDA29E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88620D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CA5B79C"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3C81B2A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1,883.136 </w:t>
            </w:r>
          </w:p>
        </w:tc>
        <w:tc>
          <w:tcPr>
            <w:tcW w:w="0" w:type="auto"/>
            <w:shd w:val="clear" w:color="auto" w:fill="auto"/>
            <w:noWrap/>
            <w:vAlign w:val="bottom"/>
            <w:hideMark/>
          </w:tcPr>
          <w:p w14:paraId="56AFF92D"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37F70FE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2A153630" w14:textId="77777777" w:rsidTr="00594589">
        <w:trPr>
          <w:trHeight w:val="300"/>
        </w:trPr>
        <w:tc>
          <w:tcPr>
            <w:tcW w:w="0" w:type="auto"/>
            <w:shd w:val="clear" w:color="auto" w:fill="auto"/>
            <w:noWrap/>
            <w:vAlign w:val="bottom"/>
            <w:hideMark/>
          </w:tcPr>
          <w:p w14:paraId="74413B9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69</w:t>
            </w:r>
          </w:p>
        </w:tc>
        <w:tc>
          <w:tcPr>
            <w:tcW w:w="0" w:type="auto"/>
            <w:shd w:val="clear" w:color="auto" w:fill="auto"/>
            <w:noWrap/>
            <w:vAlign w:val="bottom"/>
            <w:hideMark/>
          </w:tcPr>
          <w:p w14:paraId="059944D7"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3F2AC2B"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FC3D31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685577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47A63A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64DC034"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FD3701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D8117F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C809214"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4B70EA2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1,828.288 </w:t>
            </w:r>
          </w:p>
        </w:tc>
        <w:tc>
          <w:tcPr>
            <w:tcW w:w="0" w:type="auto"/>
            <w:shd w:val="clear" w:color="auto" w:fill="auto"/>
            <w:noWrap/>
            <w:vAlign w:val="bottom"/>
            <w:hideMark/>
          </w:tcPr>
          <w:p w14:paraId="45D38853"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5F21ADC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35632FF8" w14:textId="77777777" w:rsidTr="00594589">
        <w:trPr>
          <w:trHeight w:val="300"/>
        </w:trPr>
        <w:tc>
          <w:tcPr>
            <w:tcW w:w="0" w:type="auto"/>
            <w:shd w:val="clear" w:color="auto" w:fill="auto"/>
            <w:noWrap/>
            <w:vAlign w:val="bottom"/>
            <w:hideMark/>
          </w:tcPr>
          <w:p w14:paraId="0ACCA96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70</w:t>
            </w:r>
          </w:p>
        </w:tc>
        <w:tc>
          <w:tcPr>
            <w:tcW w:w="0" w:type="auto"/>
            <w:shd w:val="clear" w:color="auto" w:fill="auto"/>
            <w:noWrap/>
            <w:vAlign w:val="bottom"/>
            <w:hideMark/>
          </w:tcPr>
          <w:p w14:paraId="688C9A3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Footway surfacing</w:t>
            </w:r>
          </w:p>
        </w:tc>
        <w:tc>
          <w:tcPr>
            <w:tcW w:w="0" w:type="auto"/>
            <w:shd w:val="clear" w:color="auto" w:fill="auto"/>
            <w:noWrap/>
            <w:vAlign w:val="bottom"/>
            <w:hideMark/>
          </w:tcPr>
          <w:p w14:paraId="7504B46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Footway Closure</w:t>
            </w:r>
          </w:p>
        </w:tc>
        <w:tc>
          <w:tcPr>
            <w:tcW w:w="0" w:type="auto"/>
            <w:shd w:val="clear" w:color="auto" w:fill="auto"/>
            <w:noWrap/>
            <w:vAlign w:val="bottom"/>
            <w:hideMark/>
          </w:tcPr>
          <w:p w14:paraId="5089A26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10</w:t>
            </w:r>
          </w:p>
        </w:tc>
        <w:tc>
          <w:tcPr>
            <w:tcW w:w="0" w:type="auto"/>
            <w:shd w:val="clear" w:color="auto" w:fill="auto"/>
            <w:noWrap/>
            <w:vAlign w:val="bottom"/>
            <w:hideMark/>
          </w:tcPr>
          <w:p w14:paraId="4B27C18D"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F39154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BF2944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0.58835</w:t>
            </w:r>
          </w:p>
        </w:tc>
        <w:tc>
          <w:tcPr>
            <w:tcW w:w="0" w:type="auto"/>
            <w:shd w:val="clear" w:color="auto" w:fill="auto"/>
            <w:noWrap/>
            <w:vAlign w:val="bottom"/>
            <w:hideMark/>
          </w:tcPr>
          <w:p w14:paraId="042EF37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£29.29</w:t>
            </w:r>
          </w:p>
        </w:tc>
        <w:tc>
          <w:tcPr>
            <w:tcW w:w="0" w:type="auto"/>
            <w:shd w:val="clear" w:color="auto" w:fill="auto"/>
            <w:noWrap/>
            <w:vAlign w:val="bottom"/>
            <w:hideMark/>
          </w:tcPr>
          <w:p w14:paraId="183F9C6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£29.29</w:t>
            </w:r>
          </w:p>
        </w:tc>
        <w:tc>
          <w:tcPr>
            <w:tcW w:w="0" w:type="auto"/>
            <w:shd w:val="clear" w:color="auto" w:fill="auto"/>
            <w:noWrap/>
            <w:vAlign w:val="bottom"/>
            <w:hideMark/>
          </w:tcPr>
          <w:p w14:paraId="5B60431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16FB504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3,550.074 </w:t>
            </w:r>
          </w:p>
        </w:tc>
        <w:tc>
          <w:tcPr>
            <w:tcW w:w="0" w:type="auto"/>
            <w:shd w:val="clear" w:color="auto" w:fill="auto"/>
            <w:noWrap/>
            <w:vAlign w:val="bottom"/>
            <w:hideMark/>
          </w:tcPr>
          <w:p w14:paraId="42439C18"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£17,601</w:t>
            </w:r>
          </w:p>
        </w:tc>
        <w:tc>
          <w:tcPr>
            <w:tcW w:w="0" w:type="auto"/>
            <w:shd w:val="clear" w:color="auto" w:fill="auto"/>
            <w:noWrap/>
            <w:vAlign w:val="bottom"/>
            <w:hideMark/>
          </w:tcPr>
          <w:p w14:paraId="36C8189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2,222.928 </w:t>
            </w:r>
          </w:p>
        </w:tc>
      </w:tr>
      <w:tr w:rsidR="00594589" w:rsidRPr="00E31091" w14:paraId="16AF0AFA" w14:textId="77777777" w:rsidTr="00594589">
        <w:trPr>
          <w:trHeight w:val="300"/>
        </w:trPr>
        <w:tc>
          <w:tcPr>
            <w:tcW w:w="0" w:type="auto"/>
            <w:shd w:val="clear" w:color="auto" w:fill="auto"/>
            <w:noWrap/>
            <w:vAlign w:val="bottom"/>
            <w:hideMark/>
          </w:tcPr>
          <w:p w14:paraId="393406E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71</w:t>
            </w:r>
          </w:p>
        </w:tc>
        <w:tc>
          <w:tcPr>
            <w:tcW w:w="0" w:type="auto"/>
            <w:shd w:val="clear" w:color="auto" w:fill="auto"/>
            <w:noWrap/>
            <w:vAlign w:val="bottom"/>
            <w:hideMark/>
          </w:tcPr>
          <w:p w14:paraId="1BF97C2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Handrail/ Parapets/ Safety Fences</w:t>
            </w:r>
          </w:p>
        </w:tc>
        <w:tc>
          <w:tcPr>
            <w:tcW w:w="0" w:type="auto"/>
            <w:shd w:val="clear" w:color="auto" w:fill="auto"/>
            <w:noWrap/>
            <w:vAlign w:val="bottom"/>
            <w:hideMark/>
          </w:tcPr>
          <w:p w14:paraId="4D1D7CE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Lane Closure - Night</w:t>
            </w:r>
          </w:p>
        </w:tc>
        <w:tc>
          <w:tcPr>
            <w:tcW w:w="0" w:type="auto"/>
            <w:shd w:val="clear" w:color="auto" w:fill="auto"/>
            <w:noWrap/>
            <w:vAlign w:val="bottom"/>
            <w:hideMark/>
          </w:tcPr>
          <w:p w14:paraId="7F4E5AD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w:t>
            </w:r>
          </w:p>
        </w:tc>
        <w:tc>
          <w:tcPr>
            <w:tcW w:w="0" w:type="auto"/>
            <w:shd w:val="clear" w:color="auto" w:fill="auto"/>
            <w:noWrap/>
            <w:vAlign w:val="bottom"/>
            <w:hideMark/>
          </w:tcPr>
          <w:p w14:paraId="7C0127DA"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362C65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F60B47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14.15</w:t>
            </w:r>
          </w:p>
        </w:tc>
        <w:tc>
          <w:tcPr>
            <w:tcW w:w="0" w:type="auto"/>
            <w:shd w:val="clear" w:color="auto" w:fill="auto"/>
            <w:noWrap/>
            <w:vAlign w:val="bottom"/>
            <w:hideMark/>
          </w:tcPr>
          <w:p w14:paraId="0BF88C3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£678.34</w:t>
            </w:r>
          </w:p>
        </w:tc>
        <w:tc>
          <w:tcPr>
            <w:tcW w:w="0" w:type="auto"/>
            <w:shd w:val="clear" w:color="auto" w:fill="auto"/>
            <w:noWrap/>
            <w:vAlign w:val="bottom"/>
            <w:hideMark/>
          </w:tcPr>
          <w:p w14:paraId="59287A1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£678.34</w:t>
            </w:r>
          </w:p>
        </w:tc>
        <w:tc>
          <w:tcPr>
            <w:tcW w:w="0" w:type="auto"/>
            <w:shd w:val="clear" w:color="auto" w:fill="auto"/>
            <w:noWrap/>
            <w:vAlign w:val="bottom"/>
            <w:hideMark/>
          </w:tcPr>
          <w:p w14:paraId="00E0A937"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45C842D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3,446.673 </w:t>
            </w:r>
          </w:p>
        </w:tc>
        <w:tc>
          <w:tcPr>
            <w:tcW w:w="0" w:type="auto"/>
            <w:shd w:val="clear" w:color="auto" w:fill="auto"/>
            <w:noWrap/>
            <w:vAlign w:val="bottom"/>
            <w:hideMark/>
          </w:tcPr>
          <w:p w14:paraId="2EB87A10"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£60,536</w:t>
            </w:r>
          </w:p>
        </w:tc>
        <w:tc>
          <w:tcPr>
            <w:tcW w:w="0" w:type="auto"/>
            <w:shd w:val="clear" w:color="auto" w:fill="auto"/>
            <w:noWrap/>
            <w:vAlign w:val="bottom"/>
            <w:hideMark/>
          </w:tcPr>
          <w:p w14:paraId="762F7BD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7,422.824 </w:t>
            </w:r>
          </w:p>
        </w:tc>
      </w:tr>
      <w:tr w:rsidR="00594589" w:rsidRPr="00E31091" w14:paraId="72532C89" w14:textId="77777777" w:rsidTr="00594589">
        <w:trPr>
          <w:trHeight w:val="300"/>
        </w:trPr>
        <w:tc>
          <w:tcPr>
            <w:tcW w:w="0" w:type="auto"/>
            <w:shd w:val="clear" w:color="auto" w:fill="auto"/>
            <w:noWrap/>
            <w:vAlign w:val="bottom"/>
            <w:hideMark/>
          </w:tcPr>
          <w:p w14:paraId="5444D5E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72</w:t>
            </w:r>
          </w:p>
        </w:tc>
        <w:tc>
          <w:tcPr>
            <w:tcW w:w="0" w:type="auto"/>
            <w:shd w:val="clear" w:color="auto" w:fill="auto"/>
            <w:noWrap/>
            <w:vAlign w:val="bottom"/>
            <w:hideMark/>
          </w:tcPr>
          <w:p w14:paraId="6FCE40B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Expansion Joints</w:t>
            </w:r>
          </w:p>
        </w:tc>
        <w:tc>
          <w:tcPr>
            <w:tcW w:w="0" w:type="auto"/>
            <w:shd w:val="clear" w:color="auto" w:fill="auto"/>
            <w:noWrap/>
            <w:vAlign w:val="bottom"/>
            <w:hideMark/>
          </w:tcPr>
          <w:p w14:paraId="5696028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Road Closure - Night</w:t>
            </w:r>
          </w:p>
        </w:tc>
        <w:tc>
          <w:tcPr>
            <w:tcW w:w="0" w:type="auto"/>
            <w:shd w:val="clear" w:color="auto" w:fill="auto"/>
            <w:noWrap/>
            <w:vAlign w:val="bottom"/>
            <w:hideMark/>
          </w:tcPr>
          <w:p w14:paraId="53ECB31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w:t>
            </w:r>
          </w:p>
        </w:tc>
        <w:tc>
          <w:tcPr>
            <w:tcW w:w="0" w:type="auto"/>
            <w:shd w:val="clear" w:color="auto" w:fill="auto"/>
            <w:noWrap/>
            <w:vAlign w:val="bottom"/>
            <w:hideMark/>
          </w:tcPr>
          <w:p w14:paraId="3AA03BD9"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024C54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DB11FA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7.29</w:t>
            </w:r>
          </w:p>
        </w:tc>
        <w:tc>
          <w:tcPr>
            <w:tcW w:w="0" w:type="auto"/>
            <w:shd w:val="clear" w:color="auto" w:fill="auto"/>
            <w:noWrap/>
            <w:vAlign w:val="bottom"/>
            <w:hideMark/>
          </w:tcPr>
          <w:p w14:paraId="5F17B12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£336.48</w:t>
            </w:r>
          </w:p>
        </w:tc>
        <w:tc>
          <w:tcPr>
            <w:tcW w:w="0" w:type="auto"/>
            <w:shd w:val="clear" w:color="auto" w:fill="auto"/>
            <w:noWrap/>
            <w:vAlign w:val="bottom"/>
            <w:hideMark/>
          </w:tcPr>
          <w:p w14:paraId="2AF4894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£336.48</w:t>
            </w:r>
          </w:p>
        </w:tc>
        <w:tc>
          <w:tcPr>
            <w:tcW w:w="0" w:type="auto"/>
            <w:shd w:val="clear" w:color="auto" w:fill="auto"/>
            <w:noWrap/>
            <w:vAlign w:val="bottom"/>
            <w:hideMark/>
          </w:tcPr>
          <w:p w14:paraId="024232CC"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40A367B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1,673.142 </w:t>
            </w:r>
          </w:p>
        </w:tc>
        <w:tc>
          <w:tcPr>
            <w:tcW w:w="0" w:type="auto"/>
            <w:shd w:val="clear" w:color="auto" w:fill="auto"/>
            <w:noWrap/>
            <w:vAlign w:val="bottom"/>
            <w:hideMark/>
          </w:tcPr>
          <w:p w14:paraId="57CECCBF"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£21,663</w:t>
            </w:r>
          </w:p>
        </w:tc>
        <w:tc>
          <w:tcPr>
            <w:tcW w:w="0" w:type="auto"/>
            <w:shd w:val="clear" w:color="auto" w:fill="auto"/>
            <w:noWrap/>
            <w:vAlign w:val="bottom"/>
            <w:hideMark/>
          </w:tcPr>
          <w:p w14:paraId="3391902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2,578.913 </w:t>
            </w:r>
          </w:p>
        </w:tc>
      </w:tr>
      <w:tr w:rsidR="00594589" w:rsidRPr="00E31091" w14:paraId="4998B924" w14:textId="77777777" w:rsidTr="00594589">
        <w:trPr>
          <w:trHeight w:val="300"/>
        </w:trPr>
        <w:tc>
          <w:tcPr>
            <w:tcW w:w="0" w:type="auto"/>
            <w:shd w:val="clear" w:color="auto" w:fill="auto"/>
            <w:noWrap/>
            <w:vAlign w:val="bottom"/>
            <w:hideMark/>
          </w:tcPr>
          <w:p w14:paraId="7BE068D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73</w:t>
            </w:r>
          </w:p>
        </w:tc>
        <w:tc>
          <w:tcPr>
            <w:tcW w:w="0" w:type="auto"/>
            <w:shd w:val="clear" w:color="auto" w:fill="auto"/>
            <w:noWrap/>
            <w:vAlign w:val="bottom"/>
            <w:hideMark/>
          </w:tcPr>
          <w:p w14:paraId="6B23280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Renew waterproofing</w:t>
            </w:r>
          </w:p>
        </w:tc>
        <w:tc>
          <w:tcPr>
            <w:tcW w:w="0" w:type="auto"/>
            <w:shd w:val="clear" w:color="auto" w:fill="auto"/>
            <w:noWrap/>
            <w:vAlign w:val="bottom"/>
            <w:hideMark/>
          </w:tcPr>
          <w:p w14:paraId="3EC323E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Contraflow</w:t>
            </w:r>
          </w:p>
        </w:tc>
        <w:tc>
          <w:tcPr>
            <w:tcW w:w="0" w:type="auto"/>
            <w:shd w:val="clear" w:color="auto" w:fill="auto"/>
            <w:noWrap/>
            <w:vAlign w:val="bottom"/>
            <w:hideMark/>
          </w:tcPr>
          <w:p w14:paraId="5F4537E6"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D7E4A5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0F7F3D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352EE3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6.2</w:t>
            </w:r>
          </w:p>
        </w:tc>
        <w:tc>
          <w:tcPr>
            <w:tcW w:w="0" w:type="auto"/>
            <w:shd w:val="clear" w:color="auto" w:fill="auto"/>
            <w:noWrap/>
            <w:vAlign w:val="bottom"/>
            <w:hideMark/>
          </w:tcPr>
          <w:p w14:paraId="4F890C0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£275.52</w:t>
            </w:r>
          </w:p>
        </w:tc>
        <w:tc>
          <w:tcPr>
            <w:tcW w:w="0" w:type="auto"/>
            <w:shd w:val="clear" w:color="auto" w:fill="auto"/>
            <w:noWrap/>
            <w:vAlign w:val="bottom"/>
            <w:hideMark/>
          </w:tcPr>
          <w:p w14:paraId="579FE30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£275.52</w:t>
            </w:r>
          </w:p>
        </w:tc>
        <w:tc>
          <w:tcPr>
            <w:tcW w:w="0" w:type="auto"/>
            <w:vMerge w:val="restart"/>
            <w:shd w:val="clear" w:color="auto" w:fill="auto"/>
            <w:noWrap/>
            <w:vAlign w:val="bottom"/>
            <w:hideMark/>
          </w:tcPr>
          <w:p w14:paraId="2BD56600"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vMerge w:val="restart"/>
            <w:shd w:val="clear" w:color="auto" w:fill="auto"/>
            <w:noWrap/>
            <w:vAlign w:val="bottom"/>
            <w:hideMark/>
          </w:tcPr>
          <w:p w14:paraId="34B6DB6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1,624.410 </w:t>
            </w:r>
          </w:p>
        </w:tc>
        <w:tc>
          <w:tcPr>
            <w:tcW w:w="0" w:type="auto"/>
            <w:vMerge w:val="restart"/>
            <w:shd w:val="clear" w:color="auto" w:fill="auto"/>
            <w:noWrap/>
            <w:vAlign w:val="bottom"/>
            <w:hideMark/>
          </w:tcPr>
          <w:p w14:paraId="660BCA3E"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£300,980</w:t>
            </w:r>
          </w:p>
        </w:tc>
        <w:tc>
          <w:tcPr>
            <w:tcW w:w="0" w:type="auto"/>
            <w:vMerge w:val="restart"/>
            <w:shd w:val="clear" w:color="auto" w:fill="auto"/>
            <w:noWrap/>
            <w:vAlign w:val="bottom"/>
            <w:hideMark/>
          </w:tcPr>
          <w:p w14:paraId="6D5AA5D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34,787.256 </w:t>
            </w:r>
          </w:p>
        </w:tc>
      </w:tr>
      <w:tr w:rsidR="00594589" w:rsidRPr="00E31091" w14:paraId="59B84F92" w14:textId="77777777" w:rsidTr="00594589">
        <w:trPr>
          <w:trHeight w:val="300"/>
        </w:trPr>
        <w:tc>
          <w:tcPr>
            <w:tcW w:w="0" w:type="auto"/>
            <w:shd w:val="clear" w:color="auto" w:fill="auto"/>
            <w:noWrap/>
            <w:vAlign w:val="bottom"/>
            <w:hideMark/>
          </w:tcPr>
          <w:p w14:paraId="03036F2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73</w:t>
            </w:r>
          </w:p>
        </w:tc>
        <w:tc>
          <w:tcPr>
            <w:tcW w:w="0" w:type="auto"/>
            <w:shd w:val="clear" w:color="auto" w:fill="auto"/>
            <w:noWrap/>
            <w:vAlign w:val="bottom"/>
            <w:hideMark/>
          </w:tcPr>
          <w:p w14:paraId="35CAD85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superstructure Drainage</w:t>
            </w:r>
          </w:p>
        </w:tc>
        <w:tc>
          <w:tcPr>
            <w:tcW w:w="0" w:type="auto"/>
            <w:shd w:val="clear" w:color="auto" w:fill="auto"/>
            <w:noWrap/>
            <w:vAlign w:val="bottom"/>
            <w:hideMark/>
          </w:tcPr>
          <w:p w14:paraId="41D9966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Lane Closures</w:t>
            </w:r>
          </w:p>
        </w:tc>
        <w:tc>
          <w:tcPr>
            <w:tcW w:w="0" w:type="auto"/>
            <w:shd w:val="clear" w:color="auto" w:fill="auto"/>
            <w:noWrap/>
            <w:vAlign w:val="bottom"/>
            <w:hideMark/>
          </w:tcPr>
          <w:p w14:paraId="536B213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10</w:t>
            </w:r>
          </w:p>
        </w:tc>
        <w:tc>
          <w:tcPr>
            <w:tcW w:w="0" w:type="auto"/>
            <w:shd w:val="clear" w:color="auto" w:fill="auto"/>
            <w:noWrap/>
            <w:vAlign w:val="bottom"/>
            <w:hideMark/>
          </w:tcPr>
          <w:p w14:paraId="4FE61F3C"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A491BF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1C36E8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0.85</w:t>
            </w:r>
          </w:p>
        </w:tc>
        <w:tc>
          <w:tcPr>
            <w:tcW w:w="0" w:type="auto"/>
            <w:shd w:val="clear" w:color="auto" w:fill="auto"/>
            <w:noWrap/>
            <w:vAlign w:val="bottom"/>
            <w:hideMark/>
          </w:tcPr>
          <w:p w14:paraId="71753FE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£37.77</w:t>
            </w:r>
          </w:p>
        </w:tc>
        <w:tc>
          <w:tcPr>
            <w:tcW w:w="0" w:type="auto"/>
            <w:shd w:val="clear" w:color="auto" w:fill="auto"/>
            <w:noWrap/>
            <w:vAlign w:val="bottom"/>
            <w:hideMark/>
          </w:tcPr>
          <w:p w14:paraId="3A20BC8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£37.77</w:t>
            </w:r>
          </w:p>
        </w:tc>
        <w:tc>
          <w:tcPr>
            <w:tcW w:w="0" w:type="auto"/>
            <w:vMerge/>
            <w:vAlign w:val="center"/>
            <w:hideMark/>
          </w:tcPr>
          <w:p w14:paraId="14ECA75D"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55DD4FFC"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26524F0A"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3EAEF9F7"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r>
      <w:tr w:rsidR="00594589" w:rsidRPr="00E31091" w14:paraId="12858B66" w14:textId="77777777" w:rsidTr="00594589">
        <w:trPr>
          <w:trHeight w:val="300"/>
        </w:trPr>
        <w:tc>
          <w:tcPr>
            <w:tcW w:w="0" w:type="auto"/>
            <w:shd w:val="clear" w:color="auto" w:fill="auto"/>
            <w:noWrap/>
            <w:vAlign w:val="bottom"/>
            <w:hideMark/>
          </w:tcPr>
          <w:p w14:paraId="0ED181E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74</w:t>
            </w:r>
          </w:p>
        </w:tc>
        <w:tc>
          <w:tcPr>
            <w:tcW w:w="0" w:type="auto"/>
            <w:shd w:val="clear" w:color="auto" w:fill="auto"/>
            <w:noWrap/>
            <w:vAlign w:val="bottom"/>
            <w:hideMark/>
          </w:tcPr>
          <w:p w14:paraId="16709FE2"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9B26056"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B26CF2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AE529FD"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488923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65D6659"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82C4A8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6343A5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CAE1975"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2E1363C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1,271.71 </w:t>
            </w:r>
          </w:p>
        </w:tc>
        <w:tc>
          <w:tcPr>
            <w:tcW w:w="0" w:type="auto"/>
            <w:shd w:val="clear" w:color="auto" w:fill="auto"/>
            <w:noWrap/>
            <w:vAlign w:val="bottom"/>
            <w:hideMark/>
          </w:tcPr>
          <w:p w14:paraId="38E7FE65"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3717438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55315352" w14:textId="77777777" w:rsidTr="00594589">
        <w:trPr>
          <w:trHeight w:val="300"/>
        </w:trPr>
        <w:tc>
          <w:tcPr>
            <w:tcW w:w="0" w:type="auto"/>
            <w:shd w:val="clear" w:color="auto" w:fill="auto"/>
            <w:noWrap/>
            <w:vAlign w:val="bottom"/>
            <w:hideMark/>
          </w:tcPr>
          <w:p w14:paraId="2841923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75</w:t>
            </w:r>
          </w:p>
        </w:tc>
        <w:tc>
          <w:tcPr>
            <w:tcW w:w="0" w:type="auto"/>
            <w:shd w:val="clear" w:color="auto" w:fill="auto"/>
            <w:noWrap/>
            <w:vAlign w:val="bottom"/>
            <w:hideMark/>
          </w:tcPr>
          <w:p w14:paraId="7693DAE4"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1414787"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061D2B1"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3DCC989"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82C628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9CE0755"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FFBF34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FB031B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56F6A21"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7E47667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1,231.09 </w:t>
            </w:r>
          </w:p>
        </w:tc>
        <w:tc>
          <w:tcPr>
            <w:tcW w:w="0" w:type="auto"/>
            <w:shd w:val="clear" w:color="auto" w:fill="auto"/>
            <w:noWrap/>
            <w:vAlign w:val="bottom"/>
            <w:hideMark/>
          </w:tcPr>
          <w:p w14:paraId="14334524"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0DF0426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69E704F0" w14:textId="77777777" w:rsidTr="00594589">
        <w:trPr>
          <w:trHeight w:val="300"/>
        </w:trPr>
        <w:tc>
          <w:tcPr>
            <w:tcW w:w="0" w:type="auto"/>
            <w:shd w:val="clear" w:color="auto" w:fill="auto"/>
            <w:noWrap/>
            <w:vAlign w:val="bottom"/>
            <w:hideMark/>
          </w:tcPr>
          <w:p w14:paraId="6056571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76</w:t>
            </w:r>
          </w:p>
        </w:tc>
        <w:tc>
          <w:tcPr>
            <w:tcW w:w="0" w:type="auto"/>
            <w:shd w:val="clear" w:color="auto" w:fill="auto"/>
            <w:noWrap/>
            <w:vAlign w:val="bottom"/>
            <w:hideMark/>
          </w:tcPr>
          <w:p w14:paraId="6B56FEB1"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375AC23"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4597A7A"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7BC8A44"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711146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5490BD0"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E56F43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8E3D10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6D6B45D"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65D21DD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4,303.57 </w:t>
            </w:r>
          </w:p>
        </w:tc>
        <w:tc>
          <w:tcPr>
            <w:tcW w:w="0" w:type="auto"/>
            <w:shd w:val="clear" w:color="auto" w:fill="auto"/>
            <w:noWrap/>
            <w:vAlign w:val="bottom"/>
            <w:hideMark/>
          </w:tcPr>
          <w:p w14:paraId="48CEA016"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39E0389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4375DF71" w14:textId="77777777" w:rsidTr="00594589">
        <w:trPr>
          <w:trHeight w:val="300"/>
        </w:trPr>
        <w:tc>
          <w:tcPr>
            <w:tcW w:w="0" w:type="auto"/>
            <w:shd w:val="clear" w:color="auto" w:fill="auto"/>
            <w:noWrap/>
            <w:vAlign w:val="bottom"/>
            <w:hideMark/>
          </w:tcPr>
          <w:p w14:paraId="5EB56B7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77</w:t>
            </w:r>
          </w:p>
        </w:tc>
        <w:tc>
          <w:tcPr>
            <w:tcW w:w="0" w:type="auto"/>
            <w:shd w:val="clear" w:color="auto" w:fill="auto"/>
            <w:noWrap/>
            <w:vAlign w:val="bottom"/>
            <w:hideMark/>
          </w:tcPr>
          <w:p w14:paraId="70E88CD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Access/ Walkways/ Gantries</w:t>
            </w:r>
          </w:p>
        </w:tc>
        <w:tc>
          <w:tcPr>
            <w:tcW w:w="0" w:type="auto"/>
            <w:shd w:val="clear" w:color="auto" w:fill="auto"/>
            <w:noWrap/>
            <w:vAlign w:val="bottom"/>
            <w:hideMark/>
          </w:tcPr>
          <w:p w14:paraId="24711C4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2256C4E8"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5CCCE7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D18E74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F6D25A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w:t>
            </w:r>
          </w:p>
        </w:tc>
        <w:tc>
          <w:tcPr>
            <w:tcW w:w="0" w:type="auto"/>
            <w:shd w:val="clear" w:color="auto" w:fill="auto"/>
            <w:noWrap/>
            <w:vAlign w:val="bottom"/>
            <w:hideMark/>
          </w:tcPr>
          <w:p w14:paraId="294A142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£166.48</w:t>
            </w:r>
          </w:p>
        </w:tc>
        <w:tc>
          <w:tcPr>
            <w:tcW w:w="0" w:type="auto"/>
            <w:shd w:val="clear" w:color="auto" w:fill="auto"/>
            <w:noWrap/>
            <w:vAlign w:val="bottom"/>
            <w:hideMark/>
          </w:tcPr>
          <w:p w14:paraId="19F383D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£166.48</w:t>
            </w:r>
          </w:p>
        </w:tc>
        <w:tc>
          <w:tcPr>
            <w:tcW w:w="0" w:type="auto"/>
            <w:vMerge w:val="restart"/>
            <w:shd w:val="clear" w:color="auto" w:fill="auto"/>
            <w:noWrap/>
            <w:vAlign w:val="bottom"/>
            <w:hideMark/>
          </w:tcPr>
          <w:p w14:paraId="2E14C17E"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vMerge w:val="restart"/>
            <w:shd w:val="clear" w:color="auto" w:fill="auto"/>
            <w:noWrap/>
            <w:vAlign w:val="bottom"/>
            <w:hideMark/>
          </w:tcPr>
          <w:p w14:paraId="6D4FCD1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2,099.30 </w:t>
            </w:r>
          </w:p>
        </w:tc>
        <w:tc>
          <w:tcPr>
            <w:tcW w:w="0" w:type="auto"/>
            <w:vMerge w:val="restart"/>
            <w:shd w:val="clear" w:color="auto" w:fill="auto"/>
            <w:noWrap/>
            <w:vAlign w:val="bottom"/>
            <w:hideMark/>
          </w:tcPr>
          <w:p w14:paraId="297B24A0"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£183,806</w:t>
            </w:r>
          </w:p>
        </w:tc>
        <w:tc>
          <w:tcPr>
            <w:tcW w:w="0" w:type="auto"/>
            <w:vMerge w:val="restart"/>
            <w:shd w:val="clear" w:color="auto" w:fill="auto"/>
            <w:noWrap/>
            <w:vAlign w:val="bottom"/>
            <w:hideMark/>
          </w:tcPr>
          <w:p w14:paraId="7438D5F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27,455.00 </w:t>
            </w:r>
          </w:p>
        </w:tc>
      </w:tr>
      <w:tr w:rsidR="00594589" w:rsidRPr="00E31091" w14:paraId="452A45E6" w14:textId="77777777" w:rsidTr="00594589">
        <w:trPr>
          <w:trHeight w:val="300"/>
        </w:trPr>
        <w:tc>
          <w:tcPr>
            <w:tcW w:w="0" w:type="auto"/>
            <w:shd w:val="clear" w:color="auto" w:fill="auto"/>
            <w:noWrap/>
            <w:vAlign w:val="bottom"/>
            <w:hideMark/>
          </w:tcPr>
          <w:p w14:paraId="1C09C33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77</w:t>
            </w:r>
          </w:p>
        </w:tc>
        <w:tc>
          <w:tcPr>
            <w:tcW w:w="0" w:type="auto"/>
            <w:shd w:val="clear" w:color="auto" w:fill="auto"/>
            <w:noWrap/>
            <w:vAlign w:val="bottom"/>
            <w:hideMark/>
          </w:tcPr>
          <w:p w14:paraId="3D924A8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Carriageway Surfacing</w:t>
            </w:r>
          </w:p>
        </w:tc>
        <w:tc>
          <w:tcPr>
            <w:tcW w:w="0" w:type="auto"/>
            <w:shd w:val="clear" w:color="auto" w:fill="auto"/>
            <w:noWrap/>
            <w:vAlign w:val="bottom"/>
            <w:hideMark/>
          </w:tcPr>
          <w:p w14:paraId="3040FB9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Lane Closures</w:t>
            </w:r>
          </w:p>
        </w:tc>
        <w:tc>
          <w:tcPr>
            <w:tcW w:w="0" w:type="auto"/>
            <w:shd w:val="clear" w:color="auto" w:fill="auto"/>
            <w:noWrap/>
            <w:vAlign w:val="bottom"/>
            <w:hideMark/>
          </w:tcPr>
          <w:p w14:paraId="47FFFF88"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2FAE909"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ECAD5F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67E1F9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3.51165</w:t>
            </w:r>
          </w:p>
        </w:tc>
        <w:tc>
          <w:tcPr>
            <w:tcW w:w="0" w:type="auto"/>
            <w:shd w:val="clear" w:color="auto" w:fill="auto"/>
            <w:noWrap/>
            <w:vAlign w:val="bottom"/>
            <w:hideMark/>
          </w:tcPr>
          <w:p w14:paraId="1F8EE80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£194.87</w:t>
            </w:r>
          </w:p>
        </w:tc>
        <w:tc>
          <w:tcPr>
            <w:tcW w:w="0" w:type="auto"/>
            <w:shd w:val="clear" w:color="auto" w:fill="auto"/>
            <w:noWrap/>
            <w:vAlign w:val="bottom"/>
            <w:hideMark/>
          </w:tcPr>
          <w:p w14:paraId="48683E4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£194.87</w:t>
            </w:r>
          </w:p>
        </w:tc>
        <w:tc>
          <w:tcPr>
            <w:tcW w:w="0" w:type="auto"/>
            <w:vMerge/>
            <w:vAlign w:val="center"/>
            <w:hideMark/>
          </w:tcPr>
          <w:p w14:paraId="62299BDB"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714D02A3"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326B1E80"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527DF4EF"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r>
      <w:tr w:rsidR="00594589" w:rsidRPr="00E31091" w14:paraId="4AA59C2D" w14:textId="77777777" w:rsidTr="00594589">
        <w:trPr>
          <w:trHeight w:val="300"/>
        </w:trPr>
        <w:tc>
          <w:tcPr>
            <w:tcW w:w="0" w:type="auto"/>
            <w:shd w:val="clear" w:color="auto" w:fill="auto"/>
            <w:noWrap/>
            <w:vAlign w:val="bottom"/>
            <w:hideMark/>
          </w:tcPr>
          <w:p w14:paraId="01C8509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78</w:t>
            </w:r>
          </w:p>
        </w:tc>
        <w:tc>
          <w:tcPr>
            <w:tcW w:w="0" w:type="auto"/>
            <w:shd w:val="clear" w:color="auto" w:fill="auto"/>
            <w:noWrap/>
            <w:vAlign w:val="bottom"/>
            <w:hideMark/>
          </w:tcPr>
          <w:p w14:paraId="7CC76D24"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9B2ED34"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042965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58D84A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126013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A093D99"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F8CED4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C77765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E03AE43"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7E41253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2,048.10 </w:t>
            </w:r>
          </w:p>
        </w:tc>
        <w:tc>
          <w:tcPr>
            <w:tcW w:w="0" w:type="auto"/>
            <w:shd w:val="clear" w:color="auto" w:fill="auto"/>
            <w:noWrap/>
            <w:vAlign w:val="bottom"/>
            <w:hideMark/>
          </w:tcPr>
          <w:p w14:paraId="243CB560"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4806DEF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781556A4" w14:textId="77777777" w:rsidTr="00594589">
        <w:trPr>
          <w:trHeight w:val="300"/>
        </w:trPr>
        <w:tc>
          <w:tcPr>
            <w:tcW w:w="0" w:type="auto"/>
            <w:shd w:val="clear" w:color="auto" w:fill="auto"/>
            <w:noWrap/>
            <w:vAlign w:val="bottom"/>
            <w:hideMark/>
          </w:tcPr>
          <w:p w14:paraId="4E65456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79</w:t>
            </w:r>
          </w:p>
        </w:tc>
        <w:tc>
          <w:tcPr>
            <w:tcW w:w="0" w:type="auto"/>
            <w:shd w:val="clear" w:color="auto" w:fill="auto"/>
            <w:noWrap/>
            <w:vAlign w:val="bottom"/>
            <w:hideMark/>
          </w:tcPr>
          <w:p w14:paraId="1E23B50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Concrete repairs to bearing plinth / shelf</w:t>
            </w:r>
          </w:p>
        </w:tc>
        <w:tc>
          <w:tcPr>
            <w:tcW w:w="0" w:type="auto"/>
            <w:shd w:val="clear" w:color="auto" w:fill="auto"/>
            <w:noWrap/>
            <w:vAlign w:val="bottom"/>
            <w:hideMark/>
          </w:tcPr>
          <w:p w14:paraId="5AE524D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23C213C9"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77DBFCA"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E3383F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959B36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3.5625</w:t>
            </w:r>
          </w:p>
        </w:tc>
        <w:tc>
          <w:tcPr>
            <w:tcW w:w="0" w:type="auto"/>
            <w:shd w:val="clear" w:color="auto" w:fill="auto"/>
            <w:noWrap/>
            <w:vAlign w:val="bottom"/>
            <w:hideMark/>
          </w:tcPr>
          <w:p w14:paraId="0144641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£184.89</w:t>
            </w:r>
          </w:p>
        </w:tc>
        <w:tc>
          <w:tcPr>
            <w:tcW w:w="0" w:type="auto"/>
            <w:shd w:val="clear" w:color="auto" w:fill="auto"/>
            <w:noWrap/>
            <w:vAlign w:val="bottom"/>
            <w:hideMark/>
          </w:tcPr>
          <w:p w14:paraId="37C1836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£184.89</w:t>
            </w:r>
          </w:p>
        </w:tc>
        <w:tc>
          <w:tcPr>
            <w:tcW w:w="0" w:type="auto"/>
            <w:shd w:val="clear" w:color="auto" w:fill="auto"/>
            <w:noWrap/>
            <w:vAlign w:val="bottom"/>
            <w:hideMark/>
          </w:tcPr>
          <w:p w14:paraId="15D9E7B9"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639B6E1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1,998.15 </w:t>
            </w:r>
          </w:p>
        </w:tc>
        <w:tc>
          <w:tcPr>
            <w:tcW w:w="0" w:type="auto"/>
            <w:shd w:val="clear" w:color="auto" w:fill="auto"/>
            <w:noWrap/>
            <w:vAlign w:val="bottom"/>
            <w:hideMark/>
          </w:tcPr>
          <w:p w14:paraId="5CDB1F94"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£37,340</w:t>
            </w:r>
          </w:p>
        </w:tc>
        <w:tc>
          <w:tcPr>
            <w:tcW w:w="0" w:type="auto"/>
            <w:shd w:val="clear" w:color="auto" w:fill="auto"/>
            <w:noWrap/>
            <w:vAlign w:val="bottom"/>
            <w:hideMark/>
          </w:tcPr>
          <w:p w14:paraId="5D57459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5,441.41 </w:t>
            </w:r>
          </w:p>
        </w:tc>
      </w:tr>
      <w:tr w:rsidR="00594589" w:rsidRPr="00E31091" w14:paraId="0503EA5D" w14:textId="77777777" w:rsidTr="00594589">
        <w:trPr>
          <w:trHeight w:val="300"/>
        </w:trPr>
        <w:tc>
          <w:tcPr>
            <w:tcW w:w="0" w:type="auto"/>
            <w:shd w:val="clear" w:color="auto" w:fill="auto"/>
            <w:noWrap/>
            <w:vAlign w:val="bottom"/>
            <w:hideMark/>
          </w:tcPr>
          <w:p w14:paraId="65A9D8E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80</w:t>
            </w:r>
          </w:p>
        </w:tc>
        <w:tc>
          <w:tcPr>
            <w:tcW w:w="0" w:type="auto"/>
            <w:shd w:val="clear" w:color="auto" w:fill="auto"/>
            <w:noWrap/>
            <w:vAlign w:val="bottom"/>
            <w:hideMark/>
          </w:tcPr>
          <w:p w14:paraId="3FF2CB31"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069F64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C192B8D"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CA89770"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AC68E0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E42D944"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595C6F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DFED39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40803DF"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22896EE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1,949.41 </w:t>
            </w:r>
          </w:p>
        </w:tc>
        <w:tc>
          <w:tcPr>
            <w:tcW w:w="0" w:type="auto"/>
            <w:shd w:val="clear" w:color="auto" w:fill="auto"/>
            <w:noWrap/>
            <w:vAlign w:val="bottom"/>
            <w:hideMark/>
          </w:tcPr>
          <w:p w14:paraId="0D6FAB06"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1000AD4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59A4591C" w14:textId="77777777" w:rsidTr="00594589">
        <w:trPr>
          <w:trHeight w:val="300"/>
        </w:trPr>
        <w:tc>
          <w:tcPr>
            <w:tcW w:w="0" w:type="auto"/>
            <w:shd w:val="clear" w:color="auto" w:fill="auto"/>
            <w:noWrap/>
            <w:vAlign w:val="bottom"/>
            <w:hideMark/>
          </w:tcPr>
          <w:p w14:paraId="0242B16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81</w:t>
            </w:r>
          </w:p>
        </w:tc>
        <w:tc>
          <w:tcPr>
            <w:tcW w:w="0" w:type="auto"/>
            <w:shd w:val="clear" w:color="auto" w:fill="auto"/>
            <w:noWrap/>
            <w:vAlign w:val="bottom"/>
            <w:hideMark/>
          </w:tcPr>
          <w:p w14:paraId="539C780F"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4B6C7C5"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31AA5C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055F179"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C1D7B4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2106310"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9B51CB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41BE31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CE3A2D4"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63EA5EB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3,803.73 </w:t>
            </w:r>
          </w:p>
        </w:tc>
        <w:tc>
          <w:tcPr>
            <w:tcW w:w="0" w:type="auto"/>
            <w:shd w:val="clear" w:color="auto" w:fill="auto"/>
            <w:noWrap/>
            <w:vAlign w:val="bottom"/>
            <w:hideMark/>
          </w:tcPr>
          <w:p w14:paraId="3140085E"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008DC3F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47517F14" w14:textId="77777777" w:rsidTr="00594589">
        <w:trPr>
          <w:trHeight w:val="300"/>
        </w:trPr>
        <w:tc>
          <w:tcPr>
            <w:tcW w:w="0" w:type="auto"/>
            <w:shd w:val="clear" w:color="auto" w:fill="auto"/>
            <w:noWrap/>
            <w:vAlign w:val="bottom"/>
            <w:hideMark/>
          </w:tcPr>
          <w:p w14:paraId="10FB7AB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82</w:t>
            </w:r>
          </w:p>
        </w:tc>
        <w:tc>
          <w:tcPr>
            <w:tcW w:w="0" w:type="auto"/>
            <w:shd w:val="clear" w:color="auto" w:fill="auto"/>
            <w:noWrap/>
            <w:vAlign w:val="bottom"/>
            <w:hideMark/>
          </w:tcPr>
          <w:p w14:paraId="1A9F80D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Expansion Joints</w:t>
            </w:r>
          </w:p>
        </w:tc>
        <w:tc>
          <w:tcPr>
            <w:tcW w:w="0" w:type="auto"/>
            <w:shd w:val="clear" w:color="auto" w:fill="auto"/>
            <w:noWrap/>
            <w:vAlign w:val="bottom"/>
            <w:hideMark/>
          </w:tcPr>
          <w:p w14:paraId="741F9BF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Road Closure - Night</w:t>
            </w:r>
          </w:p>
        </w:tc>
        <w:tc>
          <w:tcPr>
            <w:tcW w:w="0" w:type="auto"/>
            <w:shd w:val="clear" w:color="auto" w:fill="auto"/>
            <w:noWrap/>
            <w:vAlign w:val="bottom"/>
            <w:hideMark/>
          </w:tcPr>
          <w:p w14:paraId="7BAE377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w:t>
            </w:r>
          </w:p>
        </w:tc>
        <w:tc>
          <w:tcPr>
            <w:tcW w:w="0" w:type="auto"/>
            <w:shd w:val="clear" w:color="auto" w:fill="auto"/>
            <w:noWrap/>
            <w:vAlign w:val="bottom"/>
            <w:hideMark/>
          </w:tcPr>
          <w:p w14:paraId="659335BC"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B81553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BAF431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7.29</w:t>
            </w:r>
          </w:p>
        </w:tc>
        <w:tc>
          <w:tcPr>
            <w:tcW w:w="0" w:type="auto"/>
            <w:shd w:val="clear" w:color="auto" w:fill="auto"/>
            <w:noWrap/>
            <w:vAlign w:val="bottom"/>
            <w:hideMark/>
          </w:tcPr>
          <w:p w14:paraId="5DAD01C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12ADD6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47CA0A4"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6C2BA6D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1,855.48 </w:t>
            </w:r>
          </w:p>
        </w:tc>
        <w:tc>
          <w:tcPr>
            <w:tcW w:w="0" w:type="auto"/>
            <w:shd w:val="clear" w:color="auto" w:fill="auto"/>
            <w:noWrap/>
            <w:vAlign w:val="bottom"/>
            <w:hideMark/>
          </w:tcPr>
          <w:p w14:paraId="61AB87D9"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£21,663</w:t>
            </w:r>
          </w:p>
        </w:tc>
        <w:tc>
          <w:tcPr>
            <w:tcW w:w="0" w:type="auto"/>
            <w:shd w:val="clear" w:color="auto" w:fill="auto"/>
            <w:noWrap/>
            <w:vAlign w:val="bottom"/>
            <w:hideMark/>
          </w:tcPr>
          <w:p w14:paraId="0C878DA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2,931.46 </w:t>
            </w:r>
          </w:p>
        </w:tc>
      </w:tr>
      <w:tr w:rsidR="00594589" w:rsidRPr="00E31091" w14:paraId="3AFE3D3E" w14:textId="77777777" w:rsidTr="00594589">
        <w:trPr>
          <w:trHeight w:val="300"/>
        </w:trPr>
        <w:tc>
          <w:tcPr>
            <w:tcW w:w="0" w:type="auto"/>
            <w:shd w:val="clear" w:color="auto" w:fill="auto"/>
            <w:noWrap/>
            <w:vAlign w:val="bottom"/>
            <w:hideMark/>
          </w:tcPr>
          <w:p w14:paraId="1C850C7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83</w:t>
            </w:r>
          </w:p>
        </w:tc>
        <w:tc>
          <w:tcPr>
            <w:tcW w:w="0" w:type="auto"/>
            <w:shd w:val="clear" w:color="auto" w:fill="auto"/>
            <w:noWrap/>
            <w:vAlign w:val="bottom"/>
            <w:hideMark/>
          </w:tcPr>
          <w:p w14:paraId="373B0D4A"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F79993C"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6F88C55"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82C6455"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A11E75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BE50C56"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D17124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924781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71F1B51"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1F679E9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1,810.22 </w:t>
            </w:r>
          </w:p>
        </w:tc>
        <w:tc>
          <w:tcPr>
            <w:tcW w:w="0" w:type="auto"/>
            <w:shd w:val="clear" w:color="auto" w:fill="auto"/>
            <w:noWrap/>
            <w:vAlign w:val="bottom"/>
            <w:hideMark/>
          </w:tcPr>
          <w:p w14:paraId="653AAD43"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1715D0F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280CF53D" w14:textId="77777777" w:rsidTr="00594589">
        <w:trPr>
          <w:trHeight w:val="300"/>
        </w:trPr>
        <w:tc>
          <w:tcPr>
            <w:tcW w:w="0" w:type="auto"/>
            <w:shd w:val="clear" w:color="auto" w:fill="auto"/>
            <w:noWrap/>
            <w:vAlign w:val="bottom"/>
            <w:hideMark/>
          </w:tcPr>
          <w:p w14:paraId="46803F2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84</w:t>
            </w:r>
          </w:p>
        </w:tc>
        <w:tc>
          <w:tcPr>
            <w:tcW w:w="0" w:type="auto"/>
            <w:shd w:val="clear" w:color="auto" w:fill="auto"/>
            <w:noWrap/>
            <w:vAlign w:val="bottom"/>
            <w:hideMark/>
          </w:tcPr>
          <w:p w14:paraId="41029307"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ACF5CAC"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022DFE5"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4F40A83"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14437E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12088FB"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833E1A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964565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95090C2"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62CE3DD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3,532.14 </w:t>
            </w:r>
          </w:p>
        </w:tc>
        <w:tc>
          <w:tcPr>
            <w:tcW w:w="0" w:type="auto"/>
            <w:shd w:val="clear" w:color="auto" w:fill="auto"/>
            <w:noWrap/>
            <w:vAlign w:val="bottom"/>
            <w:hideMark/>
          </w:tcPr>
          <w:p w14:paraId="1D263E83"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5F38FB4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183FA43A" w14:textId="77777777" w:rsidTr="00594589">
        <w:trPr>
          <w:trHeight w:val="300"/>
        </w:trPr>
        <w:tc>
          <w:tcPr>
            <w:tcW w:w="0" w:type="auto"/>
            <w:shd w:val="clear" w:color="auto" w:fill="auto"/>
            <w:noWrap/>
            <w:vAlign w:val="bottom"/>
            <w:hideMark/>
          </w:tcPr>
          <w:p w14:paraId="1428F73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85</w:t>
            </w:r>
          </w:p>
        </w:tc>
        <w:tc>
          <w:tcPr>
            <w:tcW w:w="0" w:type="auto"/>
            <w:shd w:val="clear" w:color="auto" w:fill="auto"/>
            <w:noWrap/>
            <w:vAlign w:val="bottom"/>
            <w:hideMark/>
          </w:tcPr>
          <w:p w14:paraId="02A0822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Bearings</w:t>
            </w:r>
          </w:p>
        </w:tc>
        <w:tc>
          <w:tcPr>
            <w:tcW w:w="0" w:type="auto"/>
            <w:shd w:val="clear" w:color="auto" w:fill="auto"/>
            <w:noWrap/>
            <w:vAlign w:val="bottom"/>
            <w:hideMark/>
          </w:tcPr>
          <w:p w14:paraId="62ACBF3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1831A184"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30E1653"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E7B520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C06DB9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22.825</w:t>
            </w:r>
          </w:p>
        </w:tc>
        <w:tc>
          <w:tcPr>
            <w:tcW w:w="0" w:type="auto"/>
            <w:shd w:val="clear" w:color="auto" w:fill="auto"/>
            <w:noWrap/>
            <w:vAlign w:val="bottom"/>
            <w:hideMark/>
          </w:tcPr>
          <w:p w14:paraId="1E2406A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7200EB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3E20282"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2087289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1,723.00 </w:t>
            </w:r>
          </w:p>
        </w:tc>
        <w:tc>
          <w:tcPr>
            <w:tcW w:w="0" w:type="auto"/>
            <w:shd w:val="clear" w:color="auto" w:fill="auto"/>
            <w:noWrap/>
            <w:vAlign w:val="bottom"/>
            <w:hideMark/>
          </w:tcPr>
          <w:p w14:paraId="7C2E04BF"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£148,132</w:t>
            </w:r>
          </w:p>
        </w:tc>
        <w:tc>
          <w:tcPr>
            <w:tcW w:w="0" w:type="auto"/>
            <w:shd w:val="clear" w:color="auto" w:fill="auto"/>
            <w:noWrap/>
            <w:vAlign w:val="bottom"/>
            <w:hideMark/>
          </w:tcPr>
          <w:p w14:paraId="0C78FAF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18,614.25 </w:t>
            </w:r>
          </w:p>
        </w:tc>
      </w:tr>
      <w:tr w:rsidR="00594589" w:rsidRPr="00E31091" w14:paraId="21EEDE08" w14:textId="77777777" w:rsidTr="00594589">
        <w:trPr>
          <w:trHeight w:val="300"/>
        </w:trPr>
        <w:tc>
          <w:tcPr>
            <w:tcW w:w="0" w:type="auto"/>
            <w:shd w:val="clear" w:color="auto" w:fill="auto"/>
            <w:noWrap/>
            <w:vAlign w:val="bottom"/>
            <w:hideMark/>
          </w:tcPr>
          <w:p w14:paraId="5C8C132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86</w:t>
            </w:r>
          </w:p>
        </w:tc>
        <w:tc>
          <w:tcPr>
            <w:tcW w:w="0" w:type="auto"/>
            <w:shd w:val="clear" w:color="auto" w:fill="auto"/>
            <w:noWrap/>
            <w:vAlign w:val="bottom"/>
            <w:hideMark/>
          </w:tcPr>
          <w:p w14:paraId="04C756A0"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E52E5FB"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D4DAE50"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8253511"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671865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C3BCE83"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D6E4AA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B34064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5E17815"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75C8909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1,680.97 </w:t>
            </w:r>
          </w:p>
        </w:tc>
        <w:tc>
          <w:tcPr>
            <w:tcW w:w="0" w:type="auto"/>
            <w:shd w:val="clear" w:color="auto" w:fill="auto"/>
            <w:noWrap/>
            <w:vAlign w:val="bottom"/>
            <w:hideMark/>
          </w:tcPr>
          <w:p w14:paraId="2A5F342A"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2161044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05B0B913" w14:textId="77777777" w:rsidTr="00594589">
        <w:trPr>
          <w:trHeight w:val="300"/>
        </w:trPr>
        <w:tc>
          <w:tcPr>
            <w:tcW w:w="0" w:type="auto"/>
            <w:shd w:val="clear" w:color="auto" w:fill="auto"/>
            <w:noWrap/>
            <w:vAlign w:val="bottom"/>
            <w:hideMark/>
          </w:tcPr>
          <w:p w14:paraId="63C8AD8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87</w:t>
            </w:r>
          </w:p>
        </w:tc>
        <w:tc>
          <w:tcPr>
            <w:tcW w:w="0" w:type="auto"/>
            <w:shd w:val="clear" w:color="auto" w:fill="auto"/>
            <w:noWrap/>
            <w:vAlign w:val="bottom"/>
            <w:hideMark/>
          </w:tcPr>
          <w:p w14:paraId="24B4E41D"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A9FF37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54D032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67E31CE"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249687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53901F4"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70CE95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560D0E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E3AF208"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0663D4A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1,639.97 </w:t>
            </w:r>
          </w:p>
        </w:tc>
        <w:tc>
          <w:tcPr>
            <w:tcW w:w="0" w:type="auto"/>
            <w:shd w:val="clear" w:color="auto" w:fill="auto"/>
            <w:noWrap/>
            <w:vAlign w:val="bottom"/>
            <w:hideMark/>
          </w:tcPr>
          <w:p w14:paraId="3EE1E9E7"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7BD7179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5168C25A" w14:textId="77777777" w:rsidTr="00594589">
        <w:trPr>
          <w:trHeight w:val="300"/>
        </w:trPr>
        <w:tc>
          <w:tcPr>
            <w:tcW w:w="0" w:type="auto"/>
            <w:shd w:val="clear" w:color="auto" w:fill="auto"/>
            <w:noWrap/>
            <w:vAlign w:val="bottom"/>
            <w:hideMark/>
          </w:tcPr>
          <w:p w14:paraId="67B8D0D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88</w:t>
            </w:r>
          </w:p>
        </w:tc>
        <w:tc>
          <w:tcPr>
            <w:tcW w:w="0" w:type="auto"/>
            <w:shd w:val="clear" w:color="auto" w:fill="auto"/>
            <w:noWrap/>
            <w:vAlign w:val="bottom"/>
            <w:hideMark/>
          </w:tcPr>
          <w:p w14:paraId="382F9D45"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5B13483"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A385444"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E0583E6"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4A20E8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8145A8A"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FE21F8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0E024C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1EFE30C"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7AE62DC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1,599.97 </w:t>
            </w:r>
          </w:p>
        </w:tc>
        <w:tc>
          <w:tcPr>
            <w:tcW w:w="0" w:type="auto"/>
            <w:shd w:val="clear" w:color="auto" w:fill="auto"/>
            <w:noWrap/>
            <w:vAlign w:val="bottom"/>
            <w:hideMark/>
          </w:tcPr>
          <w:p w14:paraId="6B76429E"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32E68AD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59E4829B" w14:textId="77777777" w:rsidTr="00594589">
        <w:trPr>
          <w:trHeight w:val="300"/>
        </w:trPr>
        <w:tc>
          <w:tcPr>
            <w:tcW w:w="0" w:type="auto"/>
            <w:shd w:val="clear" w:color="auto" w:fill="auto"/>
            <w:noWrap/>
            <w:vAlign w:val="bottom"/>
            <w:hideMark/>
          </w:tcPr>
          <w:p w14:paraId="3AF4E0A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89</w:t>
            </w:r>
          </w:p>
        </w:tc>
        <w:tc>
          <w:tcPr>
            <w:tcW w:w="0" w:type="auto"/>
            <w:shd w:val="clear" w:color="auto" w:fill="auto"/>
            <w:noWrap/>
            <w:vAlign w:val="bottom"/>
            <w:hideMark/>
          </w:tcPr>
          <w:p w14:paraId="5F5AEDA2"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E5B5BEF"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1E2B1DF"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0CE8DE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F25D0B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8C516D6"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C09D59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054BD4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DEF2815"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0AE1AA2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3,121.90 </w:t>
            </w:r>
          </w:p>
        </w:tc>
        <w:tc>
          <w:tcPr>
            <w:tcW w:w="0" w:type="auto"/>
            <w:shd w:val="clear" w:color="auto" w:fill="auto"/>
            <w:noWrap/>
            <w:vAlign w:val="bottom"/>
            <w:hideMark/>
          </w:tcPr>
          <w:p w14:paraId="0E49BC8A"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3DD2C53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7724B3AB" w14:textId="77777777" w:rsidTr="00594589">
        <w:trPr>
          <w:trHeight w:val="300"/>
        </w:trPr>
        <w:tc>
          <w:tcPr>
            <w:tcW w:w="0" w:type="auto"/>
            <w:shd w:val="clear" w:color="auto" w:fill="auto"/>
            <w:noWrap/>
            <w:vAlign w:val="bottom"/>
            <w:hideMark/>
          </w:tcPr>
          <w:p w14:paraId="2E7353E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90</w:t>
            </w:r>
          </w:p>
        </w:tc>
        <w:tc>
          <w:tcPr>
            <w:tcW w:w="0" w:type="auto"/>
            <w:shd w:val="clear" w:color="auto" w:fill="auto"/>
            <w:noWrap/>
            <w:vAlign w:val="bottom"/>
            <w:hideMark/>
          </w:tcPr>
          <w:p w14:paraId="19672F8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Metalwork repairs to deck bracing</w:t>
            </w:r>
          </w:p>
        </w:tc>
        <w:tc>
          <w:tcPr>
            <w:tcW w:w="0" w:type="auto"/>
            <w:shd w:val="clear" w:color="auto" w:fill="auto"/>
            <w:noWrap/>
            <w:vAlign w:val="bottom"/>
            <w:hideMark/>
          </w:tcPr>
          <w:p w14:paraId="2696D04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02C191F6"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7092D2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61555F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B906CD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1.3875</w:t>
            </w:r>
          </w:p>
        </w:tc>
        <w:tc>
          <w:tcPr>
            <w:tcW w:w="0" w:type="auto"/>
            <w:shd w:val="clear" w:color="auto" w:fill="auto"/>
            <w:noWrap/>
            <w:vAlign w:val="bottom"/>
            <w:hideMark/>
          </w:tcPr>
          <w:p w14:paraId="7EACCBE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617153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E94BC28"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2B03560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1,522.88 </w:t>
            </w:r>
          </w:p>
        </w:tc>
        <w:tc>
          <w:tcPr>
            <w:tcW w:w="0" w:type="auto"/>
            <w:shd w:val="clear" w:color="auto" w:fill="auto"/>
            <w:noWrap/>
            <w:vAlign w:val="bottom"/>
            <w:hideMark/>
          </w:tcPr>
          <w:p w14:paraId="3A08EC97"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£130,346</w:t>
            </w:r>
          </w:p>
        </w:tc>
        <w:tc>
          <w:tcPr>
            <w:tcW w:w="0" w:type="auto"/>
            <w:shd w:val="clear" w:color="auto" w:fill="auto"/>
            <w:noWrap/>
            <w:vAlign w:val="bottom"/>
            <w:hideMark/>
          </w:tcPr>
          <w:p w14:paraId="03693BB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14,476.83 </w:t>
            </w:r>
          </w:p>
        </w:tc>
      </w:tr>
      <w:tr w:rsidR="00594589" w:rsidRPr="00E31091" w14:paraId="204FF726" w14:textId="77777777" w:rsidTr="00594589">
        <w:trPr>
          <w:trHeight w:val="300"/>
        </w:trPr>
        <w:tc>
          <w:tcPr>
            <w:tcW w:w="0" w:type="auto"/>
            <w:shd w:val="clear" w:color="auto" w:fill="auto"/>
            <w:noWrap/>
            <w:vAlign w:val="bottom"/>
            <w:hideMark/>
          </w:tcPr>
          <w:p w14:paraId="560D9F4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91</w:t>
            </w:r>
          </w:p>
        </w:tc>
        <w:tc>
          <w:tcPr>
            <w:tcW w:w="0" w:type="auto"/>
            <w:shd w:val="clear" w:color="auto" w:fill="auto"/>
            <w:noWrap/>
            <w:vAlign w:val="bottom"/>
            <w:hideMark/>
          </w:tcPr>
          <w:p w14:paraId="63A55AA9"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993F1BD"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BADD287"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67249F9"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98CD9DC"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B8E7EE6"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4A71D5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A1C652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E612989"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7083589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2,971.47 </w:t>
            </w:r>
          </w:p>
        </w:tc>
        <w:tc>
          <w:tcPr>
            <w:tcW w:w="0" w:type="auto"/>
            <w:shd w:val="clear" w:color="auto" w:fill="auto"/>
            <w:noWrap/>
            <w:vAlign w:val="bottom"/>
            <w:hideMark/>
          </w:tcPr>
          <w:p w14:paraId="79EA8161"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34724F1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496CDF5E" w14:textId="77777777" w:rsidTr="00594589">
        <w:trPr>
          <w:trHeight w:val="285"/>
        </w:trPr>
        <w:tc>
          <w:tcPr>
            <w:tcW w:w="0" w:type="auto"/>
            <w:shd w:val="clear" w:color="auto" w:fill="auto"/>
            <w:noWrap/>
            <w:vAlign w:val="bottom"/>
            <w:hideMark/>
          </w:tcPr>
          <w:p w14:paraId="36C93A9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92</w:t>
            </w:r>
          </w:p>
        </w:tc>
        <w:tc>
          <w:tcPr>
            <w:tcW w:w="0" w:type="auto"/>
            <w:shd w:val="clear" w:color="auto" w:fill="auto"/>
            <w:noWrap/>
            <w:vAlign w:val="bottom"/>
            <w:hideMark/>
          </w:tcPr>
          <w:p w14:paraId="60D92E6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Replace Expansion Joints</w:t>
            </w:r>
          </w:p>
        </w:tc>
        <w:tc>
          <w:tcPr>
            <w:tcW w:w="0" w:type="auto"/>
            <w:shd w:val="clear" w:color="auto" w:fill="auto"/>
            <w:noWrap/>
            <w:vAlign w:val="bottom"/>
            <w:hideMark/>
          </w:tcPr>
          <w:p w14:paraId="06D73D0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Road Closure - Night</w:t>
            </w:r>
          </w:p>
        </w:tc>
        <w:tc>
          <w:tcPr>
            <w:tcW w:w="0" w:type="auto"/>
            <w:shd w:val="clear" w:color="auto" w:fill="auto"/>
            <w:noWrap/>
            <w:vAlign w:val="bottom"/>
            <w:hideMark/>
          </w:tcPr>
          <w:p w14:paraId="0A4D142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3</w:t>
            </w:r>
          </w:p>
        </w:tc>
        <w:tc>
          <w:tcPr>
            <w:tcW w:w="0" w:type="auto"/>
            <w:shd w:val="clear" w:color="auto" w:fill="auto"/>
            <w:noWrap/>
            <w:vAlign w:val="bottom"/>
            <w:hideMark/>
          </w:tcPr>
          <w:p w14:paraId="4A0BEBFF"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66973D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68D257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7.29</w:t>
            </w:r>
          </w:p>
        </w:tc>
        <w:tc>
          <w:tcPr>
            <w:tcW w:w="0" w:type="auto"/>
            <w:shd w:val="clear" w:color="auto" w:fill="auto"/>
            <w:noWrap/>
            <w:vAlign w:val="bottom"/>
            <w:hideMark/>
          </w:tcPr>
          <w:p w14:paraId="7FE4235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E2BE4B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4F332DA"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20F2A95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2,898.99 </w:t>
            </w:r>
          </w:p>
        </w:tc>
        <w:tc>
          <w:tcPr>
            <w:tcW w:w="0" w:type="auto"/>
            <w:shd w:val="clear" w:color="auto" w:fill="auto"/>
            <w:noWrap/>
            <w:vAlign w:val="bottom"/>
            <w:hideMark/>
          </w:tcPr>
          <w:p w14:paraId="185747C6"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£21,663</w:t>
            </w:r>
          </w:p>
        </w:tc>
        <w:tc>
          <w:tcPr>
            <w:tcW w:w="0" w:type="auto"/>
            <w:shd w:val="clear" w:color="auto" w:fill="auto"/>
            <w:noWrap/>
            <w:vAlign w:val="bottom"/>
            <w:hideMark/>
          </w:tcPr>
          <w:p w14:paraId="6769303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2,290.05 </w:t>
            </w:r>
          </w:p>
        </w:tc>
      </w:tr>
      <w:tr w:rsidR="00594589" w:rsidRPr="00E31091" w14:paraId="45B4F518" w14:textId="77777777" w:rsidTr="00594589">
        <w:trPr>
          <w:trHeight w:val="285"/>
        </w:trPr>
        <w:tc>
          <w:tcPr>
            <w:tcW w:w="0" w:type="auto"/>
            <w:shd w:val="clear" w:color="auto" w:fill="auto"/>
            <w:noWrap/>
            <w:vAlign w:val="bottom"/>
            <w:hideMark/>
          </w:tcPr>
          <w:p w14:paraId="70C1E400"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93</w:t>
            </w:r>
          </w:p>
        </w:tc>
        <w:tc>
          <w:tcPr>
            <w:tcW w:w="0" w:type="auto"/>
            <w:shd w:val="clear" w:color="auto" w:fill="auto"/>
            <w:noWrap/>
            <w:vAlign w:val="bottom"/>
            <w:hideMark/>
          </w:tcPr>
          <w:p w14:paraId="5954BF7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Metal work repair to weathering steel beams</w:t>
            </w:r>
          </w:p>
        </w:tc>
        <w:tc>
          <w:tcPr>
            <w:tcW w:w="0" w:type="auto"/>
            <w:shd w:val="clear" w:color="auto" w:fill="auto"/>
            <w:noWrap/>
            <w:vAlign w:val="bottom"/>
            <w:hideMark/>
          </w:tcPr>
          <w:p w14:paraId="2341648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1EBAB9BB"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C740C3A"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B06105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2ADE2C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25.0875</w:t>
            </w:r>
          </w:p>
        </w:tc>
        <w:tc>
          <w:tcPr>
            <w:tcW w:w="0" w:type="auto"/>
            <w:shd w:val="clear" w:color="auto" w:fill="auto"/>
            <w:noWrap/>
            <w:vAlign w:val="bottom"/>
            <w:hideMark/>
          </w:tcPr>
          <w:p w14:paraId="63E29C5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795064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vMerge w:val="restart"/>
            <w:shd w:val="clear" w:color="auto" w:fill="auto"/>
            <w:noWrap/>
            <w:vAlign w:val="bottom"/>
            <w:hideMark/>
          </w:tcPr>
          <w:p w14:paraId="7B1EE3FA"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6B1CD64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4C54F6FF"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£474,344</w:t>
            </w:r>
          </w:p>
        </w:tc>
        <w:tc>
          <w:tcPr>
            <w:tcW w:w="0" w:type="auto"/>
            <w:vMerge w:val="restart"/>
            <w:shd w:val="clear" w:color="auto" w:fill="auto"/>
            <w:noWrap/>
            <w:vAlign w:val="bottom"/>
            <w:hideMark/>
          </w:tcPr>
          <w:p w14:paraId="72947E0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47,728.05 </w:t>
            </w:r>
          </w:p>
        </w:tc>
      </w:tr>
      <w:tr w:rsidR="00594589" w:rsidRPr="00E31091" w14:paraId="32927A67" w14:textId="77777777" w:rsidTr="00594589">
        <w:trPr>
          <w:trHeight w:val="285"/>
        </w:trPr>
        <w:tc>
          <w:tcPr>
            <w:tcW w:w="0" w:type="auto"/>
            <w:shd w:val="clear" w:color="auto" w:fill="auto"/>
            <w:noWrap/>
            <w:vAlign w:val="bottom"/>
            <w:hideMark/>
          </w:tcPr>
          <w:p w14:paraId="4A2B661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93</w:t>
            </w:r>
          </w:p>
        </w:tc>
        <w:tc>
          <w:tcPr>
            <w:tcW w:w="0" w:type="auto"/>
            <w:shd w:val="clear" w:color="auto" w:fill="auto"/>
            <w:noWrap/>
            <w:vAlign w:val="bottom"/>
            <w:hideMark/>
          </w:tcPr>
          <w:p w14:paraId="7DF79DE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Concrete Repairs to reinforced concrete slab</w:t>
            </w:r>
          </w:p>
        </w:tc>
        <w:tc>
          <w:tcPr>
            <w:tcW w:w="0" w:type="auto"/>
            <w:shd w:val="clear" w:color="auto" w:fill="auto"/>
            <w:noWrap/>
            <w:vAlign w:val="bottom"/>
            <w:hideMark/>
          </w:tcPr>
          <w:p w14:paraId="1F7166D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5C82D0F8"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197A0E6"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104531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DF5B59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28.125</w:t>
            </w:r>
          </w:p>
        </w:tc>
        <w:tc>
          <w:tcPr>
            <w:tcW w:w="0" w:type="auto"/>
            <w:shd w:val="clear" w:color="auto" w:fill="auto"/>
            <w:noWrap/>
            <w:vAlign w:val="bottom"/>
            <w:hideMark/>
          </w:tcPr>
          <w:p w14:paraId="46450A5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1AAC8A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vMerge/>
            <w:vAlign w:val="center"/>
            <w:hideMark/>
          </w:tcPr>
          <w:p w14:paraId="6FE0A414"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1803854F"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5A1DECDB" w14:textId="77777777" w:rsidR="00E31091" w:rsidRPr="00E31091" w:rsidRDefault="00E31091" w:rsidP="00E31091">
            <w:pPr>
              <w:spacing w:after="0" w:line="240" w:lineRule="auto"/>
              <w:rPr>
                <w:rFonts w:ascii="Arial" w:eastAsia="Times New Roman" w:hAnsi="Arial" w:cs="Arial"/>
                <w:sz w:val="14"/>
                <w:szCs w:val="14"/>
                <w:lang w:eastAsia="en-GB"/>
              </w:rPr>
            </w:pPr>
          </w:p>
        </w:tc>
        <w:tc>
          <w:tcPr>
            <w:tcW w:w="0" w:type="auto"/>
            <w:vMerge/>
            <w:vAlign w:val="center"/>
            <w:hideMark/>
          </w:tcPr>
          <w:p w14:paraId="49148080"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r>
      <w:tr w:rsidR="00594589" w:rsidRPr="00E31091" w14:paraId="6489E9B3" w14:textId="77777777" w:rsidTr="00594589">
        <w:trPr>
          <w:trHeight w:val="285"/>
        </w:trPr>
        <w:tc>
          <w:tcPr>
            <w:tcW w:w="0" w:type="auto"/>
            <w:shd w:val="clear" w:color="auto" w:fill="auto"/>
            <w:noWrap/>
            <w:vAlign w:val="bottom"/>
            <w:hideMark/>
          </w:tcPr>
          <w:p w14:paraId="386E9B5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94</w:t>
            </w:r>
          </w:p>
        </w:tc>
        <w:tc>
          <w:tcPr>
            <w:tcW w:w="0" w:type="auto"/>
            <w:shd w:val="clear" w:color="auto" w:fill="auto"/>
            <w:noWrap/>
            <w:vAlign w:val="bottom"/>
            <w:hideMark/>
          </w:tcPr>
          <w:p w14:paraId="0649E486"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BD09795"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C542417"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2F974F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7086C0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92491EC"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AFED49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D2F689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5ECD7094"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0A64CF4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5870DE1D"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7D05DA0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49529E75" w14:textId="77777777" w:rsidTr="00594589">
        <w:trPr>
          <w:trHeight w:val="285"/>
        </w:trPr>
        <w:tc>
          <w:tcPr>
            <w:tcW w:w="0" w:type="auto"/>
            <w:shd w:val="clear" w:color="auto" w:fill="auto"/>
            <w:noWrap/>
            <w:vAlign w:val="bottom"/>
            <w:hideMark/>
          </w:tcPr>
          <w:p w14:paraId="19D769D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95</w:t>
            </w:r>
          </w:p>
        </w:tc>
        <w:tc>
          <w:tcPr>
            <w:tcW w:w="0" w:type="auto"/>
            <w:shd w:val="clear" w:color="auto" w:fill="auto"/>
            <w:noWrap/>
            <w:vAlign w:val="bottom"/>
            <w:hideMark/>
          </w:tcPr>
          <w:p w14:paraId="780459EF"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9FB1731"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0B585E6"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EDE8CE4"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ACFD37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1F0E88D"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2166561"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03C135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4BBE563B"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5FFEF1A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528A1DF6"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17AC555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5E4CC65F" w14:textId="77777777" w:rsidTr="00594589">
        <w:trPr>
          <w:trHeight w:val="285"/>
        </w:trPr>
        <w:tc>
          <w:tcPr>
            <w:tcW w:w="0" w:type="auto"/>
            <w:shd w:val="clear" w:color="auto" w:fill="auto"/>
            <w:noWrap/>
            <w:vAlign w:val="bottom"/>
            <w:hideMark/>
          </w:tcPr>
          <w:p w14:paraId="0195BCA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96</w:t>
            </w:r>
          </w:p>
        </w:tc>
        <w:tc>
          <w:tcPr>
            <w:tcW w:w="0" w:type="auto"/>
            <w:shd w:val="clear" w:color="auto" w:fill="auto"/>
            <w:noWrap/>
            <w:vAlign w:val="bottom"/>
            <w:hideMark/>
          </w:tcPr>
          <w:p w14:paraId="68733DD0"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8174B07"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0A61127"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DECD532"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1BB925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3E9EFC5"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0A01C1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961F7F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E73A51E"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05921B36"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512A99A5"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6A551D2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2B02A9FC" w14:textId="77777777" w:rsidTr="00594589">
        <w:trPr>
          <w:trHeight w:val="285"/>
        </w:trPr>
        <w:tc>
          <w:tcPr>
            <w:tcW w:w="0" w:type="auto"/>
            <w:shd w:val="clear" w:color="auto" w:fill="auto"/>
            <w:noWrap/>
            <w:vAlign w:val="bottom"/>
            <w:hideMark/>
          </w:tcPr>
          <w:p w14:paraId="42631CD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97</w:t>
            </w:r>
          </w:p>
        </w:tc>
        <w:tc>
          <w:tcPr>
            <w:tcW w:w="0" w:type="auto"/>
            <w:shd w:val="clear" w:color="auto" w:fill="auto"/>
            <w:noWrap/>
            <w:vAlign w:val="bottom"/>
            <w:hideMark/>
          </w:tcPr>
          <w:p w14:paraId="6F56B813"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CE0ABC8"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22B13AB"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99E2BE9"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4076A9A"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3B918870"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92BF92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701CCB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6B17853C"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   </w:t>
            </w:r>
          </w:p>
        </w:tc>
        <w:tc>
          <w:tcPr>
            <w:tcW w:w="0" w:type="auto"/>
            <w:shd w:val="clear" w:color="auto" w:fill="auto"/>
            <w:noWrap/>
            <w:vAlign w:val="bottom"/>
            <w:hideMark/>
          </w:tcPr>
          <w:p w14:paraId="005F393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60220A4E"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14F235B2"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05A82C94" w14:textId="77777777" w:rsidTr="00594589">
        <w:trPr>
          <w:trHeight w:val="285"/>
        </w:trPr>
        <w:tc>
          <w:tcPr>
            <w:tcW w:w="0" w:type="auto"/>
            <w:shd w:val="clear" w:color="auto" w:fill="auto"/>
            <w:noWrap/>
            <w:vAlign w:val="bottom"/>
            <w:hideMark/>
          </w:tcPr>
          <w:p w14:paraId="203FE47E"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98</w:t>
            </w:r>
          </w:p>
        </w:tc>
        <w:tc>
          <w:tcPr>
            <w:tcW w:w="0" w:type="auto"/>
            <w:shd w:val="clear" w:color="auto" w:fill="auto"/>
            <w:noWrap/>
            <w:vAlign w:val="bottom"/>
            <w:hideMark/>
          </w:tcPr>
          <w:p w14:paraId="4E2D753D"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0F7793B"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0F29EA1"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6BC6A4B"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54696F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01B364A"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EFE683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0F0A35B"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AB79553"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6FE884FD"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1,249.90 </w:t>
            </w:r>
          </w:p>
        </w:tc>
        <w:tc>
          <w:tcPr>
            <w:tcW w:w="0" w:type="auto"/>
            <w:shd w:val="clear" w:color="auto" w:fill="auto"/>
            <w:noWrap/>
            <w:vAlign w:val="bottom"/>
            <w:hideMark/>
          </w:tcPr>
          <w:p w14:paraId="4642D738"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0D475C2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0EDA5EDF" w14:textId="77777777" w:rsidTr="00594589">
        <w:trPr>
          <w:trHeight w:val="285"/>
        </w:trPr>
        <w:tc>
          <w:tcPr>
            <w:tcW w:w="0" w:type="auto"/>
            <w:shd w:val="clear" w:color="auto" w:fill="auto"/>
            <w:noWrap/>
            <w:vAlign w:val="bottom"/>
            <w:hideMark/>
          </w:tcPr>
          <w:p w14:paraId="1FC2D16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99</w:t>
            </w:r>
          </w:p>
        </w:tc>
        <w:tc>
          <w:tcPr>
            <w:tcW w:w="0" w:type="auto"/>
            <w:shd w:val="clear" w:color="auto" w:fill="auto"/>
            <w:noWrap/>
            <w:vAlign w:val="bottom"/>
            <w:hideMark/>
          </w:tcPr>
          <w:p w14:paraId="0FE839A2"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AF7ADD4"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AD47DC6"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4E9F403"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E43044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7C074AD7"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ECF056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70F1E74"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0A102069"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27B80E93"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1,219.41 </w:t>
            </w:r>
          </w:p>
        </w:tc>
        <w:tc>
          <w:tcPr>
            <w:tcW w:w="0" w:type="auto"/>
            <w:shd w:val="clear" w:color="auto" w:fill="auto"/>
            <w:noWrap/>
            <w:vAlign w:val="bottom"/>
            <w:hideMark/>
          </w:tcPr>
          <w:p w14:paraId="5B13DA3E"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23A8693F"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r w:rsidR="00594589" w:rsidRPr="00E31091" w14:paraId="50986B8B" w14:textId="77777777" w:rsidTr="00594589">
        <w:trPr>
          <w:trHeight w:val="285"/>
        </w:trPr>
        <w:tc>
          <w:tcPr>
            <w:tcW w:w="0" w:type="auto"/>
            <w:shd w:val="clear" w:color="auto" w:fill="auto"/>
            <w:noWrap/>
            <w:vAlign w:val="bottom"/>
            <w:hideMark/>
          </w:tcPr>
          <w:p w14:paraId="6A76415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100</w:t>
            </w:r>
          </w:p>
        </w:tc>
        <w:tc>
          <w:tcPr>
            <w:tcW w:w="0" w:type="auto"/>
            <w:shd w:val="clear" w:color="auto" w:fill="auto"/>
            <w:noWrap/>
            <w:vAlign w:val="bottom"/>
            <w:hideMark/>
          </w:tcPr>
          <w:p w14:paraId="55B58683"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FF63C9D"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4801187"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02D2E41" w14:textId="77777777" w:rsidR="00E31091" w:rsidRPr="00E31091" w:rsidRDefault="00E31091" w:rsidP="00E31091">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0542EA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88EC1F8" w14:textId="77777777" w:rsidR="00E31091" w:rsidRPr="00E31091" w:rsidRDefault="00E31091" w:rsidP="00E31091">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7B3FFE5"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1F6C9B88"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£0.00</w:t>
            </w:r>
          </w:p>
        </w:tc>
        <w:tc>
          <w:tcPr>
            <w:tcW w:w="0" w:type="auto"/>
            <w:shd w:val="clear" w:color="auto" w:fill="auto"/>
            <w:noWrap/>
            <w:vAlign w:val="bottom"/>
            <w:hideMark/>
          </w:tcPr>
          <w:p w14:paraId="249771BF"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60F36ED9"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1,189.67 </w:t>
            </w:r>
          </w:p>
        </w:tc>
        <w:tc>
          <w:tcPr>
            <w:tcW w:w="0" w:type="auto"/>
            <w:shd w:val="clear" w:color="auto" w:fill="auto"/>
            <w:noWrap/>
            <w:vAlign w:val="bottom"/>
            <w:hideMark/>
          </w:tcPr>
          <w:p w14:paraId="75F05917" w14:textId="77777777" w:rsidR="00E31091" w:rsidRPr="00E31091" w:rsidRDefault="00E31091" w:rsidP="00E31091">
            <w:pPr>
              <w:spacing w:after="0" w:line="240" w:lineRule="auto"/>
              <w:rPr>
                <w:rFonts w:ascii="Arial" w:eastAsia="Times New Roman" w:hAnsi="Arial" w:cs="Arial"/>
                <w:sz w:val="14"/>
                <w:szCs w:val="14"/>
                <w:lang w:eastAsia="en-GB"/>
              </w:rPr>
            </w:pPr>
            <w:r w:rsidRPr="00E31091">
              <w:rPr>
                <w:rFonts w:ascii="Arial" w:eastAsia="Times New Roman" w:hAnsi="Arial" w:cs="Arial"/>
                <w:sz w:val="14"/>
                <w:szCs w:val="14"/>
                <w:lang w:eastAsia="en-GB"/>
              </w:rPr>
              <w:t>£0</w:t>
            </w:r>
          </w:p>
        </w:tc>
        <w:tc>
          <w:tcPr>
            <w:tcW w:w="0" w:type="auto"/>
            <w:shd w:val="clear" w:color="auto" w:fill="auto"/>
            <w:noWrap/>
            <w:vAlign w:val="bottom"/>
            <w:hideMark/>
          </w:tcPr>
          <w:p w14:paraId="2096B487" w14:textId="77777777" w:rsidR="00E31091" w:rsidRPr="00E31091" w:rsidRDefault="00E31091" w:rsidP="00E31091">
            <w:pPr>
              <w:spacing w:after="0" w:line="240" w:lineRule="auto"/>
              <w:rPr>
                <w:rFonts w:ascii="Arial" w:eastAsia="Times New Roman" w:hAnsi="Arial" w:cs="Arial"/>
                <w:color w:val="000000"/>
                <w:sz w:val="14"/>
                <w:szCs w:val="14"/>
                <w:lang w:eastAsia="en-GB"/>
              </w:rPr>
            </w:pPr>
            <w:r w:rsidRPr="00E31091">
              <w:rPr>
                <w:rFonts w:ascii="Arial" w:eastAsia="Times New Roman" w:hAnsi="Arial" w:cs="Arial"/>
                <w:color w:val="000000"/>
                <w:sz w:val="14"/>
                <w:szCs w:val="14"/>
                <w:lang w:eastAsia="en-GB"/>
              </w:rPr>
              <w:t xml:space="preserve"> £                    -   </w:t>
            </w:r>
          </w:p>
        </w:tc>
      </w:tr>
    </w:tbl>
    <w:p w14:paraId="3B46FDC7" w14:textId="2E247955" w:rsidR="00930794" w:rsidRDefault="00930794" w:rsidP="00B923B0">
      <w:pPr>
        <w:rPr>
          <w:rFonts w:ascii="Arial" w:eastAsia="Times New Roman" w:hAnsi="Arial" w:cs="Arial"/>
          <w:b/>
          <w:bCs/>
          <w:sz w:val="32"/>
          <w:szCs w:val="32"/>
          <w:lang w:eastAsia="en-GB"/>
        </w:rPr>
      </w:pPr>
    </w:p>
    <w:p w14:paraId="484F862D" w14:textId="2DDB3897" w:rsidR="002400C5" w:rsidRDefault="002400C5" w:rsidP="00B923B0">
      <w:pPr>
        <w:rPr>
          <w:rFonts w:ascii="Arial" w:eastAsia="Times New Roman" w:hAnsi="Arial" w:cs="Arial"/>
          <w:b/>
          <w:bCs/>
          <w:sz w:val="32"/>
          <w:szCs w:val="32"/>
          <w:lang w:eastAsia="en-GB"/>
        </w:rPr>
      </w:pPr>
    </w:p>
    <w:p w14:paraId="4E16B88B" w14:textId="58B29578" w:rsidR="002400C5" w:rsidRDefault="002400C5" w:rsidP="00B923B0">
      <w:pPr>
        <w:rPr>
          <w:rFonts w:ascii="Arial" w:eastAsia="Times New Roman" w:hAnsi="Arial" w:cs="Arial"/>
          <w:b/>
          <w:bCs/>
          <w:sz w:val="32"/>
          <w:szCs w:val="32"/>
          <w:lang w:eastAsia="en-GB"/>
        </w:rPr>
      </w:pPr>
    </w:p>
    <w:p w14:paraId="561D08CA" w14:textId="32E71250" w:rsidR="002400C5" w:rsidRDefault="002400C5" w:rsidP="00B923B0">
      <w:pPr>
        <w:rPr>
          <w:rFonts w:ascii="Arial" w:eastAsia="Times New Roman" w:hAnsi="Arial" w:cs="Arial"/>
          <w:b/>
          <w:bCs/>
          <w:sz w:val="32"/>
          <w:szCs w:val="32"/>
          <w:lang w:eastAsia="en-GB"/>
        </w:rPr>
      </w:pPr>
    </w:p>
    <w:p w14:paraId="65B6543D" w14:textId="1ECA8573" w:rsidR="002400C5" w:rsidRDefault="002400C5" w:rsidP="00B923B0">
      <w:pPr>
        <w:rPr>
          <w:rFonts w:ascii="Arial" w:eastAsia="Times New Roman" w:hAnsi="Arial" w:cs="Arial"/>
          <w:b/>
          <w:bCs/>
          <w:sz w:val="32"/>
          <w:szCs w:val="32"/>
          <w:lang w:eastAsia="en-GB"/>
        </w:rPr>
      </w:pPr>
    </w:p>
    <w:p w14:paraId="5A6E45B9" w14:textId="5375A5D8" w:rsidR="002400C5" w:rsidRDefault="002400C5" w:rsidP="00B923B0">
      <w:pPr>
        <w:rPr>
          <w:rFonts w:ascii="Arial" w:eastAsia="Times New Roman" w:hAnsi="Arial" w:cs="Arial"/>
          <w:b/>
          <w:bCs/>
          <w:sz w:val="32"/>
          <w:szCs w:val="32"/>
          <w:lang w:eastAsia="en-GB"/>
        </w:rPr>
      </w:pPr>
    </w:p>
    <w:p w14:paraId="63682EED" w14:textId="2EDD23AC" w:rsidR="002400C5" w:rsidRDefault="002400C5" w:rsidP="00B923B0">
      <w:pPr>
        <w:rPr>
          <w:rFonts w:ascii="Arial" w:eastAsia="Times New Roman" w:hAnsi="Arial" w:cs="Arial"/>
          <w:b/>
          <w:bCs/>
          <w:sz w:val="32"/>
          <w:szCs w:val="32"/>
          <w:lang w:eastAsia="en-GB"/>
        </w:rPr>
      </w:pPr>
    </w:p>
    <w:p w14:paraId="74AE54B3" w14:textId="5EF44159" w:rsidR="002400C5" w:rsidRDefault="002400C5" w:rsidP="00B923B0">
      <w:pPr>
        <w:rPr>
          <w:rFonts w:ascii="Arial" w:eastAsia="Times New Roman" w:hAnsi="Arial" w:cs="Arial"/>
          <w:b/>
          <w:bCs/>
          <w:sz w:val="32"/>
          <w:szCs w:val="32"/>
          <w:lang w:eastAsia="en-GB"/>
        </w:rPr>
      </w:pPr>
    </w:p>
    <w:p w14:paraId="5B7BE9F1" w14:textId="3BCAB0FF" w:rsidR="002400C5" w:rsidRDefault="002400C5" w:rsidP="00B923B0">
      <w:pPr>
        <w:rPr>
          <w:rFonts w:ascii="Arial" w:eastAsia="Times New Roman" w:hAnsi="Arial" w:cs="Arial"/>
          <w:b/>
          <w:bCs/>
          <w:sz w:val="32"/>
          <w:szCs w:val="32"/>
          <w:lang w:eastAsia="en-GB"/>
        </w:rPr>
      </w:pPr>
    </w:p>
    <w:p w14:paraId="69F4F66F" w14:textId="77777777" w:rsidR="002400C5" w:rsidRDefault="002400C5" w:rsidP="00B923B0">
      <w:pPr>
        <w:rPr>
          <w:rFonts w:ascii="Arial" w:eastAsia="Times New Roman" w:hAnsi="Arial" w:cs="Arial"/>
          <w:b/>
          <w:bCs/>
          <w:sz w:val="32"/>
          <w:szCs w:val="32"/>
          <w:lang w:eastAsia="en-GB"/>
        </w:rPr>
      </w:pPr>
    </w:p>
    <w:p w14:paraId="3529F2F3" w14:textId="1BF5A39C" w:rsidR="00AE1914" w:rsidRDefault="00AE1914" w:rsidP="00B923B0">
      <w:pPr>
        <w:rPr>
          <w:rFonts w:ascii="Arial" w:eastAsia="Times New Roman" w:hAnsi="Arial" w:cs="Arial"/>
          <w:b/>
          <w:bCs/>
          <w:sz w:val="32"/>
          <w:szCs w:val="3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329"/>
        <w:gridCol w:w="1524"/>
        <w:gridCol w:w="784"/>
        <w:gridCol w:w="1083"/>
        <w:gridCol w:w="969"/>
        <w:gridCol w:w="1075"/>
        <w:gridCol w:w="1079"/>
        <w:gridCol w:w="1077"/>
        <w:gridCol w:w="1035"/>
        <w:gridCol w:w="1115"/>
        <w:gridCol w:w="801"/>
        <w:gridCol w:w="997"/>
      </w:tblGrid>
      <w:tr w:rsidR="00B70405" w:rsidRPr="00B70405" w14:paraId="2FDE2DE3" w14:textId="77777777" w:rsidTr="008552FD">
        <w:trPr>
          <w:trHeight w:val="147"/>
          <w:tblHeader/>
        </w:trPr>
        <w:tc>
          <w:tcPr>
            <w:tcW w:w="0" w:type="auto"/>
            <w:gridSpan w:val="13"/>
            <w:shd w:val="clear" w:color="auto" w:fill="000099"/>
            <w:vAlign w:val="center"/>
          </w:tcPr>
          <w:p w14:paraId="53B708EC" w14:textId="389AA608" w:rsidR="00B70405" w:rsidRPr="00B70405" w:rsidRDefault="007A60CB" w:rsidP="00B70405">
            <w:pPr>
              <w:spacing w:after="0" w:line="240" w:lineRule="auto"/>
              <w:jc w:val="center"/>
              <w:rPr>
                <w:rFonts w:ascii="Arial" w:eastAsia="Times New Roman" w:hAnsi="Arial" w:cs="Arial"/>
                <w:b/>
                <w:bCs/>
                <w:color w:val="000000"/>
                <w:sz w:val="14"/>
                <w:szCs w:val="14"/>
                <w:lang w:eastAsia="en-GB"/>
              </w:rPr>
            </w:pPr>
            <w:r w:rsidRPr="007A60CB">
              <w:rPr>
                <w:rFonts w:ascii="Arial" w:eastAsia="Times New Roman" w:hAnsi="Arial" w:cs="Arial"/>
                <w:b/>
                <w:bCs/>
                <w:color w:val="FFFFFF" w:themeColor="background1"/>
                <w:sz w:val="14"/>
                <w:szCs w:val="14"/>
                <w:lang w:eastAsia="en-GB"/>
              </w:rPr>
              <w:t>Planned Preventive</w:t>
            </w:r>
          </w:p>
        </w:tc>
      </w:tr>
      <w:tr w:rsidR="007A60CB" w:rsidRPr="00B70405" w14:paraId="6D7EDBBA" w14:textId="77777777" w:rsidTr="008552FD">
        <w:trPr>
          <w:trHeight w:val="441"/>
          <w:tblHeader/>
        </w:trPr>
        <w:tc>
          <w:tcPr>
            <w:tcW w:w="0" w:type="auto"/>
            <w:shd w:val="clear" w:color="auto" w:fill="99CCFF"/>
            <w:vAlign w:val="center"/>
            <w:hideMark/>
          </w:tcPr>
          <w:p w14:paraId="6AD0229A" w14:textId="77777777" w:rsidR="00B70405" w:rsidRPr="00B70405" w:rsidRDefault="00B70405" w:rsidP="00B70405">
            <w:pPr>
              <w:spacing w:after="0" w:line="240" w:lineRule="auto"/>
              <w:rPr>
                <w:rFonts w:ascii="Arial" w:eastAsia="Times New Roman" w:hAnsi="Arial" w:cs="Arial"/>
                <w:b/>
                <w:bCs/>
                <w:color w:val="000099"/>
                <w:sz w:val="14"/>
                <w:szCs w:val="14"/>
                <w:lang w:eastAsia="en-GB"/>
              </w:rPr>
            </w:pPr>
            <w:r w:rsidRPr="00B70405">
              <w:rPr>
                <w:rFonts w:ascii="Arial" w:eastAsia="Times New Roman" w:hAnsi="Arial" w:cs="Arial"/>
                <w:b/>
                <w:bCs/>
                <w:color w:val="000099"/>
                <w:sz w:val="14"/>
                <w:szCs w:val="14"/>
                <w:lang w:eastAsia="en-GB"/>
              </w:rPr>
              <w:t>Year</w:t>
            </w:r>
          </w:p>
        </w:tc>
        <w:tc>
          <w:tcPr>
            <w:tcW w:w="0" w:type="auto"/>
            <w:shd w:val="clear" w:color="auto" w:fill="99CCFF"/>
            <w:vAlign w:val="center"/>
            <w:hideMark/>
          </w:tcPr>
          <w:p w14:paraId="4DCC5BF1" w14:textId="77777777" w:rsidR="00B70405" w:rsidRPr="00B70405" w:rsidRDefault="00B70405" w:rsidP="00B70405">
            <w:pPr>
              <w:spacing w:after="0" w:line="240" w:lineRule="auto"/>
              <w:rPr>
                <w:rFonts w:ascii="Arial" w:eastAsia="Times New Roman" w:hAnsi="Arial" w:cs="Arial"/>
                <w:b/>
                <w:bCs/>
                <w:color w:val="000099"/>
                <w:sz w:val="14"/>
                <w:szCs w:val="14"/>
                <w:lang w:eastAsia="en-GB"/>
              </w:rPr>
            </w:pPr>
            <w:r w:rsidRPr="00B70405">
              <w:rPr>
                <w:rFonts w:ascii="Arial" w:eastAsia="Times New Roman" w:hAnsi="Arial" w:cs="Arial"/>
                <w:b/>
                <w:bCs/>
                <w:color w:val="000099"/>
                <w:sz w:val="14"/>
                <w:szCs w:val="14"/>
                <w:lang w:eastAsia="en-GB"/>
              </w:rPr>
              <w:t>Repair / Maintenance</w:t>
            </w:r>
          </w:p>
        </w:tc>
        <w:tc>
          <w:tcPr>
            <w:tcW w:w="0" w:type="auto"/>
            <w:shd w:val="clear" w:color="auto" w:fill="99CCFF"/>
            <w:vAlign w:val="center"/>
            <w:hideMark/>
          </w:tcPr>
          <w:p w14:paraId="33EFF8E7" w14:textId="77777777" w:rsidR="00B70405" w:rsidRPr="00B70405" w:rsidRDefault="00B70405" w:rsidP="00B70405">
            <w:pPr>
              <w:spacing w:after="0" w:line="240" w:lineRule="auto"/>
              <w:rPr>
                <w:rFonts w:ascii="Arial" w:eastAsia="Times New Roman" w:hAnsi="Arial" w:cs="Arial"/>
                <w:b/>
                <w:bCs/>
                <w:color w:val="000099"/>
                <w:sz w:val="14"/>
                <w:szCs w:val="14"/>
                <w:lang w:eastAsia="en-GB"/>
              </w:rPr>
            </w:pPr>
            <w:r w:rsidRPr="00B70405">
              <w:rPr>
                <w:rFonts w:ascii="Arial" w:eastAsia="Times New Roman" w:hAnsi="Arial" w:cs="Arial"/>
                <w:b/>
                <w:bCs/>
                <w:color w:val="000099"/>
                <w:sz w:val="14"/>
                <w:szCs w:val="14"/>
                <w:lang w:eastAsia="en-GB"/>
              </w:rPr>
              <w:t>Traffic Management</w:t>
            </w:r>
          </w:p>
        </w:tc>
        <w:tc>
          <w:tcPr>
            <w:tcW w:w="0" w:type="auto"/>
            <w:shd w:val="clear" w:color="auto" w:fill="99CCFF"/>
            <w:vAlign w:val="center"/>
            <w:hideMark/>
          </w:tcPr>
          <w:p w14:paraId="182C9348" w14:textId="77777777" w:rsidR="00B70405" w:rsidRPr="00B70405" w:rsidRDefault="00B70405" w:rsidP="00B70405">
            <w:pPr>
              <w:spacing w:after="0" w:line="240" w:lineRule="auto"/>
              <w:rPr>
                <w:rFonts w:ascii="Arial" w:eastAsia="Times New Roman" w:hAnsi="Arial" w:cs="Arial"/>
                <w:b/>
                <w:bCs/>
                <w:color w:val="000099"/>
                <w:sz w:val="14"/>
                <w:szCs w:val="14"/>
                <w:lang w:eastAsia="en-GB"/>
              </w:rPr>
            </w:pPr>
            <w:r w:rsidRPr="00B70405">
              <w:rPr>
                <w:rFonts w:ascii="Arial" w:eastAsia="Times New Roman" w:hAnsi="Arial" w:cs="Arial"/>
                <w:b/>
                <w:bCs/>
                <w:color w:val="000099"/>
                <w:sz w:val="14"/>
                <w:szCs w:val="14"/>
                <w:lang w:eastAsia="en-GB"/>
              </w:rPr>
              <w:t>Quantity</w:t>
            </w:r>
          </w:p>
        </w:tc>
        <w:tc>
          <w:tcPr>
            <w:tcW w:w="0" w:type="auto"/>
            <w:shd w:val="clear" w:color="auto" w:fill="99CCFF"/>
            <w:vAlign w:val="center"/>
            <w:hideMark/>
          </w:tcPr>
          <w:p w14:paraId="011AF113" w14:textId="77777777" w:rsidR="00B70405" w:rsidRPr="00B70405" w:rsidRDefault="00B70405" w:rsidP="00B70405">
            <w:pPr>
              <w:spacing w:after="0" w:line="240" w:lineRule="auto"/>
              <w:rPr>
                <w:rFonts w:ascii="Arial" w:eastAsia="Times New Roman" w:hAnsi="Arial" w:cs="Arial"/>
                <w:b/>
                <w:bCs/>
                <w:color w:val="000099"/>
                <w:sz w:val="14"/>
                <w:szCs w:val="14"/>
                <w:lang w:eastAsia="en-GB"/>
              </w:rPr>
            </w:pPr>
            <w:r w:rsidRPr="00B70405">
              <w:rPr>
                <w:rFonts w:ascii="Arial" w:eastAsia="Times New Roman" w:hAnsi="Arial" w:cs="Arial"/>
                <w:b/>
                <w:bCs/>
                <w:color w:val="000099"/>
                <w:sz w:val="14"/>
                <w:szCs w:val="14"/>
                <w:lang w:eastAsia="en-GB"/>
              </w:rPr>
              <w:t xml:space="preserve">Total tCO2 from traffic management </w:t>
            </w:r>
          </w:p>
        </w:tc>
        <w:tc>
          <w:tcPr>
            <w:tcW w:w="0" w:type="auto"/>
            <w:shd w:val="clear" w:color="auto" w:fill="99CCFF"/>
            <w:vAlign w:val="center"/>
            <w:hideMark/>
          </w:tcPr>
          <w:p w14:paraId="019F170F" w14:textId="77777777" w:rsidR="00B70405" w:rsidRPr="00B70405" w:rsidRDefault="00B70405" w:rsidP="00B70405">
            <w:pPr>
              <w:spacing w:after="0" w:line="240" w:lineRule="auto"/>
              <w:rPr>
                <w:rFonts w:ascii="Arial" w:eastAsia="Times New Roman" w:hAnsi="Arial" w:cs="Arial"/>
                <w:b/>
                <w:bCs/>
                <w:color w:val="000099"/>
                <w:sz w:val="14"/>
                <w:szCs w:val="14"/>
                <w:lang w:eastAsia="en-GB"/>
              </w:rPr>
            </w:pPr>
            <w:r w:rsidRPr="00B70405">
              <w:rPr>
                <w:rFonts w:ascii="Arial" w:eastAsia="Times New Roman" w:hAnsi="Arial" w:cs="Arial"/>
                <w:b/>
                <w:bCs/>
                <w:color w:val="000099"/>
                <w:sz w:val="14"/>
                <w:szCs w:val="14"/>
                <w:lang w:eastAsia="en-GB"/>
              </w:rPr>
              <w:t xml:space="preserve">Total discounted cost of CO2 emissions from TM </w:t>
            </w:r>
          </w:p>
        </w:tc>
        <w:tc>
          <w:tcPr>
            <w:tcW w:w="0" w:type="auto"/>
            <w:shd w:val="clear" w:color="auto" w:fill="99CCFF"/>
            <w:vAlign w:val="center"/>
            <w:hideMark/>
          </w:tcPr>
          <w:p w14:paraId="4F4453EB" w14:textId="77777777" w:rsidR="00B70405" w:rsidRPr="00B70405" w:rsidRDefault="00B70405" w:rsidP="00B70405">
            <w:pPr>
              <w:spacing w:after="0" w:line="240" w:lineRule="auto"/>
              <w:rPr>
                <w:rFonts w:ascii="Arial" w:eastAsia="Times New Roman" w:hAnsi="Arial" w:cs="Arial"/>
                <w:b/>
                <w:bCs/>
                <w:color w:val="000099"/>
                <w:sz w:val="14"/>
                <w:szCs w:val="14"/>
                <w:lang w:eastAsia="en-GB"/>
              </w:rPr>
            </w:pPr>
            <w:r w:rsidRPr="00B70405">
              <w:rPr>
                <w:rFonts w:ascii="Arial" w:eastAsia="Times New Roman" w:hAnsi="Arial" w:cs="Arial"/>
                <w:b/>
                <w:bCs/>
                <w:color w:val="000099"/>
                <w:sz w:val="14"/>
                <w:szCs w:val="14"/>
                <w:lang w:eastAsia="en-GB"/>
              </w:rPr>
              <w:t xml:space="preserve">tCO2 emitted from maintenance </w:t>
            </w:r>
          </w:p>
        </w:tc>
        <w:tc>
          <w:tcPr>
            <w:tcW w:w="0" w:type="auto"/>
            <w:shd w:val="clear" w:color="auto" w:fill="99CCFF"/>
            <w:vAlign w:val="center"/>
            <w:hideMark/>
          </w:tcPr>
          <w:p w14:paraId="0B544FED" w14:textId="77777777" w:rsidR="00B70405" w:rsidRPr="00B70405" w:rsidRDefault="00B70405" w:rsidP="00B70405">
            <w:pPr>
              <w:spacing w:after="0" w:line="240" w:lineRule="auto"/>
              <w:rPr>
                <w:rFonts w:ascii="Arial" w:eastAsia="Times New Roman" w:hAnsi="Arial" w:cs="Arial"/>
                <w:b/>
                <w:bCs/>
                <w:color w:val="000099"/>
                <w:sz w:val="14"/>
                <w:szCs w:val="14"/>
                <w:lang w:eastAsia="en-GB"/>
              </w:rPr>
            </w:pPr>
            <w:r w:rsidRPr="00B70405">
              <w:rPr>
                <w:rFonts w:ascii="Arial" w:eastAsia="Times New Roman" w:hAnsi="Arial" w:cs="Arial"/>
                <w:b/>
                <w:bCs/>
                <w:color w:val="000099"/>
                <w:sz w:val="14"/>
                <w:szCs w:val="14"/>
                <w:lang w:eastAsia="en-GB"/>
              </w:rPr>
              <w:t>Discounted cost of  CO2  emitted during maintenance</w:t>
            </w:r>
          </w:p>
        </w:tc>
        <w:tc>
          <w:tcPr>
            <w:tcW w:w="0" w:type="auto"/>
            <w:shd w:val="clear" w:color="auto" w:fill="99CCFF"/>
            <w:vAlign w:val="center"/>
            <w:hideMark/>
          </w:tcPr>
          <w:p w14:paraId="3C8AF164" w14:textId="77777777" w:rsidR="00B70405" w:rsidRPr="00B70405" w:rsidRDefault="00B70405" w:rsidP="00B70405">
            <w:pPr>
              <w:spacing w:after="0" w:line="240" w:lineRule="auto"/>
              <w:rPr>
                <w:rFonts w:ascii="Arial" w:eastAsia="Times New Roman" w:hAnsi="Arial" w:cs="Arial"/>
                <w:b/>
                <w:bCs/>
                <w:color w:val="000099"/>
                <w:sz w:val="14"/>
                <w:szCs w:val="14"/>
                <w:lang w:eastAsia="en-GB"/>
              </w:rPr>
            </w:pPr>
            <w:r w:rsidRPr="00B70405">
              <w:rPr>
                <w:rFonts w:ascii="Arial" w:eastAsia="Times New Roman" w:hAnsi="Arial" w:cs="Arial"/>
                <w:b/>
                <w:bCs/>
                <w:color w:val="000099"/>
                <w:sz w:val="14"/>
                <w:szCs w:val="14"/>
                <w:lang w:eastAsia="en-GB"/>
              </w:rPr>
              <w:t>TOTAL Discounted Price of Carbon</w:t>
            </w:r>
          </w:p>
        </w:tc>
        <w:tc>
          <w:tcPr>
            <w:tcW w:w="0" w:type="auto"/>
            <w:shd w:val="clear" w:color="auto" w:fill="99CCFF"/>
            <w:vAlign w:val="center"/>
            <w:hideMark/>
          </w:tcPr>
          <w:p w14:paraId="395B6F4E" w14:textId="77777777" w:rsidR="00B70405" w:rsidRPr="00B70405" w:rsidRDefault="00B70405" w:rsidP="00B70405">
            <w:pPr>
              <w:spacing w:after="0" w:line="240" w:lineRule="auto"/>
              <w:rPr>
                <w:rFonts w:ascii="Arial" w:eastAsia="Times New Roman" w:hAnsi="Arial" w:cs="Arial"/>
                <w:b/>
                <w:bCs/>
                <w:color w:val="000099"/>
                <w:sz w:val="14"/>
                <w:szCs w:val="14"/>
                <w:lang w:eastAsia="en-GB"/>
              </w:rPr>
            </w:pPr>
            <w:r w:rsidRPr="00B70405">
              <w:rPr>
                <w:rFonts w:ascii="Arial" w:eastAsia="Times New Roman" w:hAnsi="Arial" w:cs="Arial"/>
                <w:b/>
                <w:bCs/>
                <w:color w:val="000099"/>
                <w:sz w:val="14"/>
                <w:szCs w:val="14"/>
                <w:lang w:eastAsia="en-GB"/>
              </w:rPr>
              <w:t>Traffic Delay Costs</w:t>
            </w:r>
          </w:p>
        </w:tc>
        <w:tc>
          <w:tcPr>
            <w:tcW w:w="0" w:type="auto"/>
            <w:shd w:val="clear" w:color="auto" w:fill="99CCFF"/>
            <w:vAlign w:val="center"/>
            <w:hideMark/>
          </w:tcPr>
          <w:p w14:paraId="03C9E559" w14:textId="77777777" w:rsidR="00B70405" w:rsidRPr="00B70405" w:rsidRDefault="00B70405" w:rsidP="00B70405">
            <w:pPr>
              <w:spacing w:after="0" w:line="240" w:lineRule="auto"/>
              <w:rPr>
                <w:rFonts w:ascii="Arial" w:eastAsia="Times New Roman" w:hAnsi="Arial" w:cs="Arial"/>
                <w:b/>
                <w:bCs/>
                <w:color w:val="000099"/>
                <w:sz w:val="14"/>
                <w:szCs w:val="14"/>
                <w:lang w:eastAsia="en-GB"/>
              </w:rPr>
            </w:pPr>
            <w:r w:rsidRPr="00B70405">
              <w:rPr>
                <w:rFonts w:ascii="Arial" w:eastAsia="Times New Roman" w:hAnsi="Arial" w:cs="Arial"/>
                <w:b/>
                <w:bCs/>
                <w:color w:val="000099"/>
                <w:sz w:val="14"/>
                <w:szCs w:val="14"/>
                <w:lang w:eastAsia="en-GB"/>
              </w:rPr>
              <w:t>Discounted Traffic Delay Cost</w:t>
            </w:r>
          </w:p>
        </w:tc>
        <w:tc>
          <w:tcPr>
            <w:tcW w:w="0" w:type="auto"/>
            <w:shd w:val="clear" w:color="auto" w:fill="99CCFF"/>
            <w:vAlign w:val="center"/>
            <w:hideMark/>
          </w:tcPr>
          <w:p w14:paraId="73702AEC" w14:textId="77777777" w:rsidR="00B70405" w:rsidRPr="00B70405" w:rsidRDefault="00B70405" w:rsidP="00B70405">
            <w:pPr>
              <w:spacing w:after="0" w:line="240" w:lineRule="auto"/>
              <w:rPr>
                <w:rFonts w:ascii="Arial" w:eastAsia="Times New Roman" w:hAnsi="Arial" w:cs="Arial"/>
                <w:b/>
                <w:bCs/>
                <w:color w:val="000099"/>
                <w:sz w:val="14"/>
                <w:szCs w:val="14"/>
                <w:lang w:eastAsia="en-GB"/>
              </w:rPr>
            </w:pPr>
            <w:r w:rsidRPr="00B70405">
              <w:rPr>
                <w:rFonts w:ascii="Arial" w:eastAsia="Times New Roman" w:hAnsi="Arial" w:cs="Arial"/>
                <w:b/>
                <w:bCs/>
                <w:color w:val="000099"/>
                <w:sz w:val="14"/>
                <w:szCs w:val="14"/>
                <w:lang w:eastAsia="en-GB"/>
              </w:rPr>
              <w:t>Scheme Costs</w:t>
            </w:r>
          </w:p>
        </w:tc>
        <w:tc>
          <w:tcPr>
            <w:tcW w:w="0" w:type="auto"/>
            <w:shd w:val="clear" w:color="auto" w:fill="99CCFF"/>
            <w:vAlign w:val="center"/>
            <w:hideMark/>
          </w:tcPr>
          <w:p w14:paraId="312B844A" w14:textId="77777777" w:rsidR="00B70405" w:rsidRPr="00B70405" w:rsidRDefault="00B70405" w:rsidP="00B70405">
            <w:pPr>
              <w:spacing w:after="0" w:line="240" w:lineRule="auto"/>
              <w:rPr>
                <w:rFonts w:ascii="Arial" w:eastAsia="Times New Roman" w:hAnsi="Arial" w:cs="Arial"/>
                <w:b/>
                <w:bCs/>
                <w:color w:val="000099"/>
                <w:sz w:val="14"/>
                <w:szCs w:val="14"/>
                <w:lang w:eastAsia="en-GB"/>
              </w:rPr>
            </w:pPr>
            <w:r w:rsidRPr="00B70405">
              <w:rPr>
                <w:rFonts w:ascii="Arial" w:eastAsia="Times New Roman" w:hAnsi="Arial" w:cs="Arial"/>
                <w:b/>
                <w:bCs/>
                <w:color w:val="000099"/>
                <w:sz w:val="14"/>
                <w:szCs w:val="14"/>
                <w:lang w:eastAsia="en-GB"/>
              </w:rPr>
              <w:t>Discounted Scheme Cost</w:t>
            </w:r>
          </w:p>
        </w:tc>
      </w:tr>
      <w:tr w:rsidR="00B70405" w:rsidRPr="00B70405" w14:paraId="0871B34A" w14:textId="77777777" w:rsidTr="00B70405">
        <w:trPr>
          <w:trHeight w:val="300"/>
        </w:trPr>
        <w:tc>
          <w:tcPr>
            <w:tcW w:w="0" w:type="auto"/>
            <w:shd w:val="clear" w:color="auto" w:fill="auto"/>
            <w:vAlign w:val="center"/>
            <w:hideMark/>
          </w:tcPr>
          <w:p w14:paraId="36C06E6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w:t>
            </w:r>
          </w:p>
        </w:tc>
        <w:tc>
          <w:tcPr>
            <w:tcW w:w="0" w:type="auto"/>
            <w:shd w:val="clear" w:color="auto" w:fill="auto"/>
            <w:vAlign w:val="center"/>
            <w:hideMark/>
          </w:tcPr>
          <w:p w14:paraId="0F581467"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vAlign w:val="center"/>
            <w:hideMark/>
          </w:tcPr>
          <w:p w14:paraId="411362A0"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vAlign w:val="center"/>
            <w:hideMark/>
          </w:tcPr>
          <w:p w14:paraId="1FBB583D"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vAlign w:val="center"/>
            <w:hideMark/>
          </w:tcPr>
          <w:p w14:paraId="7134D3E7"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2B24A8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vAlign w:val="center"/>
            <w:hideMark/>
          </w:tcPr>
          <w:p w14:paraId="5CE17EB2"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1C65D3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41F2C5B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99718C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549E5F5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5ABC464D"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3E1CC9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39D56CB6" w14:textId="77777777" w:rsidTr="00B70405">
        <w:trPr>
          <w:trHeight w:val="300"/>
        </w:trPr>
        <w:tc>
          <w:tcPr>
            <w:tcW w:w="0" w:type="auto"/>
            <w:shd w:val="clear" w:color="auto" w:fill="auto"/>
            <w:noWrap/>
            <w:vAlign w:val="bottom"/>
            <w:hideMark/>
          </w:tcPr>
          <w:p w14:paraId="0CF7E4D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w:t>
            </w:r>
          </w:p>
        </w:tc>
        <w:tc>
          <w:tcPr>
            <w:tcW w:w="0" w:type="auto"/>
            <w:shd w:val="clear" w:color="auto" w:fill="auto"/>
            <w:noWrap/>
            <w:vAlign w:val="bottom"/>
            <w:hideMark/>
          </w:tcPr>
          <w:p w14:paraId="1D12E679"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92065AD"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AE9A71D"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0BCFAC0"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CEC4AE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0034242"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811C7D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5D2CC2E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93EB19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152F261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27,158.31 </w:t>
            </w:r>
          </w:p>
        </w:tc>
        <w:tc>
          <w:tcPr>
            <w:tcW w:w="0" w:type="auto"/>
            <w:shd w:val="clear" w:color="auto" w:fill="auto"/>
            <w:noWrap/>
            <w:vAlign w:val="bottom"/>
            <w:hideMark/>
          </w:tcPr>
          <w:p w14:paraId="4CD4804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0F4A8B7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3D3CB827" w14:textId="77777777" w:rsidTr="00B70405">
        <w:trPr>
          <w:trHeight w:val="300"/>
        </w:trPr>
        <w:tc>
          <w:tcPr>
            <w:tcW w:w="0" w:type="auto"/>
            <w:shd w:val="clear" w:color="auto" w:fill="auto"/>
            <w:vAlign w:val="center"/>
            <w:hideMark/>
          </w:tcPr>
          <w:p w14:paraId="4BB84E1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w:t>
            </w:r>
          </w:p>
        </w:tc>
        <w:tc>
          <w:tcPr>
            <w:tcW w:w="0" w:type="auto"/>
            <w:shd w:val="clear" w:color="auto" w:fill="auto"/>
            <w:noWrap/>
            <w:vAlign w:val="bottom"/>
            <w:hideMark/>
          </w:tcPr>
          <w:p w14:paraId="7898CF99"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9611B78"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D6779E0"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5BB5174"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E30A92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BD53698"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6D9C5CB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229E40F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2C2FCF4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28,108.85 </w:t>
            </w:r>
          </w:p>
        </w:tc>
        <w:tc>
          <w:tcPr>
            <w:tcW w:w="0" w:type="auto"/>
            <w:shd w:val="clear" w:color="auto" w:fill="auto"/>
            <w:noWrap/>
            <w:vAlign w:val="bottom"/>
            <w:hideMark/>
          </w:tcPr>
          <w:p w14:paraId="413088F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26,239.91 </w:t>
            </w:r>
          </w:p>
        </w:tc>
        <w:tc>
          <w:tcPr>
            <w:tcW w:w="0" w:type="auto"/>
            <w:shd w:val="clear" w:color="auto" w:fill="auto"/>
            <w:noWrap/>
            <w:vAlign w:val="bottom"/>
            <w:hideMark/>
          </w:tcPr>
          <w:p w14:paraId="7E02B32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48A0006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6F6542A6" w14:textId="77777777" w:rsidTr="00B70405">
        <w:trPr>
          <w:trHeight w:val="300"/>
        </w:trPr>
        <w:tc>
          <w:tcPr>
            <w:tcW w:w="0" w:type="auto"/>
            <w:shd w:val="clear" w:color="auto" w:fill="auto"/>
            <w:noWrap/>
            <w:vAlign w:val="bottom"/>
            <w:hideMark/>
          </w:tcPr>
          <w:p w14:paraId="5D717B3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w:t>
            </w:r>
          </w:p>
        </w:tc>
        <w:tc>
          <w:tcPr>
            <w:tcW w:w="0" w:type="auto"/>
            <w:shd w:val="clear" w:color="auto" w:fill="auto"/>
            <w:noWrap/>
            <w:vAlign w:val="bottom"/>
            <w:hideMark/>
          </w:tcPr>
          <w:p w14:paraId="6591F9E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Expansion Joints</w:t>
            </w:r>
          </w:p>
        </w:tc>
        <w:tc>
          <w:tcPr>
            <w:tcW w:w="0" w:type="auto"/>
            <w:shd w:val="clear" w:color="auto" w:fill="auto"/>
            <w:noWrap/>
            <w:vAlign w:val="bottom"/>
            <w:hideMark/>
          </w:tcPr>
          <w:p w14:paraId="2C2BE5F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Road Closure - Night</w:t>
            </w:r>
          </w:p>
        </w:tc>
        <w:tc>
          <w:tcPr>
            <w:tcW w:w="0" w:type="auto"/>
            <w:shd w:val="clear" w:color="auto" w:fill="auto"/>
            <w:noWrap/>
            <w:vAlign w:val="bottom"/>
            <w:hideMark/>
          </w:tcPr>
          <w:p w14:paraId="2B22C5B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w:t>
            </w:r>
          </w:p>
        </w:tc>
        <w:tc>
          <w:tcPr>
            <w:tcW w:w="0" w:type="auto"/>
            <w:shd w:val="clear" w:color="auto" w:fill="auto"/>
            <w:noWrap/>
            <w:vAlign w:val="bottom"/>
            <w:hideMark/>
          </w:tcPr>
          <w:p w14:paraId="70070CA3" w14:textId="367BCB48"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9.1</w:t>
            </w:r>
            <w:r w:rsidR="00CB59B2">
              <w:rPr>
                <w:rFonts w:ascii="Arial" w:eastAsia="Times New Roman" w:hAnsi="Arial" w:cs="Arial"/>
                <w:sz w:val="14"/>
                <w:szCs w:val="14"/>
                <w:lang w:eastAsia="en-GB"/>
              </w:rPr>
              <w:t>4</w:t>
            </w:r>
          </w:p>
        </w:tc>
        <w:tc>
          <w:tcPr>
            <w:tcW w:w="0" w:type="auto"/>
            <w:shd w:val="clear" w:color="auto" w:fill="auto"/>
            <w:noWrap/>
            <w:vAlign w:val="bottom"/>
            <w:hideMark/>
          </w:tcPr>
          <w:p w14:paraId="597CB44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£702.14</w:t>
            </w:r>
          </w:p>
        </w:tc>
        <w:tc>
          <w:tcPr>
            <w:tcW w:w="0" w:type="auto"/>
            <w:shd w:val="clear" w:color="auto" w:fill="auto"/>
            <w:noWrap/>
            <w:vAlign w:val="bottom"/>
            <w:hideMark/>
          </w:tcPr>
          <w:p w14:paraId="201D441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7.29</w:t>
            </w:r>
          </w:p>
        </w:tc>
        <w:tc>
          <w:tcPr>
            <w:tcW w:w="0" w:type="auto"/>
            <w:shd w:val="clear" w:color="auto" w:fill="auto"/>
            <w:noWrap/>
            <w:vAlign w:val="bottom"/>
            <w:hideMark/>
          </w:tcPr>
          <w:p w14:paraId="1DC9EB9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£559.22</w:t>
            </w:r>
          </w:p>
        </w:tc>
        <w:tc>
          <w:tcPr>
            <w:tcW w:w="0" w:type="auto"/>
            <w:shd w:val="clear" w:color="auto" w:fill="auto"/>
            <w:noWrap/>
            <w:vAlign w:val="bottom"/>
            <w:hideMark/>
          </w:tcPr>
          <w:p w14:paraId="665FD36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1,261.35 </w:t>
            </w:r>
          </w:p>
        </w:tc>
        <w:tc>
          <w:tcPr>
            <w:tcW w:w="0" w:type="auto"/>
            <w:vMerge w:val="restart"/>
            <w:shd w:val="clear" w:color="auto" w:fill="auto"/>
            <w:noWrap/>
            <w:vAlign w:val="bottom"/>
            <w:hideMark/>
          </w:tcPr>
          <w:p w14:paraId="053DDE3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318224D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68CB3B0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£130,196</w:t>
            </w:r>
          </w:p>
        </w:tc>
        <w:tc>
          <w:tcPr>
            <w:tcW w:w="0" w:type="auto"/>
            <w:vMerge w:val="restart"/>
            <w:shd w:val="clear" w:color="auto" w:fill="auto"/>
            <w:noWrap/>
            <w:vAlign w:val="bottom"/>
            <w:hideMark/>
          </w:tcPr>
          <w:p w14:paraId="57A4FC0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£117,429.18</w:t>
            </w:r>
          </w:p>
        </w:tc>
      </w:tr>
      <w:tr w:rsidR="00B70405" w:rsidRPr="00B70405" w14:paraId="59A4ACE4" w14:textId="77777777" w:rsidTr="00B70405">
        <w:trPr>
          <w:trHeight w:val="300"/>
        </w:trPr>
        <w:tc>
          <w:tcPr>
            <w:tcW w:w="0" w:type="auto"/>
            <w:shd w:val="clear" w:color="auto" w:fill="auto"/>
            <w:noWrap/>
            <w:vAlign w:val="bottom"/>
            <w:hideMark/>
          </w:tcPr>
          <w:p w14:paraId="1ABADDA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w:t>
            </w:r>
          </w:p>
        </w:tc>
        <w:tc>
          <w:tcPr>
            <w:tcW w:w="0" w:type="auto"/>
            <w:shd w:val="clear" w:color="auto" w:fill="auto"/>
            <w:noWrap/>
            <w:vAlign w:val="bottom"/>
            <w:hideMark/>
          </w:tcPr>
          <w:p w14:paraId="0DD6398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Substructure Drainage</w:t>
            </w:r>
          </w:p>
        </w:tc>
        <w:tc>
          <w:tcPr>
            <w:tcW w:w="0" w:type="auto"/>
            <w:shd w:val="clear" w:color="auto" w:fill="auto"/>
            <w:noWrap/>
            <w:vAlign w:val="bottom"/>
            <w:hideMark/>
          </w:tcPr>
          <w:p w14:paraId="6E6A563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007AA28D"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BBAA69A"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29668A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1F3A3DC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0.85</w:t>
            </w:r>
          </w:p>
        </w:tc>
        <w:tc>
          <w:tcPr>
            <w:tcW w:w="0" w:type="auto"/>
            <w:shd w:val="clear" w:color="auto" w:fill="auto"/>
            <w:noWrap/>
            <w:vAlign w:val="bottom"/>
            <w:hideMark/>
          </w:tcPr>
          <w:p w14:paraId="1860534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£65.20</w:t>
            </w:r>
          </w:p>
        </w:tc>
        <w:tc>
          <w:tcPr>
            <w:tcW w:w="0" w:type="auto"/>
            <w:shd w:val="clear" w:color="auto" w:fill="auto"/>
            <w:noWrap/>
            <w:vAlign w:val="bottom"/>
            <w:hideMark/>
          </w:tcPr>
          <w:p w14:paraId="4267CB2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65.20 </w:t>
            </w:r>
          </w:p>
        </w:tc>
        <w:tc>
          <w:tcPr>
            <w:tcW w:w="0" w:type="auto"/>
            <w:vMerge/>
            <w:vAlign w:val="center"/>
            <w:hideMark/>
          </w:tcPr>
          <w:p w14:paraId="22E92A0D"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65FF05DE"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03910AFD"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6E5F509E"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27B38ACD" w14:textId="77777777" w:rsidTr="00B70405">
        <w:trPr>
          <w:trHeight w:val="900"/>
        </w:trPr>
        <w:tc>
          <w:tcPr>
            <w:tcW w:w="0" w:type="auto"/>
            <w:shd w:val="clear" w:color="auto" w:fill="auto"/>
            <w:noWrap/>
            <w:vAlign w:val="bottom"/>
            <w:hideMark/>
          </w:tcPr>
          <w:p w14:paraId="1D898B7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w:t>
            </w:r>
          </w:p>
        </w:tc>
        <w:tc>
          <w:tcPr>
            <w:tcW w:w="0" w:type="auto"/>
            <w:shd w:val="clear" w:color="auto" w:fill="auto"/>
            <w:noWrap/>
            <w:vAlign w:val="bottom"/>
            <w:hideMark/>
          </w:tcPr>
          <w:p w14:paraId="40B7DF2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Concrete repairs to bearing plinth / shelf</w:t>
            </w:r>
          </w:p>
        </w:tc>
        <w:tc>
          <w:tcPr>
            <w:tcW w:w="0" w:type="auto"/>
            <w:shd w:val="clear" w:color="auto" w:fill="auto"/>
            <w:noWrap/>
            <w:vAlign w:val="bottom"/>
            <w:hideMark/>
          </w:tcPr>
          <w:p w14:paraId="68F9626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42407423"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3DB44C70"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8E549D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1F4E9F3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1.9</w:t>
            </w:r>
          </w:p>
        </w:tc>
        <w:tc>
          <w:tcPr>
            <w:tcW w:w="0" w:type="auto"/>
            <w:shd w:val="clear" w:color="auto" w:fill="auto"/>
            <w:noWrap/>
            <w:vAlign w:val="bottom"/>
            <w:hideMark/>
          </w:tcPr>
          <w:p w14:paraId="263DC55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£145.75</w:t>
            </w:r>
          </w:p>
        </w:tc>
        <w:tc>
          <w:tcPr>
            <w:tcW w:w="0" w:type="auto"/>
            <w:shd w:val="clear" w:color="auto" w:fill="auto"/>
            <w:noWrap/>
            <w:vAlign w:val="bottom"/>
            <w:hideMark/>
          </w:tcPr>
          <w:p w14:paraId="2AC93AD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145.75 </w:t>
            </w:r>
          </w:p>
        </w:tc>
        <w:tc>
          <w:tcPr>
            <w:tcW w:w="0" w:type="auto"/>
            <w:vMerge/>
            <w:vAlign w:val="center"/>
            <w:hideMark/>
          </w:tcPr>
          <w:p w14:paraId="04E3B4A3"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2E9572DC"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36642AC1"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3BC8F6DF"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3158DC42" w14:textId="77777777" w:rsidTr="00B70405">
        <w:trPr>
          <w:trHeight w:val="300"/>
        </w:trPr>
        <w:tc>
          <w:tcPr>
            <w:tcW w:w="0" w:type="auto"/>
            <w:shd w:val="clear" w:color="auto" w:fill="auto"/>
            <w:noWrap/>
            <w:vAlign w:val="bottom"/>
            <w:hideMark/>
          </w:tcPr>
          <w:p w14:paraId="2DE0A06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w:t>
            </w:r>
          </w:p>
        </w:tc>
        <w:tc>
          <w:tcPr>
            <w:tcW w:w="0" w:type="auto"/>
            <w:shd w:val="clear" w:color="auto" w:fill="auto"/>
            <w:noWrap/>
            <w:vAlign w:val="bottom"/>
            <w:hideMark/>
          </w:tcPr>
          <w:p w14:paraId="1D75952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Concrete repairs to abutments </w:t>
            </w:r>
          </w:p>
        </w:tc>
        <w:tc>
          <w:tcPr>
            <w:tcW w:w="0" w:type="auto"/>
            <w:shd w:val="clear" w:color="auto" w:fill="auto"/>
            <w:noWrap/>
            <w:vAlign w:val="bottom"/>
            <w:hideMark/>
          </w:tcPr>
          <w:p w14:paraId="42E728C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3913EB3A"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4C33EBDB"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EEC1DF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4345FAF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12.42</w:t>
            </w:r>
          </w:p>
        </w:tc>
        <w:tc>
          <w:tcPr>
            <w:tcW w:w="0" w:type="auto"/>
            <w:shd w:val="clear" w:color="auto" w:fill="auto"/>
            <w:noWrap/>
            <w:vAlign w:val="bottom"/>
            <w:hideMark/>
          </w:tcPr>
          <w:p w14:paraId="6EB9FA7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£952.74</w:t>
            </w:r>
          </w:p>
        </w:tc>
        <w:tc>
          <w:tcPr>
            <w:tcW w:w="0" w:type="auto"/>
            <w:shd w:val="clear" w:color="auto" w:fill="auto"/>
            <w:noWrap/>
            <w:vAlign w:val="bottom"/>
            <w:hideMark/>
          </w:tcPr>
          <w:p w14:paraId="6FCBC46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952.74 </w:t>
            </w:r>
          </w:p>
        </w:tc>
        <w:tc>
          <w:tcPr>
            <w:tcW w:w="0" w:type="auto"/>
            <w:vMerge/>
            <w:vAlign w:val="center"/>
            <w:hideMark/>
          </w:tcPr>
          <w:p w14:paraId="7739D351"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006CC40A"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67A95F9D"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67C5FBC6"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728BD82C" w14:textId="77777777" w:rsidTr="00B70405">
        <w:trPr>
          <w:trHeight w:val="300"/>
        </w:trPr>
        <w:tc>
          <w:tcPr>
            <w:tcW w:w="0" w:type="auto"/>
            <w:shd w:val="clear" w:color="auto" w:fill="auto"/>
            <w:noWrap/>
            <w:vAlign w:val="bottom"/>
            <w:hideMark/>
          </w:tcPr>
          <w:p w14:paraId="3906971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w:t>
            </w:r>
          </w:p>
        </w:tc>
        <w:tc>
          <w:tcPr>
            <w:tcW w:w="0" w:type="auto"/>
            <w:shd w:val="clear" w:color="auto" w:fill="auto"/>
            <w:noWrap/>
            <w:vAlign w:val="bottom"/>
            <w:hideMark/>
          </w:tcPr>
          <w:p w14:paraId="4CDEE8E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Substructure drainage maintenance</w:t>
            </w:r>
          </w:p>
        </w:tc>
        <w:tc>
          <w:tcPr>
            <w:tcW w:w="0" w:type="auto"/>
            <w:shd w:val="clear" w:color="auto" w:fill="auto"/>
            <w:noWrap/>
            <w:vAlign w:val="bottom"/>
            <w:hideMark/>
          </w:tcPr>
          <w:p w14:paraId="1E9AC64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32B681FE"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1EA5B71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66D50E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3AC4C70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2A14BBC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£13.04</w:t>
            </w:r>
          </w:p>
        </w:tc>
        <w:tc>
          <w:tcPr>
            <w:tcW w:w="0" w:type="auto"/>
            <w:shd w:val="clear" w:color="auto" w:fill="auto"/>
            <w:noWrap/>
            <w:vAlign w:val="bottom"/>
            <w:hideMark/>
          </w:tcPr>
          <w:p w14:paraId="78747F6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13.04 </w:t>
            </w:r>
          </w:p>
        </w:tc>
        <w:tc>
          <w:tcPr>
            <w:tcW w:w="0" w:type="auto"/>
            <w:vMerge/>
            <w:vAlign w:val="center"/>
            <w:hideMark/>
          </w:tcPr>
          <w:p w14:paraId="2848A8E0"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06836907"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7A60E83D"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72BA5CED"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770B6C99" w14:textId="77777777" w:rsidTr="00B70405">
        <w:trPr>
          <w:trHeight w:val="300"/>
        </w:trPr>
        <w:tc>
          <w:tcPr>
            <w:tcW w:w="0" w:type="auto"/>
            <w:shd w:val="clear" w:color="auto" w:fill="auto"/>
            <w:noWrap/>
            <w:vAlign w:val="bottom"/>
            <w:hideMark/>
          </w:tcPr>
          <w:p w14:paraId="79F0F55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w:t>
            </w:r>
          </w:p>
        </w:tc>
        <w:tc>
          <w:tcPr>
            <w:tcW w:w="0" w:type="auto"/>
            <w:shd w:val="clear" w:color="auto" w:fill="auto"/>
            <w:noWrap/>
            <w:vAlign w:val="bottom"/>
            <w:hideMark/>
          </w:tcPr>
          <w:p w14:paraId="2C01C17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5A687DA6"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5A92DB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64B61E0"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4F6C89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4A79DFD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408DCBB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£13.04</w:t>
            </w:r>
          </w:p>
        </w:tc>
        <w:tc>
          <w:tcPr>
            <w:tcW w:w="0" w:type="auto"/>
            <w:shd w:val="clear" w:color="auto" w:fill="auto"/>
            <w:noWrap/>
            <w:vAlign w:val="bottom"/>
            <w:hideMark/>
          </w:tcPr>
          <w:p w14:paraId="1ACC3E2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13.04 </w:t>
            </w:r>
          </w:p>
        </w:tc>
        <w:tc>
          <w:tcPr>
            <w:tcW w:w="0" w:type="auto"/>
            <w:vMerge/>
            <w:vAlign w:val="center"/>
            <w:hideMark/>
          </w:tcPr>
          <w:p w14:paraId="28798436"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58D1D2DF"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0493AB41"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301D81DB"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1D96A292" w14:textId="77777777" w:rsidTr="00B70405">
        <w:trPr>
          <w:trHeight w:val="300"/>
        </w:trPr>
        <w:tc>
          <w:tcPr>
            <w:tcW w:w="0" w:type="auto"/>
            <w:shd w:val="clear" w:color="auto" w:fill="auto"/>
            <w:vAlign w:val="center"/>
            <w:hideMark/>
          </w:tcPr>
          <w:p w14:paraId="0C5212B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w:t>
            </w:r>
          </w:p>
        </w:tc>
        <w:tc>
          <w:tcPr>
            <w:tcW w:w="0" w:type="auto"/>
            <w:shd w:val="clear" w:color="auto" w:fill="auto"/>
            <w:noWrap/>
            <w:vAlign w:val="bottom"/>
            <w:hideMark/>
          </w:tcPr>
          <w:p w14:paraId="43A47D99"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8733A3D"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78DFFF8"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DA17D5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752984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36A88036"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94B55E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5A2A96C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2EE6CB20"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70B500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8093E3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55A45D2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646D219C" w14:textId="77777777" w:rsidTr="00B70405">
        <w:trPr>
          <w:trHeight w:val="300"/>
        </w:trPr>
        <w:tc>
          <w:tcPr>
            <w:tcW w:w="0" w:type="auto"/>
            <w:shd w:val="clear" w:color="auto" w:fill="auto"/>
            <w:noWrap/>
            <w:vAlign w:val="bottom"/>
            <w:hideMark/>
          </w:tcPr>
          <w:p w14:paraId="36E7891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w:t>
            </w:r>
          </w:p>
        </w:tc>
        <w:tc>
          <w:tcPr>
            <w:tcW w:w="0" w:type="auto"/>
            <w:shd w:val="clear" w:color="auto" w:fill="auto"/>
            <w:noWrap/>
            <w:vAlign w:val="bottom"/>
            <w:hideMark/>
          </w:tcPr>
          <w:p w14:paraId="6B8401B6"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2429DB3"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0A8BC2A"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4474C7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E4CFCF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5A9289F8"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42C3C5F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6B8D4FA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273637E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14,054.42 </w:t>
            </w:r>
          </w:p>
        </w:tc>
        <w:tc>
          <w:tcPr>
            <w:tcW w:w="0" w:type="auto"/>
            <w:shd w:val="clear" w:color="auto" w:fill="auto"/>
            <w:noWrap/>
            <w:vAlign w:val="bottom"/>
            <w:hideMark/>
          </w:tcPr>
          <w:p w14:paraId="660B583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11,833.45 </w:t>
            </w:r>
          </w:p>
        </w:tc>
        <w:tc>
          <w:tcPr>
            <w:tcW w:w="0" w:type="auto"/>
            <w:shd w:val="clear" w:color="auto" w:fill="auto"/>
            <w:noWrap/>
            <w:vAlign w:val="bottom"/>
            <w:hideMark/>
          </w:tcPr>
          <w:p w14:paraId="5C44BBE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53EA73E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771A9DD3" w14:textId="77777777" w:rsidTr="00B70405">
        <w:trPr>
          <w:trHeight w:val="300"/>
        </w:trPr>
        <w:tc>
          <w:tcPr>
            <w:tcW w:w="0" w:type="auto"/>
            <w:shd w:val="clear" w:color="auto" w:fill="auto"/>
            <w:vAlign w:val="center"/>
            <w:hideMark/>
          </w:tcPr>
          <w:p w14:paraId="49AF3C7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w:t>
            </w:r>
          </w:p>
        </w:tc>
        <w:tc>
          <w:tcPr>
            <w:tcW w:w="0" w:type="auto"/>
            <w:shd w:val="clear" w:color="auto" w:fill="auto"/>
            <w:noWrap/>
            <w:vAlign w:val="bottom"/>
            <w:hideMark/>
          </w:tcPr>
          <w:p w14:paraId="62AF25B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Bearings</w:t>
            </w:r>
          </w:p>
        </w:tc>
        <w:tc>
          <w:tcPr>
            <w:tcW w:w="0" w:type="auto"/>
            <w:shd w:val="clear" w:color="auto" w:fill="auto"/>
            <w:noWrap/>
            <w:vAlign w:val="bottom"/>
            <w:hideMark/>
          </w:tcPr>
          <w:p w14:paraId="7447268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689D568A"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70DDC26"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9C38CD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DFF422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22.825</w:t>
            </w:r>
          </w:p>
        </w:tc>
        <w:tc>
          <w:tcPr>
            <w:tcW w:w="0" w:type="auto"/>
            <w:shd w:val="clear" w:color="auto" w:fill="auto"/>
            <w:noWrap/>
            <w:vAlign w:val="bottom"/>
            <w:hideMark/>
          </w:tcPr>
          <w:p w14:paraId="149A1D3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£1,654.42</w:t>
            </w:r>
          </w:p>
        </w:tc>
        <w:tc>
          <w:tcPr>
            <w:tcW w:w="0" w:type="auto"/>
            <w:shd w:val="clear" w:color="auto" w:fill="auto"/>
            <w:noWrap/>
            <w:vAlign w:val="bottom"/>
            <w:hideMark/>
          </w:tcPr>
          <w:p w14:paraId="775FF6F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1,654.42 </w:t>
            </w:r>
          </w:p>
        </w:tc>
        <w:tc>
          <w:tcPr>
            <w:tcW w:w="0" w:type="auto"/>
            <w:vMerge w:val="restart"/>
            <w:shd w:val="clear" w:color="auto" w:fill="auto"/>
            <w:noWrap/>
            <w:vAlign w:val="bottom"/>
            <w:hideMark/>
          </w:tcPr>
          <w:p w14:paraId="3793153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20A28A0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1695B8E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£148,524</w:t>
            </w:r>
          </w:p>
        </w:tc>
        <w:tc>
          <w:tcPr>
            <w:tcW w:w="0" w:type="auto"/>
            <w:vMerge w:val="restart"/>
            <w:shd w:val="clear" w:color="auto" w:fill="auto"/>
            <w:noWrap/>
            <w:vAlign w:val="bottom"/>
            <w:hideMark/>
          </w:tcPr>
          <w:p w14:paraId="08E2927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£120,824.45</w:t>
            </w:r>
          </w:p>
        </w:tc>
      </w:tr>
      <w:tr w:rsidR="00B70405" w:rsidRPr="00B70405" w14:paraId="3EC1A92C" w14:textId="77777777" w:rsidTr="00B70405">
        <w:trPr>
          <w:trHeight w:val="300"/>
        </w:trPr>
        <w:tc>
          <w:tcPr>
            <w:tcW w:w="0" w:type="auto"/>
            <w:shd w:val="clear" w:color="auto" w:fill="auto"/>
            <w:vAlign w:val="center"/>
            <w:hideMark/>
          </w:tcPr>
          <w:p w14:paraId="53258E6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w:t>
            </w:r>
          </w:p>
        </w:tc>
        <w:tc>
          <w:tcPr>
            <w:tcW w:w="0" w:type="auto"/>
            <w:shd w:val="clear" w:color="auto" w:fill="auto"/>
            <w:noWrap/>
            <w:vAlign w:val="bottom"/>
            <w:hideMark/>
          </w:tcPr>
          <w:p w14:paraId="62D3FA4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793543DD"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0B797FD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F29BC4F"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F2A09C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5AC6D4E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18E2EDE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£12.32</w:t>
            </w:r>
          </w:p>
        </w:tc>
        <w:tc>
          <w:tcPr>
            <w:tcW w:w="0" w:type="auto"/>
            <w:shd w:val="clear" w:color="auto" w:fill="auto"/>
            <w:noWrap/>
            <w:vAlign w:val="bottom"/>
            <w:hideMark/>
          </w:tcPr>
          <w:p w14:paraId="54CC6E2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12.32 </w:t>
            </w:r>
          </w:p>
        </w:tc>
        <w:tc>
          <w:tcPr>
            <w:tcW w:w="0" w:type="auto"/>
            <w:vMerge/>
            <w:vAlign w:val="center"/>
            <w:hideMark/>
          </w:tcPr>
          <w:p w14:paraId="41ABE9AD"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7B305B33"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0927AD11"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52270A44"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3C7DC428" w14:textId="77777777" w:rsidTr="00B70405">
        <w:trPr>
          <w:trHeight w:val="300"/>
        </w:trPr>
        <w:tc>
          <w:tcPr>
            <w:tcW w:w="0" w:type="auto"/>
            <w:shd w:val="clear" w:color="auto" w:fill="auto"/>
            <w:noWrap/>
            <w:vAlign w:val="bottom"/>
            <w:hideMark/>
          </w:tcPr>
          <w:p w14:paraId="2683C7F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w:t>
            </w:r>
          </w:p>
        </w:tc>
        <w:tc>
          <w:tcPr>
            <w:tcW w:w="0" w:type="auto"/>
            <w:shd w:val="clear" w:color="auto" w:fill="auto"/>
            <w:noWrap/>
            <w:vAlign w:val="bottom"/>
            <w:hideMark/>
          </w:tcPr>
          <w:p w14:paraId="289C07EF"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4E9193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D783D9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8DF02E7"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E7F0AF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1AD3B424"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46B294D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4C047B5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62FD32F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26981C1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479B42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3C023A2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7621CF33" w14:textId="77777777" w:rsidTr="00B70405">
        <w:trPr>
          <w:trHeight w:val="300"/>
        </w:trPr>
        <w:tc>
          <w:tcPr>
            <w:tcW w:w="0" w:type="auto"/>
            <w:shd w:val="clear" w:color="auto" w:fill="auto"/>
            <w:vAlign w:val="center"/>
            <w:hideMark/>
          </w:tcPr>
          <w:p w14:paraId="3FDB122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w:t>
            </w:r>
          </w:p>
        </w:tc>
        <w:tc>
          <w:tcPr>
            <w:tcW w:w="0" w:type="auto"/>
            <w:shd w:val="clear" w:color="auto" w:fill="auto"/>
            <w:noWrap/>
            <w:vAlign w:val="bottom"/>
            <w:hideMark/>
          </w:tcPr>
          <w:p w14:paraId="5253C03A"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202400B"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B5FD111"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5E468BF"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6932C9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723A34E"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2D3CD57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11D6AA2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3494A5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5DB4E43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FA3BCE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479339E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3EDC4FF1" w14:textId="77777777" w:rsidTr="00B70405">
        <w:trPr>
          <w:trHeight w:val="300"/>
        </w:trPr>
        <w:tc>
          <w:tcPr>
            <w:tcW w:w="0" w:type="auto"/>
            <w:shd w:val="clear" w:color="auto" w:fill="auto"/>
            <w:noWrap/>
            <w:vAlign w:val="bottom"/>
            <w:hideMark/>
          </w:tcPr>
          <w:p w14:paraId="0A16C7C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w:t>
            </w:r>
          </w:p>
        </w:tc>
        <w:tc>
          <w:tcPr>
            <w:tcW w:w="0" w:type="auto"/>
            <w:shd w:val="clear" w:color="auto" w:fill="auto"/>
            <w:noWrap/>
            <w:vAlign w:val="bottom"/>
            <w:hideMark/>
          </w:tcPr>
          <w:p w14:paraId="26FAAE4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79FDA2BA"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1258A2D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D6C1A3F"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737E4A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64C184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104D84A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£11.62</w:t>
            </w:r>
          </w:p>
        </w:tc>
        <w:tc>
          <w:tcPr>
            <w:tcW w:w="0" w:type="auto"/>
            <w:shd w:val="clear" w:color="auto" w:fill="auto"/>
            <w:noWrap/>
            <w:vAlign w:val="bottom"/>
            <w:hideMark/>
          </w:tcPr>
          <w:p w14:paraId="08E6375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11.62 </w:t>
            </w:r>
          </w:p>
        </w:tc>
        <w:tc>
          <w:tcPr>
            <w:tcW w:w="0" w:type="auto"/>
            <w:shd w:val="clear" w:color="auto" w:fill="auto"/>
            <w:noWrap/>
            <w:vAlign w:val="bottom"/>
            <w:hideMark/>
          </w:tcPr>
          <w:p w14:paraId="02E4A03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17E3925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071A8B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£457</w:t>
            </w:r>
          </w:p>
        </w:tc>
        <w:tc>
          <w:tcPr>
            <w:tcW w:w="0" w:type="auto"/>
            <w:shd w:val="clear" w:color="auto" w:fill="auto"/>
            <w:noWrap/>
            <w:vAlign w:val="bottom"/>
            <w:hideMark/>
          </w:tcPr>
          <w:p w14:paraId="73632DA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£335.22</w:t>
            </w:r>
          </w:p>
        </w:tc>
      </w:tr>
      <w:tr w:rsidR="00B70405" w:rsidRPr="00B70405" w14:paraId="2EDEC63C" w14:textId="77777777" w:rsidTr="00B70405">
        <w:trPr>
          <w:trHeight w:val="300"/>
        </w:trPr>
        <w:tc>
          <w:tcPr>
            <w:tcW w:w="0" w:type="auto"/>
            <w:shd w:val="clear" w:color="auto" w:fill="auto"/>
            <w:vAlign w:val="center"/>
            <w:hideMark/>
          </w:tcPr>
          <w:p w14:paraId="24F3A16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10</w:t>
            </w:r>
          </w:p>
        </w:tc>
        <w:tc>
          <w:tcPr>
            <w:tcW w:w="0" w:type="auto"/>
            <w:shd w:val="clear" w:color="auto" w:fill="auto"/>
            <w:noWrap/>
            <w:vAlign w:val="bottom"/>
            <w:hideMark/>
          </w:tcPr>
          <w:p w14:paraId="31839F8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surfacing</w:t>
            </w:r>
          </w:p>
        </w:tc>
        <w:tc>
          <w:tcPr>
            <w:tcW w:w="0" w:type="auto"/>
            <w:shd w:val="clear" w:color="auto" w:fill="auto"/>
            <w:noWrap/>
            <w:vAlign w:val="bottom"/>
            <w:hideMark/>
          </w:tcPr>
          <w:p w14:paraId="218B868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Closure</w:t>
            </w:r>
          </w:p>
        </w:tc>
        <w:tc>
          <w:tcPr>
            <w:tcW w:w="0" w:type="auto"/>
            <w:shd w:val="clear" w:color="auto" w:fill="auto"/>
            <w:noWrap/>
            <w:vAlign w:val="bottom"/>
            <w:hideMark/>
          </w:tcPr>
          <w:p w14:paraId="00B4173A"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17EBB210"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81AC6D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4649E4F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0.11767</w:t>
            </w:r>
          </w:p>
        </w:tc>
        <w:tc>
          <w:tcPr>
            <w:tcW w:w="0" w:type="auto"/>
            <w:shd w:val="clear" w:color="auto" w:fill="auto"/>
            <w:noWrap/>
            <w:vAlign w:val="bottom"/>
            <w:hideMark/>
          </w:tcPr>
          <w:p w14:paraId="1BE2310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£7.88</w:t>
            </w:r>
          </w:p>
        </w:tc>
        <w:tc>
          <w:tcPr>
            <w:tcW w:w="0" w:type="auto"/>
            <w:shd w:val="clear" w:color="auto" w:fill="auto"/>
            <w:noWrap/>
            <w:vAlign w:val="bottom"/>
            <w:hideMark/>
          </w:tcPr>
          <w:p w14:paraId="4F7F83B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7.88 </w:t>
            </w:r>
          </w:p>
        </w:tc>
        <w:tc>
          <w:tcPr>
            <w:tcW w:w="0" w:type="auto"/>
            <w:shd w:val="clear" w:color="auto" w:fill="auto"/>
            <w:noWrap/>
            <w:vAlign w:val="bottom"/>
            <w:hideMark/>
          </w:tcPr>
          <w:p w14:paraId="69ED5A8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51B6AC5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67FF0B8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£1,700</w:t>
            </w:r>
          </w:p>
        </w:tc>
        <w:tc>
          <w:tcPr>
            <w:tcW w:w="0" w:type="auto"/>
            <w:shd w:val="clear" w:color="auto" w:fill="auto"/>
            <w:noWrap/>
            <w:vAlign w:val="bottom"/>
            <w:hideMark/>
          </w:tcPr>
          <w:p w14:paraId="3E6B210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£1,205.44</w:t>
            </w:r>
          </w:p>
        </w:tc>
      </w:tr>
      <w:tr w:rsidR="00B70405" w:rsidRPr="00B70405" w14:paraId="035FC279" w14:textId="77777777" w:rsidTr="00B70405">
        <w:trPr>
          <w:trHeight w:val="300"/>
        </w:trPr>
        <w:tc>
          <w:tcPr>
            <w:tcW w:w="0" w:type="auto"/>
            <w:shd w:val="clear" w:color="auto" w:fill="auto"/>
            <w:noWrap/>
            <w:vAlign w:val="bottom"/>
            <w:hideMark/>
          </w:tcPr>
          <w:p w14:paraId="3367CA9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11</w:t>
            </w:r>
          </w:p>
        </w:tc>
        <w:tc>
          <w:tcPr>
            <w:tcW w:w="0" w:type="auto"/>
            <w:shd w:val="clear" w:color="auto" w:fill="auto"/>
            <w:noWrap/>
            <w:vAlign w:val="bottom"/>
            <w:hideMark/>
          </w:tcPr>
          <w:p w14:paraId="2FD3875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Expansion Joints</w:t>
            </w:r>
          </w:p>
        </w:tc>
        <w:tc>
          <w:tcPr>
            <w:tcW w:w="0" w:type="auto"/>
            <w:shd w:val="clear" w:color="auto" w:fill="auto"/>
            <w:noWrap/>
            <w:vAlign w:val="bottom"/>
            <w:hideMark/>
          </w:tcPr>
          <w:p w14:paraId="60FC5DA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Road Closure - Night</w:t>
            </w:r>
          </w:p>
        </w:tc>
        <w:tc>
          <w:tcPr>
            <w:tcW w:w="0" w:type="auto"/>
            <w:shd w:val="clear" w:color="auto" w:fill="auto"/>
            <w:noWrap/>
            <w:vAlign w:val="bottom"/>
            <w:hideMark/>
          </w:tcPr>
          <w:p w14:paraId="4CA11D2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w:t>
            </w:r>
          </w:p>
        </w:tc>
        <w:tc>
          <w:tcPr>
            <w:tcW w:w="0" w:type="auto"/>
            <w:shd w:val="clear" w:color="auto" w:fill="auto"/>
            <w:noWrap/>
            <w:vAlign w:val="bottom"/>
            <w:hideMark/>
          </w:tcPr>
          <w:p w14:paraId="5BE8C420" w14:textId="1357E17B"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7.4</w:t>
            </w:r>
            <w:r w:rsidR="00CB59B2">
              <w:rPr>
                <w:rFonts w:ascii="Arial" w:eastAsia="Times New Roman" w:hAnsi="Arial" w:cs="Arial"/>
                <w:sz w:val="14"/>
                <w:szCs w:val="14"/>
                <w:lang w:eastAsia="en-GB"/>
              </w:rPr>
              <w:t>6</w:t>
            </w:r>
          </w:p>
        </w:tc>
        <w:tc>
          <w:tcPr>
            <w:tcW w:w="0" w:type="auto"/>
            <w:shd w:val="clear" w:color="auto" w:fill="auto"/>
            <w:noWrap/>
            <w:vAlign w:val="bottom"/>
            <w:hideMark/>
          </w:tcPr>
          <w:p w14:paraId="0BB8E0B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£518.34</w:t>
            </w:r>
          </w:p>
        </w:tc>
        <w:tc>
          <w:tcPr>
            <w:tcW w:w="0" w:type="auto"/>
            <w:shd w:val="clear" w:color="auto" w:fill="auto"/>
            <w:noWrap/>
            <w:vAlign w:val="bottom"/>
            <w:hideMark/>
          </w:tcPr>
          <w:p w14:paraId="4E924F5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7.29</w:t>
            </w:r>
          </w:p>
        </w:tc>
        <w:tc>
          <w:tcPr>
            <w:tcW w:w="0" w:type="auto"/>
            <w:shd w:val="clear" w:color="auto" w:fill="auto"/>
            <w:noWrap/>
            <w:vAlign w:val="bottom"/>
            <w:hideMark/>
          </w:tcPr>
          <w:p w14:paraId="5DFB45B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£515.68</w:t>
            </w:r>
          </w:p>
        </w:tc>
        <w:tc>
          <w:tcPr>
            <w:tcW w:w="0" w:type="auto"/>
            <w:shd w:val="clear" w:color="auto" w:fill="auto"/>
            <w:noWrap/>
            <w:vAlign w:val="bottom"/>
            <w:hideMark/>
          </w:tcPr>
          <w:p w14:paraId="0BADD69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1,034.02 </w:t>
            </w:r>
          </w:p>
        </w:tc>
        <w:tc>
          <w:tcPr>
            <w:tcW w:w="0" w:type="auto"/>
            <w:shd w:val="clear" w:color="auto" w:fill="auto"/>
            <w:noWrap/>
            <w:vAlign w:val="bottom"/>
            <w:hideMark/>
          </w:tcPr>
          <w:p w14:paraId="270E54A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6BD2061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340C3D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£21,663</w:t>
            </w:r>
          </w:p>
        </w:tc>
        <w:tc>
          <w:tcPr>
            <w:tcW w:w="0" w:type="auto"/>
            <w:shd w:val="clear" w:color="auto" w:fill="auto"/>
            <w:noWrap/>
            <w:vAlign w:val="bottom"/>
            <w:hideMark/>
          </w:tcPr>
          <w:p w14:paraId="16A642D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£14,837.92</w:t>
            </w:r>
          </w:p>
        </w:tc>
      </w:tr>
      <w:tr w:rsidR="00B70405" w:rsidRPr="00B70405" w14:paraId="5690C2CE" w14:textId="77777777" w:rsidTr="00B70405">
        <w:trPr>
          <w:trHeight w:val="300"/>
        </w:trPr>
        <w:tc>
          <w:tcPr>
            <w:tcW w:w="0" w:type="auto"/>
            <w:shd w:val="clear" w:color="auto" w:fill="auto"/>
            <w:vAlign w:val="center"/>
            <w:hideMark/>
          </w:tcPr>
          <w:p w14:paraId="0BB4598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12</w:t>
            </w:r>
          </w:p>
        </w:tc>
        <w:tc>
          <w:tcPr>
            <w:tcW w:w="0" w:type="auto"/>
            <w:shd w:val="clear" w:color="auto" w:fill="auto"/>
            <w:noWrap/>
            <w:vAlign w:val="bottom"/>
            <w:hideMark/>
          </w:tcPr>
          <w:p w14:paraId="20DC358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3AFEB544"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87CCC24"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6B0642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7FE4B2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1954EE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0802232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£12.61</w:t>
            </w:r>
          </w:p>
        </w:tc>
        <w:tc>
          <w:tcPr>
            <w:tcW w:w="0" w:type="auto"/>
            <w:shd w:val="clear" w:color="auto" w:fill="auto"/>
            <w:noWrap/>
            <w:vAlign w:val="bottom"/>
            <w:hideMark/>
          </w:tcPr>
          <w:p w14:paraId="550A900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12.61 </w:t>
            </w:r>
          </w:p>
        </w:tc>
        <w:tc>
          <w:tcPr>
            <w:tcW w:w="0" w:type="auto"/>
            <w:shd w:val="clear" w:color="auto" w:fill="auto"/>
            <w:noWrap/>
            <w:vAlign w:val="bottom"/>
            <w:hideMark/>
          </w:tcPr>
          <w:p w14:paraId="1143B9E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6E40961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ECA8D6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£457</w:t>
            </w:r>
          </w:p>
        </w:tc>
        <w:tc>
          <w:tcPr>
            <w:tcW w:w="0" w:type="auto"/>
            <w:shd w:val="clear" w:color="auto" w:fill="auto"/>
            <w:noWrap/>
            <w:vAlign w:val="bottom"/>
            <w:hideMark/>
          </w:tcPr>
          <w:p w14:paraId="7BA07AB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£302.35</w:t>
            </w:r>
          </w:p>
        </w:tc>
      </w:tr>
      <w:tr w:rsidR="00B70405" w:rsidRPr="00B70405" w14:paraId="547E84E2" w14:textId="77777777" w:rsidTr="00B70405">
        <w:trPr>
          <w:trHeight w:val="300"/>
        </w:trPr>
        <w:tc>
          <w:tcPr>
            <w:tcW w:w="0" w:type="auto"/>
            <w:shd w:val="clear" w:color="auto" w:fill="auto"/>
            <w:noWrap/>
            <w:vAlign w:val="bottom"/>
            <w:hideMark/>
          </w:tcPr>
          <w:p w14:paraId="0A8E2A4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13</w:t>
            </w:r>
          </w:p>
        </w:tc>
        <w:tc>
          <w:tcPr>
            <w:tcW w:w="0" w:type="auto"/>
            <w:shd w:val="clear" w:color="auto" w:fill="auto"/>
            <w:noWrap/>
            <w:vAlign w:val="bottom"/>
            <w:hideMark/>
          </w:tcPr>
          <w:p w14:paraId="0AF8F702"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C28BBF4"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1BF4A46"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2910F9B"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210A5A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13AF79FE"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4DE7D0F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5147E5A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4E41F64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539308D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4AC71FA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5415698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3F9CC8B6" w14:textId="77777777" w:rsidTr="00B70405">
        <w:trPr>
          <w:trHeight w:val="300"/>
        </w:trPr>
        <w:tc>
          <w:tcPr>
            <w:tcW w:w="0" w:type="auto"/>
            <w:shd w:val="clear" w:color="auto" w:fill="auto"/>
            <w:vAlign w:val="center"/>
            <w:hideMark/>
          </w:tcPr>
          <w:p w14:paraId="14BCC35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14</w:t>
            </w:r>
          </w:p>
        </w:tc>
        <w:tc>
          <w:tcPr>
            <w:tcW w:w="0" w:type="auto"/>
            <w:shd w:val="clear" w:color="auto" w:fill="auto"/>
            <w:noWrap/>
            <w:vAlign w:val="bottom"/>
            <w:hideMark/>
          </w:tcPr>
          <w:p w14:paraId="289DE5E0"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C8887FC"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CD59E9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A31209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9BBA9E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5F72D2F8"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314672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50C74FE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095195A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19E80D9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65E9B2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2673B2B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046B76FB" w14:textId="77777777" w:rsidTr="00B70405">
        <w:trPr>
          <w:trHeight w:val="300"/>
        </w:trPr>
        <w:tc>
          <w:tcPr>
            <w:tcW w:w="0" w:type="auto"/>
            <w:shd w:val="clear" w:color="auto" w:fill="auto"/>
            <w:noWrap/>
            <w:vAlign w:val="bottom"/>
            <w:hideMark/>
          </w:tcPr>
          <w:p w14:paraId="7CCCD5F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15</w:t>
            </w:r>
          </w:p>
        </w:tc>
        <w:tc>
          <w:tcPr>
            <w:tcW w:w="0" w:type="auto"/>
            <w:shd w:val="clear" w:color="auto" w:fill="auto"/>
            <w:noWrap/>
            <w:vAlign w:val="bottom"/>
            <w:hideMark/>
          </w:tcPr>
          <w:p w14:paraId="59395B7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0877C6DF"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615012C"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EDADC9D"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D4E2E9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4B5EB34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0B112CE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£14.04</w:t>
            </w:r>
          </w:p>
        </w:tc>
        <w:tc>
          <w:tcPr>
            <w:tcW w:w="0" w:type="auto"/>
            <w:shd w:val="clear" w:color="auto" w:fill="auto"/>
            <w:noWrap/>
            <w:vAlign w:val="bottom"/>
            <w:hideMark/>
          </w:tcPr>
          <w:p w14:paraId="2CF52A0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14.04 </w:t>
            </w:r>
          </w:p>
        </w:tc>
        <w:tc>
          <w:tcPr>
            <w:tcW w:w="0" w:type="auto"/>
            <w:vMerge w:val="restart"/>
            <w:shd w:val="clear" w:color="auto" w:fill="auto"/>
            <w:noWrap/>
            <w:vAlign w:val="bottom"/>
            <w:hideMark/>
          </w:tcPr>
          <w:p w14:paraId="545B507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4E2C0A2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0A8F4BB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£25,456</w:t>
            </w:r>
          </w:p>
        </w:tc>
        <w:tc>
          <w:tcPr>
            <w:tcW w:w="0" w:type="auto"/>
            <w:vMerge w:val="restart"/>
            <w:shd w:val="clear" w:color="auto" w:fill="auto"/>
            <w:noWrap/>
            <w:vAlign w:val="bottom"/>
            <w:hideMark/>
          </w:tcPr>
          <w:p w14:paraId="3658B6D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£15,194.71</w:t>
            </w:r>
          </w:p>
        </w:tc>
      </w:tr>
      <w:tr w:rsidR="00B70405" w:rsidRPr="00B70405" w14:paraId="1372B515" w14:textId="77777777" w:rsidTr="00B70405">
        <w:trPr>
          <w:trHeight w:val="300"/>
        </w:trPr>
        <w:tc>
          <w:tcPr>
            <w:tcW w:w="0" w:type="auto"/>
            <w:shd w:val="clear" w:color="auto" w:fill="auto"/>
            <w:vAlign w:val="center"/>
            <w:hideMark/>
          </w:tcPr>
          <w:p w14:paraId="29C02DF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15</w:t>
            </w:r>
          </w:p>
        </w:tc>
        <w:tc>
          <w:tcPr>
            <w:tcW w:w="0" w:type="auto"/>
            <w:shd w:val="clear" w:color="auto" w:fill="auto"/>
            <w:noWrap/>
            <w:vAlign w:val="bottom"/>
            <w:hideMark/>
          </w:tcPr>
          <w:p w14:paraId="4CB0FC3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Repair Parapet Handrail/ Parapets/ Safety Fences</w:t>
            </w:r>
          </w:p>
        </w:tc>
        <w:tc>
          <w:tcPr>
            <w:tcW w:w="0" w:type="auto"/>
            <w:shd w:val="clear" w:color="auto" w:fill="auto"/>
            <w:noWrap/>
            <w:vAlign w:val="bottom"/>
            <w:hideMark/>
          </w:tcPr>
          <w:p w14:paraId="3CC93B8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Closure</w:t>
            </w:r>
          </w:p>
        </w:tc>
        <w:tc>
          <w:tcPr>
            <w:tcW w:w="0" w:type="auto"/>
            <w:shd w:val="clear" w:color="auto" w:fill="auto"/>
            <w:noWrap/>
            <w:vAlign w:val="bottom"/>
            <w:hideMark/>
          </w:tcPr>
          <w:p w14:paraId="0EFE5B14"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4EF8D35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AD0E94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B93255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3.74</w:t>
            </w:r>
          </w:p>
        </w:tc>
        <w:tc>
          <w:tcPr>
            <w:tcW w:w="0" w:type="auto"/>
            <w:shd w:val="clear" w:color="auto" w:fill="auto"/>
            <w:noWrap/>
            <w:vAlign w:val="bottom"/>
            <w:hideMark/>
          </w:tcPr>
          <w:p w14:paraId="570D13F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£308.90</w:t>
            </w:r>
          </w:p>
        </w:tc>
        <w:tc>
          <w:tcPr>
            <w:tcW w:w="0" w:type="auto"/>
            <w:shd w:val="clear" w:color="auto" w:fill="auto"/>
            <w:noWrap/>
            <w:vAlign w:val="bottom"/>
            <w:hideMark/>
          </w:tcPr>
          <w:p w14:paraId="2BC3A09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308.90 </w:t>
            </w:r>
          </w:p>
        </w:tc>
        <w:tc>
          <w:tcPr>
            <w:tcW w:w="0" w:type="auto"/>
            <w:vMerge/>
            <w:vAlign w:val="center"/>
            <w:hideMark/>
          </w:tcPr>
          <w:p w14:paraId="0AF524CA"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799121FC"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4FD1C120"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3CEAB6C7"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71286AA9" w14:textId="77777777" w:rsidTr="00B70405">
        <w:trPr>
          <w:trHeight w:val="300"/>
        </w:trPr>
        <w:tc>
          <w:tcPr>
            <w:tcW w:w="0" w:type="auto"/>
            <w:shd w:val="clear" w:color="auto" w:fill="auto"/>
            <w:vAlign w:val="center"/>
            <w:hideMark/>
          </w:tcPr>
          <w:p w14:paraId="3299905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16</w:t>
            </w:r>
          </w:p>
        </w:tc>
        <w:tc>
          <w:tcPr>
            <w:tcW w:w="0" w:type="auto"/>
            <w:shd w:val="clear" w:color="auto" w:fill="auto"/>
            <w:noWrap/>
            <w:vAlign w:val="bottom"/>
            <w:hideMark/>
          </w:tcPr>
          <w:p w14:paraId="4844204B"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897B54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F129BC4"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7EE9DEC"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82D39F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5A162474"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1E8160E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646FC4A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2ED7233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0E6FB15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6DF2B90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13B0653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31A16414" w14:textId="77777777" w:rsidTr="00B70405">
        <w:trPr>
          <w:trHeight w:val="300"/>
        </w:trPr>
        <w:tc>
          <w:tcPr>
            <w:tcW w:w="0" w:type="auto"/>
            <w:shd w:val="clear" w:color="auto" w:fill="auto"/>
            <w:noWrap/>
            <w:vAlign w:val="bottom"/>
            <w:hideMark/>
          </w:tcPr>
          <w:p w14:paraId="3690DA9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17</w:t>
            </w:r>
          </w:p>
        </w:tc>
        <w:tc>
          <w:tcPr>
            <w:tcW w:w="0" w:type="auto"/>
            <w:shd w:val="clear" w:color="auto" w:fill="auto"/>
            <w:noWrap/>
            <w:vAlign w:val="bottom"/>
            <w:hideMark/>
          </w:tcPr>
          <w:p w14:paraId="6E1FB7B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Carriageway repairs</w:t>
            </w:r>
          </w:p>
        </w:tc>
        <w:tc>
          <w:tcPr>
            <w:tcW w:w="0" w:type="auto"/>
            <w:shd w:val="clear" w:color="auto" w:fill="auto"/>
            <w:noWrap/>
            <w:vAlign w:val="bottom"/>
            <w:hideMark/>
          </w:tcPr>
          <w:p w14:paraId="51D8AD6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Lane Closures</w:t>
            </w:r>
          </w:p>
        </w:tc>
        <w:tc>
          <w:tcPr>
            <w:tcW w:w="0" w:type="auto"/>
            <w:shd w:val="clear" w:color="auto" w:fill="auto"/>
            <w:noWrap/>
            <w:vAlign w:val="bottom"/>
            <w:hideMark/>
          </w:tcPr>
          <w:p w14:paraId="0081C11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w:t>
            </w:r>
          </w:p>
        </w:tc>
        <w:tc>
          <w:tcPr>
            <w:tcW w:w="0" w:type="auto"/>
            <w:shd w:val="clear" w:color="auto" w:fill="auto"/>
            <w:noWrap/>
            <w:vAlign w:val="bottom"/>
            <w:hideMark/>
          </w:tcPr>
          <w:p w14:paraId="0CD9FD7B" w14:textId="03D5E1B8"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0.9</w:t>
            </w:r>
            <w:r w:rsidR="00CB59B2">
              <w:rPr>
                <w:rFonts w:ascii="Arial" w:eastAsia="Times New Roman" w:hAnsi="Arial" w:cs="Arial"/>
                <w:sz w:val="14"/>
                <w:szCs w:val="14"/>
                <w:lang w:eastAsia="en-GB"/>
              </w:rPr>
              <w:t>2</w:t>
            </w:r>
          </w:p>
        </w:tc>
        <w:tc>
          <w:tcPr>
            <w:tcW w:w="0" w:type="auto"/>
            <w:shd w:val="clear" w:color="auto" w:fill="auto"/>
            <w:noWrap/>
            <w:vAlign w:val="bottom"/>
            <w:hideMark/>
          </w:tcPr>
          <w:p w14:paraId="21DE14E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£78.33</w:t>
            </w:r>
          </w:p>
        </w:tc>
        <w:tc>
          <w:tcPr>
            <w:tcW w:w="0" w:type="auto"/>
            <w:shd w:val="clear" w:color="auto" w:fill="auto"/>
            <w:noWrap/>
            <w:vAlign w:val="bottom"/>
            <w:hideMark/>
          </w:tcPr>
          <w:p w14:paraId="5FD4B04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0.70233</w:t>
            </w:r>
          </w:p>
        </w:tc>
        <w:tc>
          <w:tcPr>
            <w:tcW w:w="0" w:type="auto"/>
            <w:shd w:val="clear" w:color="auto" w:fill="auto"/>
            <w:noWrap/>
            <w:vAlign w:val="bottom"/>
            <w:hideMark/>
          </w:tcPr>
          <w:p w14:paraId="7D7A96F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£61.02</w:t>
            </w:r>
          </w:p>
        </w:tc>
        <w:tc>
          <w:tcPr>
            <w:tcW w:w="0" w:type="auto"/>
            <w:shd w:val="clear" w:color="auto" w:fill="auto"/>
            <w:noWrap/>
            <w:vAlign w:val="bottom"/>
            <w:hideMark/>
          </w:tcPr>
          <w:p w14:paraId="62FFB40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139.35 </w:t>
            </w:r>
          </w:p>
        </w:tc>
        <w:tc>
          <w:tcPr>
            <w:tcW w:w="0" w:type="auto"/>
            <w:shd w:val="clear" w:color="auto" w:fill="auto"/>
            <w:noWrap/>
            <w:vAlign w:val="bottom"/>
            <w:hideMark/>
          </w:tcPr>
          <w:p w14:paraId="06A9CF3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3B7EB7E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0761499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£11,282</w:t>
            </w:r>
          </w:p>
        </w:tc>
        <w:tc>
          <w:tcPr>
            <w:tcW w:w="0" w:type="auto"/>
            <w:shd w:val="clear" w:color="auto" w:fill="auto"/>
            <w:noWrap/>
            <w:vAlign w:val="bottom"/>
            <w:hideMark/>
          </w:tcPr>
          <w:p w14:paraId="3A50322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£6,286.37</w:t>
            </w:r>
          </w:p>
        </w:tc>
      </w:tr>
      <w:tr w:rsidR="00B70405" w:rsidRPr="00B70405" w14:paraId="71B224C3" w14:textId="77777777" w:rsidTr="00B70405">
        <w:trPr>
          <w:trHeight w:val="300"/>
        </w:trPr>
        <w:tc>
          <w:tcPr>
            <w:tcW w:w="0" w:type="auto"/>
            <w:shd w:val="clear" w:color="auto" w:fill="auto"/>
            <w:vAlign w:val="center"/>
            <w:hideMark/>
          </w:tcPr>
          <w:p w14:paraId="17891F8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18</w:t>
            </w:r>
          </w:p>
        </w:tc>
        <w:tc>
          <w:tcPr>
            <w:tcW w:w="0" w:type="auto"/>
            <w:shd w:val="clear" w:color="auto" w:fill="auto"/>
            <w:noWrap/>
            <w:vAlign w:val="bottom"/>
            <w:hideMark/>
          </w:tcPr>
          <w:p w14:paraId="028BEDE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4D3207DD"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1364806F"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19FCFF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AF9B53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18AA805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600B20C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£15.07</w:t>
            </w:r>
          </w:p>
        </w:tc>
        <w:tc>
          <w:tcPr>
            <w:tcW w:w="0" w:type="auto"/>
            <w:shd w:val="clear" w:color="auto" w:fill="auto"/>
            <w:noWrap/>
            <w:vAlign w:val="bottom"/>
            <w:hideMark/>
          </w:tcPr>
          <w:p w14:paraId="25F5B74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15.07 </w:t>
            </w:r>
          </w:p>
        </w:tc>
        <w:tc>
          <w:tcPr>
            <w:tcW w:w="0" w:type="auto"/>
            <w:shd w:val="clear" w:color="auto" w:fill="auto"/>
            <w:noWrap/>
            <w:vAlign w:val="bottom"/>
            <w:hideMark/>
          </w:tcPr>
          <w:p w14:paraId="5E850D1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3153ED3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BC04A3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£457</w:t>
            </w:r>
          </w:p>
        </w:tc>
        <w:tc>
          <w:tcPr>
            <w:tcW w:w="0" w:type="auto"/>
            <w:shd w:val="clear" w:color="auto" w:fill="auto"/>
            <w:noWrap/>
            <w:vAlign w:val="bottom"/>
            <w:hideMark/>
          </w:tcPr>
          <w:p w14:paraId="1AEC2E1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£245.96</w:t>
            </w:r>
          </w:p>
        </w:tc>
      </w:tr>
      <w:tr w:rsidR="00B70405" w:rsidRPr="00B70405" w14:paraId="58957FE8" w14:textId="77777777" w:rsidTr="00B70405">
        <w:trPr>
          <w:trHeight w:val="300"/>
        </w:trPr>
        <w:tc>
          <w:tcPr>
            <w:tcW w:w="0" w:type="auto"/>
            <w:shd w:val="clear" w:color="auto" w:fill="auto"/>
            <w:noWrap/>
            <w:vAlign w:val="bottom"/>
            <w:hideMark/>
          </w:tcPr>
          <w:p w14:paraId="5A39544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19</w:t>
            </w:r>
          </w:p>
        </w:tc>
        <w:tc>
          <w:tcPr>
            <w:tcW w:w="0" w:type="auto"/>
            <w:shd w:val="clear" w:color="auto" w:fill="auto"/>
            <w:noWrap/>
            <w:vAlign w:val="bottom"/>
            <w:hideMark/>
          </w:tcPr>
          <w:p w14:paraId="6464441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Expansion Joints</w:t>
            </w:r>
          </w:p>
        </w:tc>
        <w:tc>
          <w:tcPr>
            <w:tcW w:w="0" w:type="auto"/>
            <w:shd w:val="clear" w:color="auto" w:fill="auto"/>
            <w:noWrap/>
            <w:vAlign w:val="bottom"/>
            <w:hideMark/>
          </w:tcPr>
          <w:p w14:paraId="759648E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Road Closure - Night</w:t>
            </w:r>
          </w:p>
        </w:tc>
        <w:tc>
          <w:tcPr>
            <w:tcW w:w="0" w:type="auto"/>
            <w:shd w:val="clear" w:color="auto" w:fill="auto"/>
            <w:noWrap/>
            <w:vAlign w:val="bottom"/>
            <w:hideMark/>
          </w:tcPr>
          <w:p w14:paraId="2177B87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w:t>
            </w:r>
          </w:p>
        </w:tc>
        <w:tc>
          <w:tcPr>
            <w:tcW w:w="0" w:type="auto"/>
            <w:shd w:val="clear" w:color="auto" w:fill="auto"/>
            <w:noWrap/>
            <w:vAlign w:val="bottom"/>
            <w:hideMark/>
          </w:tcPr>
          <w:p w14:paraId="08ED3C8D" w14:textId="3B1FFDED"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w:t>
            </w:r>
            <w:r w:rsidR="00CB59B2">
              <w:rPr>
                <w:rFonts w:ascii="Arial" w:eastAsia="Times New Roman" w:hAnsi="Arial" w:cs="Arial"/>
                <w:sz w:val="14"/>
                <w:szCs w:val="14"/>
                <w:lang w:eastAsia="en-GB"/>
              </w:rPr>
              <w:t>50</w:t>
            </w:r>
          </w:p>
        </w:tc>
        <w:tc>
          <w:tcPr>
            <w:tcW w:w="0" w:type="auto"/>
            <w:shd w:val="clear" w:color="auto" w:fill="auto"/>
            <w:noWrap/>
            <w:vAlign w:val="bottom"/>
            <w:hideMark/>
          </w:tcPr>
          <w:p w14:paraId="103895F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£400.95</w:t>
            </w:r>
          </w:p>
        </w:tc>
        <w:tc>
          <w:tcPr>
            <w:tcW w:w="0" w:type="auto"/>
            <w:shd w:val="clear" w:color="auto" w:fill="auto"/>
            <w:noWrap/>
            <w:vAlign w:val="bottom"/>
            <w:hideMark/>
          </w:tcPr>
          <w:p w14:paraId="65DEB73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7.29</w:t>
            </w:r>
          </w:p>
        </w:tc>
        <w:tc>
          <w:tcPr>
            <w:tcW w:w="0" w:type="auto"/>
            <w:shd w:val="clear" w:color="auto" w:fill="auto"/>
            <w:noWrap/>
            <w:vAlign w:val="bottom"/>
            <w:hideMark/>
          </w:tcPr>
          <w:p w14:paraId="2C26BA0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£657.81</w:t>
            </w:r>
          </w:p>
        </w:tc>
        <w:tc>
          <w:tcPr>
            <w:tcW w:w="0" w:type="auto"/>
            <w:shd w:val="clear" w:color="auto" w:fill="auto"/>
            <w:noWrap/>
            <w:vAlign w:val="bottom"/>
            <w:hideMark/>
          </w:tcPr>
          <w:p w14:paraId="64BC6A1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1,058.76 </w:t>
            </w:r>
          </w:p>
        </w:tc>
        <w:tc>
          <w:tcPr>
            <w:tcW w:w="0" w:type="auto"/>
            <w:vMerge w:val="restart"/>
            <w:shd w:val="clear" w:color="auto" w:fill="auto"/>
            <w:noWrap/>
            <w:vAlign w:val="bottom"/>
            <w:hideMark/>
          </w:tcPr>
          <w:p w14:paraId="2B3F381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3356CF1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2453D3A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£62,764</w:t>
            </w:r>
          </w:p>
        </w:tc>
        <w:tc>
          <w:tcPr>
            <w:tcW w:w="0" w:type="auto"/>
            <w:vMerge w:val="restart"/>
            <w:shd w:val="clear" w:color="auto" w:fill="auto"/>
            <w:noWrap/>
            <w:vAlign w:val="bottom"/>
            <w:hideMark/>
          </w:tcPr>
          <w:p w14:paraId="3EEB011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£32,646.94</w:t>
            </w:r>
          </w:p>
        </w:tc>
      </w:tr>
      <w:tr w:rsidR="00B70405" w:rsidRPr="00B70405" w14:paraId="7D48DB3F" w14:textId="77777777" w:rsidTr="00B70405">
        <w:trPr>
          <w:trHeight w:val="300"/>
        </w:trPr>
        <w:tc>
          <w:tcPr>
            <w:tcW w:w="0" w:type="auto"/>
            <w:shd w:val="clear" w:color="auto" w:fill="auto"/>
            <w:vAlign w:val="center"/>
            <w:hideMark/>
          </w:tcPr>
          <w:p w14:paraId="7A58DC1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19</w:t>
            </w:r>
          </w:p>
        </w:tc>
        <w:tc>
          <w:tcPr>
            <w:tcW w:w="0" w:type="auto"/>
            <w:shd w:val="clear" w:color="auto" w:fill="auto"/>
            <w:noWrap/>
            <w:vAlign w:val="bottom"/>
            <w:hideMark/>
          </w:tcPr>
          <w:p w14:paraId="3E00656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Access/ Walkways/ Gantries</w:t>
            </w:r>
          </w:p>
        </w:tc>
        <w:tc>
          <w:tcPr>
            <w:tcW w:w="0" w:type="auto"/>
            <w:shd w:val="clear" w:color="auto" w:fill="auto"/>
            <w:noWrap/>
            <w:vAlign w:val="bottom"/>
            <w:hideMark/>
          </w:tcPr>
          <w:p w14:paraId="303DFA0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54ACC1F1"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029922A1"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7D2396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6F1FA9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0.6</w:t>
            </w:r>
          </w:p>
        </w:tc>
        <w:tc>
          <w:tcPr>
            <w:tcW w:w="0" w:type="auto"/>
            <w:shd w:val="clear" w:color="auto" w:fill="auto"/>
            <w:noWrap/>
            <w:vAlign w:val="bottom"/>
            <w:hideMark/>
          </w:tcPr>
          <w:p w14:paraId="6C285F1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£54.14</w:t>
            </w:r>
          </w:p>
        </w:tc>
        <w:tc>
          <w:tcPr>
            <w:tcW w:w="0" w:type="auto"/>
            <w:shd w:val="clear" w:color="auto" w:fill="auto"/>
            <w:noWrap/>
            <w:vAlign w:val="bottom"/>
            <w:hideMark/>
          </w:tcPr>
          <w:p w14:paraId="63D480B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54.14 </w:t>
            </w:r>
          </w:p>
        </w:tc>
        <w:tc>
          <w:tcPr>
            <w:tcW w:w="0" w:type="auto"/>
            <w:vMerge/>
            <w:vAlign w:val="center"/>
            <w:hideMark/>
          </w:tcPr>
          <w:p w14:paraId="6A5BEA3D"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6336119B"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2C4E5348"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53DDC12E"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4E063E83" w14:textId="77777777" w:rsidTr="00B70405">
        <w:trPr>
          <w:trHeight w:val="300"/>
        </w:trPr>
        <w:tc>
          <w:tcPr>
            <w:tcW w:w="0" w:type="auto"/>
            <w:shd w:val="clear" w:color="auto" w:fill="auto"/>
            <w:vAlign w:val="center"/>
            <w:hideMark/>
          </w:tcPr>
          <w:p w14:paraId="6F10026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20</w:t>
            </w:r>
          </w:p>
        </w:tc>
        <w:tc>
          <w:tcPr>
            <w:tcW w:w="0" w:type="auto"/>
            <w:shd w:val="clear" w:color="auto" w:fill="auto"/>
            <w:noWrap/>
            <w:vAlign w:val="bottom"/>
            <w:hideMark/>
          </w:tcPr>
          <w:p w14:paraId="5439602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Concrete repairs to bearing plinth / shelf</w:t>
            </w:r>
          </w:p>
        </w:tc>
        <w:tc>
          <w:tcPr>
            <w:tcW w:w="0" w:type="auto"/>
            <w:shd w:val="clear" w:color="auto" w:fill="auto"/>
            <w:noWrap/>
            <w:vAlign w:val="bottom"/>
            <w:hideMark/>
          </w:tcPr>
          <w:p w14:paraId="382B2C5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6B519DF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3526C136"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ACF076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35C3C5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1.9</w:t>
            </w:r>
          </w:p>
        </w:tc>
        <w:tc>
          <w:tcPr>
            <w:tcW w:w="0" w:type="auto"/>
            <w:shd w:val="clear" w:color="auto" w:fill="auto"/>
            <w:noWrap/>
            <w:vAlign w:val="bottom"/>
            <w:hideMark/>
          </w:tcPr>
          <w:p w14:paraId="6483660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£174.03</w:t>
            </w:r>
          </w:p>
        </w:tc>
        <w:tc>
          <w:tcPr>
            <w:tcW w:w="0" w:type="auto"/>
            <w:shd w:val="clear" w:color="auto" w:fill="auto"/>
            <w:noWrap/>
            <w:vAlign w:val="bottom"/>
            <w:hideMark/>
          </w:tcPr>
          <w:p w14:paraId="1FED78D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174.03 </w:t>
            </w:r>
          </w:p>
        </w:tc>
        <w:tc>
          <w:tcPr>
            <w:tcW w:w="0" w:type="auto"/>
            <w:shd w:val="clear" w:color="auto" w:fill="auto"/>
            <w:noWrap/>
            <w:vAlign w:val="bottom"/>
            <w:hideMark/>
          </w:tcPr>
          <w:p w14:paraId="74411A8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00A3B21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22F4F32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£13,964</w:t>
            </w:r>
          </w:p>
        </w:tc>
        <w:tc>
          <w:tcPr>
            <w:tcW w:w="0" w:type="auto"/>
            <w:shd w:val="clear" w:color="auto" w:fill="auto"/>
            <w:noWrap/>
            <w:vAlign w:val="bottom"/>
            <w:hideMark/>
          </w:tcPr>
          <w:p w14:paraId="2A20F93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£7,017.79</w:t>
            </w:r>
          </w:p>
        </w:tc>
      </w:tr>
      <w:tr w:rsidR="00B70405" w:rsidRPr="00B70405" w14:paraId="190E2C8B" w14:textId="77777777" w:rsidTr="00B70405">
        <w:trPr>
          <w:trHeight w:val="300"/>
        </w:trPr>
        <w:tc>
          <w:tcPr>
            <w:tcW w:w="0" w:type="auto"/>
            <w:shd w:val="clear" w:color="auto" w:fill="auto"/>
            <w:noWrap/>
            <w:vAlign w:val="bottom"/>
            <w:hideMark/>
          </w:tcPr>
          <w:p w14:paraId="6099034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21</w:t>
            </w:r>
          </w:p>
        </w:tc>
        <w:tc>
          <w:tcPr>
            <w:tcW w:w="0" w:type="auto"/>
            <w:shd w:val="clear" w:color="auto" w:fill="auto"/>
            <w:noWrap/>
            <w:vAlign w:val="bottom"/>
            <w:hideMark/>
          </w:tcPr>
          <w:p w14:paraId="691F176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68D294A0"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19CAAC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2502FF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94C0B7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55FAE3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72AA53D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£15.77</w:t>
            </w:r>
          </w:p>
        </w:tc>
        <w:tc>
          <w:tcPr>
            <w:tcW w:w="0" w:type="auto"/>
            <w:shd w:val="clear" w:color="auto" w:fill="auto"/>
            <w:noWrap/>
            <w:vAlign w:val="bottom"/>
            <w:hideMark/>
          </w:tcPr>
          <w:p w14:paraId="0B5FF27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15.77 </w:t>
            </w:r>
          </w:p>
        </w:tc>
        <w:tc>
          <w:tcPr>
            <w:tcW w:w="0" w:type="auto"/>
            <w:shd w:val="clear" w:color="auto" w:fill="auto"/>
            <w:noWrap/>
            <w:vAlign w:val="bottom"/>
            <w:hideMark/>
          </w:tcPr>
          <w:p w14:paraId="7AE5AD7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583BF60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0F5A886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£457</w:t>
            </w:r>
          </w:p>
        </w:tc>
        <w:tc>
          <w:tcPr>
            <w:tcW w:w="0" w:type="auto"/>
            <w:shd w:val="clear" w:color="auto" w:fill="auto"/>
            <w:noWrap/>
            <w:vAlign w:val="bottom"/>
            <w:hideMark/>
          </w:tcPr>
          <w:p w14:paraId="1F303FD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£221.84</w:t>
            </w:r>
          </w:p>
        </w:tc>
      </w:tr>
      <w:tr w:rsidR="00B70405" w:rsidRPr="00B70405" w14:paraId="7976B770" w14:textId="77777777" w:rsidTr="00B70405">
        <w:trPr>
          <w:trHeight w:val="300"/>
        </w:trPr>
        <w:tc>
          <w:tcPr>
            <w:tcW w:w="0" w:type="auto"/>
            <w:shd w:val="clear" w:color="auto" w:fill="auto"/>
            <w:vAlign w:val="center"/>
            <w:hideMark/>
          </w:tcPr>
          <w:p w14:paraId="4FCF99A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22</w:t>
            </w:r>
          </w:p>
        </w:tc>
        <w:tc>
          <w:tcPr>
            <w:tcW w:w="0" w:type="auto"/>
            <w:shd w:val="clear" w:color="auto" w:fill="auto"/>
            <w:noWrap/>
            <w:vAlign w:val="bottom"/>
            <w:hideMark/>
          </w:tcPr>
          <w:p w14:paraId="6A4573C0"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5768AC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FB6E210"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60B5DA0"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D13867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11B2834"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09E20E9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4057479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6F627E2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308E7DE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6581CC5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3F88AD8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1D58D7FD" w14:textId="77777777" w:rsidTr="00B70405">
        <w:trPr>
          <w:trHeight w:val="300"/>
        </w:trPr>
        <w:tc>
          <w:tcPr>
            <w:tcW w:w="0" w:type="auto"/>
            <w:shd w:val="clear" w:color="auto" w:fill="auto"/>
            <w:noWrap/>
            <w:vAlign w:val="bottom"/>
            <w:hideMark/>
          </w:tcPr>
          <w:p w14:paraId="5A682CE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23</w:t>
            </w:r>
          </w:p>
        </w:tc>
        <w:tc>
          <w:tcPr>
            <w:tcW w:w="0" w:type="auto"/>
            <w:shd w:val="clear" w:color="auto" w:fill="auto"/>
            <w:noWrap/>
            <w:vAlign w:val="bottom"/>
            <w:hideMark/>
          </w:tcPr>
          <w:p w14:paraId="698EDB3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surfacing</w:t>
            </w:r>
          </w:p>
        </w:tc>
        <w:tc>
          <w:tcPr>
            <w:tcW w:w="0" w:type="auto"/>
            <w:shd w:val="clear" w:color="auto" w:fill="auto"/>
            <w:noWrap/>
            <w:vAlign w:val="bottom"/>
            <w:hideMark/>
          </w:tcPr>
          <w:p w14:paraId="287C327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Closure</w:t>
            </w:r>
          </w:p>
        </w:tc>
        <w:tc>
          <w:tcPr>
            <w:tcW w:w="0" w:type="auto"/>
            <w:shd w:val="clear" w:color="auto" w:fill="auto"/>
            <w:noWrap/>
            <w:vAlign w:val="bottom"/>
            <w:hideMark/>
          </w:tcPr>
          <w:p w14:paraId="3FA880CE"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3E62318F"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81402C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12BC7A1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0.11767</w:t>
            </w:r>
          </w:p>
        </w:tc>
        <w:tc>
          <w:tcPr>
            <w:tcW w:w="0" w:type="auto"/>
            <w:shd w:val="clear" w:color="auto" w:fill="auto"/>
            <w:noWrap/>
            <w:vAlign w:val="bottom"/>
            <w:hideMark/>
          </w:tcPr>
          <w:p w14:paraId="63A4BBB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£11.12</w:t>
            </w:r>
          </w:p>
        </w:tc>
        <w:tc>
          <w:tcPr>
            <w:tcW w:w="0" w:type="auto"/>
            <w:shd w:val="clear" w:color="auto" w:fill="auto"/>
            <w:noWrap/>
            <w:vAlign w:val="bottom"/>
            <w:hideMark/>
          </w:tcPr>
          <w:p w14:paraId="41C242E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11.12 </w:t>
            </w:r>
          </w:p>
        </w:tc>
        <w:tc>
          <w:tcPr>
            <w:tcW w:w="0" w:type="auto"/>
            <w:shd w:val="clear" w:color="auto" w:fill="auto"/>
            <w:noWrap/>
            <w:vAlign w:val="bottom"/>
            <w:hideMark/>
          </w:tcPr>
          <w:p w14:paraId="548CA50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32A4D27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82B0AE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£1,700</w:t>
            </w:r>
          </w:p>
        </w:tc>
        <w:tc>
          <w:tcPr>
            <w:tcW w:w="0" w:type="auto"/>
            <w:shd w:val="clear" w:color="auto" w:fill="auto"/>
            <w:noWrap/>
            <w:vAlign w:val="bottom"/>
            <w:hideMark/>
          </w:tcPr>
          <w:p w14:paraId="264E1A6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£770.76</w:t>
            </w:r>
          </w:p>
        </w:tc>
      </w:tr>
      <w:tr w:rsidR="00B70405" w:rsidRPr="00B70405" w14:paraId="674F3D68" w14:textId="77777777" w:rsidTr="00B70405">
        <w:trPr>
          <w:trHeight w:val="300"/>
        </w:trPr>
        <w:tc>
          <w:tcPr>
            <w:tcW w:w="0" w:type="auto"/>
            <w:shd w:val="clear" w:color="auto" w:fill="auto"/>
            <w:noWrap/>
            <w:vAlign w:val="bottom"/>
            <w:hideMark/>
          </w:tcPr>
          <w:p w14:paraId="7462B93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24</w:t>
            </w:r>
          </w:p>
        </w:tc>
        <w:tc>
          <w:tcPr>
            <w:tcW w:w="0" w:type="auto"/>
            <w:shd w:val="clear" w:color="auto" w:fill="auto"/>
            <w:noWrap/>
            <w:vAlign w:val="bottom"/>
            <w:hideMark/>
          </w:tcPr>
          <w:p w14:paraId="0A681E3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575BF67A"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E0B7FA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A2C577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2248CE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3F3E72D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59C8F57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£16.18</w:t>
            </w:r>
          </w:p>
        </w:tc>
        <w:tc>
          <w:tcPr>
            <w:tcW w:w="0" w:type="auto"/>
            <w:shd w:val="clear" w:color="auto" w:fill="auto"/>
            <w:noWrap/>
            <w:vAlign w:val="bottom"/>
            <w:hideMark/>
          </w:tcPr>
          <w:p w14:paraId="0D7E32D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16.18 </w:t>
            </w:r>
          </w:p>
        </w:tc>
        <w:tc>
          <w:tcPr>
            <w:tcW w:w="0" w:type="auto"/>
            <w:shd w:val="clear" w:color="auto" w:fill="auto"/>
            <w:noWrap/>
            <w:vAlign w:val="bottom"/>
            <w:hideMark/>
          </w:tcPr>
          <w:p w14:paraId="3D70728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1DE6E03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D346DC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£457</w:t>
            </w:r>
          </w:p>
        </w:tc>
        <w:tc>
          <w:tcPr>
            <w:tcW w:w="0" w:type="auto"/>
            <w:shd w:val="clear" w:color="auto" w:fill="auto"/>
            <w:noWrap/>
            <w:vAlign w:val="bottom"/>
            <w:hideMark/>
          </w:tcPr>
          <w:p w14:paraId="1F64564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£200.09</w:t>
            </w:r>
          </w:p>
        </w:tc>
      </w:tr>
      <w:tr w:rsidR="00B70405" w:rsidRPr="00B70405" w14:paraId="77313871" w14:textId="77777777" w:rsidTr="00B70405">
        <w:trPr>
          <w:trHeight w:val="300"/>
        </w:trPr>
        <w:tc>
          <w:tcPr>
            <w:tcW w:w="0" w:type="auto"/>
            <w:shd w:val="clear" w:color="auto" w:fill="auto"/>
            <w:noWrap/>
            <w:vAlign w:val="bottom"/>
            <w:hideMark/>
          </w:tcPr>
          <w:p w14:paraId="65F3A78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25</w:t>
            </w:r>
          </w:p>
        </w:tc>
        <w:tc>
          <w:tcPr>
            <w:tcW w:w="0" w:type="auto"/>
            <w:shd w:val="clear" w:color="auto" w:fill="auto"/>
            <w:noWrap/>
            <w:vAlign w:val="bottom"/>
            <w:hideMark/>
          </w:tcPr>
          <w:p w14:paraId="4F6EE3B2"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C2214F4"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28AC70E"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1034C03"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687E68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26A3C846"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446E93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5F6EB1C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4A64F3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6B39045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0568228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07021D7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3D026F84" w14:textId="77777777" w:rsidTr="00B70405">
        <w:trPr>
          <w:trHeight w:val="300"/>
        </w:trPr>
        <w:tc>
          <w:tcPr>
            <w:tcW w:w="0" w:type="auto"/>
            <w:shd w:val="clear" w:color="auto" w:fill="auto"/>
            <w:noWrap/>
            <w:vAlign w:val="bottom"/>
            <w:hideMark/>
          </w:tcPr>
          <w:p w14:paraId="364F3B9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26</w:t>
            </w:r>
          </w:p>
        </w:tc>
        <w:tc>
          <w:tcPr>
            <w:tcW w:w="0" w:type="auto"/>
            <w:shd w:val="clear" w:color="auto" w:fill="auto"/>
            <w:noWrap/>
            <w:vAlign w:val="bottom"/>
            <w:hideMark/>
          </w:tcPr>
          <w:p w14:paraId="18ACEE8A"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D47D4D6"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7BCF22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6A1B467"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492BA2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BFBF87A"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0C7854C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7F587AC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006C12F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4D21725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72B515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73DB3EB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1BEEEB62" w14:textId="77777777" w:rsidTr="00B70405">
        <w:trPr>
          <w:trHeight w:val="300"/>
        </w:trPr>
        <w:tc>
          <w:tcPr>
            <w:tcW w:w="0" w:type="auto"/>
            <w:shd w:val="clear" w:color="auto" w:fill="auto"/>
            <w:noWrap/>
            <w:vAlign w:val="bottom"/>
            <w:hideMark/>
          </w:tcPr>
          <w:p w14:paraId="217CDDD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27</w:t>
            </w:r>
          </w:p>
        </w:tc>
        <w:tc>
          <w:tcPr>
            <w:tcW w:w="0" w:type="auto"/>
            <w:shd w:val="clear" w:color="auto" w:fill="auto"/>
            <w:noWrap/>
            <w:vAlign w:val="bottom"/>
            <w:hideMark/>
          </w:tcPr>
          <w:p w14:paraId="4E5848F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2BF50CB8"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2F5BD84"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8746684"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48DAFA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4A9810A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46C49E7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£16.36</w:t>
            </w:r>
          </w:p>
        </w:tc>
        <w:tc>
          <w:tcPr>
            <w:tcW w:w="0" w:type="auto"/>
            <w:shd w:val="clear" w:color="auto" w:fill="auto"/>
            <w:noWrap/>
            <w:vAlign w:val="bottom"/>
            <w:hideMark/>
          </w:tcPr>
          <w:p w14:paraId="0000A22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16.36 </w:t>
            </w:r>
          </w:p>
        </w:tc>
        <w:tc>
          <w:tcPr>
            <w:tcW w:w="0" w:type="auto"/>
            <w:vMerge w:val="restart"/>
            <w:shd w:val="clear" w:color="auto" w:fill="auto"/>
            <w:noWrap/>
            <w:vAlign w:val="bottom"/>
            <w:hideMark/>
          </w:tcPr>
          <w:p w14:paraId="3359D1B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17CE422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5ECBB08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£21,854</w:t>
            </w:r>
          </w:p>
        </w:tc>
        <w:tc>
          <w:tcPr>
            <w:tcW w:w="0" w:type="auto"/>
            <w:vMerge w:val="restart"/>
            <w:shd w:val="clear" w:color="auto" w:fill="auto"/>
            <w:noWrap/>
            <w:vAlign w:val="bottom"/>
            <w:hideMark/>
          </w:tcPr>
          <w:p w14:paraId="4740CC6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£8,632.78</w:t>
            </w:r>
          </w:p>
        </w:tc>
      </w:tr>
      <w:tr w:rsidR="00B70405" w:rsidRPr="00B70405" w14:paraId="2418F863" w14:textId="77777777" w:rsidTr="00B70405">
        <w:trPr>
          <w:trHeight w:val="300"/>
        </w:trPr>
        <w:tc>
          <w:tcPr>
            <w:tcW w:w="0" w:type="auto"/>
            <w:shd w:val="clear" w:color="auto" w:fill="auto"/>
            <w:noWrap/>
            <w:vAlign w:val="bottom"/>
            <w:hideMark/>
          </w:tcPr>
          <w:p w14:paraId="37C8BF2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27</w:t>
            </w:r>
          </w:p>
        </w:tc>
        <w:tc>
          <w:tcPr>
            <w:tcW w:w="0" w:type="auto"/>
            <w:shd w:val="clear" w:color="auto" w:fill="auto"/>
            <w:noWrap/>
            <w:vAlign w:val="bottom"/>
            <w:hideMark/>
          </w:tcPr>
          <w:p w14:paraId="2B5A2FF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Expansion Joints</w:t>
            </w:r>
          </w:p>
        </w:tc>
        <w:tc>
          <w:tcPr>
            <w:tcW w:w="0" w:type="auto"/>
            <w:shd w:val="clear" w:color="auto" w:fill="auto"/>
            <w:noWrap/>
            <w:vAlign w:val="bottom"/>
            <w:hideMark/>
          </w:tcPr>
          <w:p w14:paraId="3DEF90D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Road Closure - Night</w:t>
            </w:r>
          </w:p>
        </w:tc>
        <w:tc>
          <w:tcPr>
            <w:tcW w:w="0" w:type="auto"/>
            <w:shd w:val="clear" w:color="auto" w:fill="auto"/>
            <w:noWrap/>
            <w:vAlign w:val="bottom"/>
            <w:hideMark/>
          </w:tcPr>
          <w:p w14:paraId="2A946E1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w:t>
            </w:r>
          </w:p>
        </w:tc>
        <w:tc>
          <w:tcPr>
            <w:tcW w:w="0" w:type="auto"/>
            <w:shd w:val="clear" w:color="auto" w:fill="auto"/>
            <w:noWrap/>
            <w:vAlign w:val="bottom"/>
            <w:hideMark/>
          </w:tcPr>
          <w:p w14:paraId="1B4FFDA3" w14:textId="7374D984"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2.7</w:t>
            </w:r>
            <w:r w:rsidR="00CB59B2">
              <w:rPr>
                <w:rFonts w:ascii="Arial" w:eastAsia="Times New Roman" w:hAnsi="Arial" w:cs="Arial"/>
                <w:sz w:val="14"/>
                <w:szCs w:val="14"/>
                <w:lang w:eastAsia="en-GB"/>
              </w:rPr>
              <w:t>8</w:t>
            </w:r>
          </w:p>
        </w:tc>
        <w:tc>
          <w:tcPr>
            <w:tcW w:w="0" w:type="auto"/>
            <w:shd w:val="clear" w:color="auto" w:fill="auto"/>
            <w:noWrap/>
            <w:vAlign w:val="bottom"/>
            <w:hideMark/>
          </w:tcPr>
          <w:p w14:paraId="66C2202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£266.13</w:t>
            </w:r>
          </w:p>
        </w:tc>
        <w:tc>
          <w:tcPr>
            <w:tcW w:w="0" w:type="auto"/>
            <w:shd w:val="clear" w:color="auto" w:fill="auto"/>
            <w:noWrap/>
            <w:vAlign w:val="bottom"/>
            <w:hideMark/>
          </w:tcPr>
          <w:p w14:paraId="4058F62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7.29</w:t>
            </w:r>
          </w:p>
        </w:tc>
        <w:tc>
          <w:tcPr>
            <w:tcW w:w="0" w:type="auto"/>
            <w:shd w:val="clear" w:color="auto" w:fill="auto"/>
            <w:noWrap/>
            <w:vAlign w:val="bottom"/>
            <w:hideMark/>
          </w:tcPr>
          <w:p w14:paraId="2FE8ED0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£701.70</w:t>
            </w:r>
          </w:p>
        </w:tc>
        <w:tc>
          <w:tcPr>
            <w:tcW w:w="0" w:type="auto"/>
            <w:shd w:val="clear" w:color="auto" w:fill="auto"/>
            <w:noWrap/>
            <w:vAlign w:val="bottom"/>
            <w:hideMark/>
          </w:tcPr>
          <w:p w14:paraId="15DAB0E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967.83 </w:t>
            </w:r>
          </w:p>
        </w:tc>
        <w:tc>
          <w:tcPr>
            <w:tcW w:w="0" w:type="auto"/>
            <w:vMerge/>
            <w:vAlign w:val="center"/>
            <w:hideMark/>
          </w:tcPr>
          <w:p w14:paraId="01C0D1E8"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5D4151CC"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2DEBF8DF"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50B753DC"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728B63E7" w14:textId="77777777" w:rsidTr="00B70405">
        <w:trPr>
          <w:trHeight w:val="300"/>
        </w:trPr>
        <w:tc>
          <w:tcPr>
            <w:tcW w:w="0" w:type="auto"/>
            <w:shd w:val="clear" w:color="auto" w:fill="auto"/>
            <w:noWrap/>
            <w:vAlign w:val="bottom"/>
            <w:hideMark/>
          </w:tcPr>
          <w:p w14:paraId="6CFDC32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28</w:t>
            </w:r>
          </w:p>
        </w:tc>
        <w:tc>
          <w:tcPr>
            <w:tcW w:w="0" w:type="auto"/>
            <w:shd w:val="clear" w:color="auto" w:fill="auto"/>
            <w:noWrap/>
            <w:vAlign w:val="bottom"/>
            <w:hideMark/>
          </w:tcPr>
          <w:p w14:paraId="5E34C38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Renew waterproofing</w:t>
            </w:r>
          </w:p>
        </w:tc>
        <w:tc>
          <w:tcPr>
            <w:tcW w:w="0" w:type="auto"/>
            <w:shd w:val="clear" w:color="auto" w:fill="auto"/>
            <w:noWrap/>
            <w:vAlign w:val="bottom"/>
            <w:hideMark/>
          </w:tcPr>
          <w:p w14:paraId="293DDE6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Contraflow</w:t>
            </w:r>
          </w:p>
        </w:tc>
        <w:tc>
          <w:tcPr>
            <w:tcW w:w="0" w:type="auto"/>
            <w:shd w:val="clear" w:color="auto" w:fill="auto"/>
            <w:noWrap/>
            <w:vAlign w:val="bottom"/>
            <w:hideMark/>
          </w:tcPr>
          <w:p w14:paraId="4589A60D"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CB42700"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649028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29F261C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6.2</w:t>
            </w:r>
          </w:p>
        </w:tc>
        <w:tc>
          <w:tcPr>
            <w:tcW w:w="0" w:type="auto"/>
            <w:shd w:val="clear" w:color="auto" w:fill="auto"/>
            <w:noWrap/>
            <w:vAlign w:val="bottom"/>
            <w:hideMark/>
          </w:tcPr>
          <w:p w14:paraId="529E421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£597.36</w:t>
            </w:r>
          </w:p>
        </w:tc>
        <w:tc>
          <w:tcPr>
            <w:tcW w:w="0" w:type="auto"/>
            <w:shd w:val="clear" w:color="auto" w:fill="auto"/>
            <w:noWrap/>
            <w:vAlign w:val="bottom"/>
            <w:hideMark/>
          </w:tcPr>
          <w:p w14:paraId="1C59958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597.36 </w:t>
            </w:r>
          </w:p>
        </w:tc>
        <w:tc>
          <w:tcPr>
            <w:tcW w:w="0" w:type="auto"/>
            <w:vMerge w:val="restart"/>
            <w:shd w:val="clear" w:color="auto" w:fill="auto"/>
            <w:noWrap/>
            <w:vAlign w:val="bottom"/>
            <w:hideMark/>
          </w:tcPr>
          <w:p w14:paraId="33C9AEC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5B4339F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3D12EC7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£455,972</w:t>
            </w:r>
          </w:p>
        </w:tc>
        <w:tc>
          <w:tcPr>
            <w:tcW w:w="0" w:type="auto"/>
            <w:vMerge w:val="restart"/>
            <w:shd w:val="clear" w:color="auto" w:fill="auto"/>
            <w:noWrap/>
            <w:vAlign w:val="bottom"/>
            <w:hideMark/>
          </w:tcPr>
          <w:p w14:paraId="1A05FB6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£174,023.52</w:t>
            </w:r>
          </w:p>
        </w:tc>
      </w:tr>
      <w:tr w:rsidR="00B70405" w:rsidRPr="00B70405" w14:paraId="13648800" w14:textId="77777777" w:rsidTr="00B70405">
        <w:trPr>
          <w:trHeight w:val="300"/>
        </w:trPr>
        <w:tc>
          <w:tcPr>
            <w:tcW w:w="0" w:type="auto"/>
            <w:shd w:val="clear" w:color="auto" w:fill="auto"/>
            <w:noWrap/>
            <w:vAlign w:val="bottom"/>
            <w:hideMark/>
          </w:tcPr>
          <w:p w14:paraId="688496E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28</w:t>
            </w:r>
          </w:p>
        </w:tc>
        <w:tc>
          <w:tcPr>
            <w:tcW w:w="0" w:type="auto"/>
            <w:shd w:val="clear" w:color="auto" w:fill="auto"/>
            <w:noWrap/>
            <w:vAlign w:val="bottom"/>
            <w:hideMark/>
          </w:tcPr>
          <w:p w14:paraId="419E94E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Bearings</w:t>
            </w:r>
          </w:p>
        </w:tc>
        <w:tc>
          <w:tcPr>
            <w:tcW w:w="0" w:type="auto"/>
            <w:shd w:val="clear" w:color="auto" w:fill="auto"/>
            <w:noWrap/>
            <w:vAlign w:val="bottom"/>
            <w:hideMark/>
          </w:tcPr>
          <w:p w14:paraId="7BC3527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0F3F4BF7"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0A52072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7E8C3B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7A878C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22.825</w:t>
            </w:r>
          </w:p>
        </w:tc>
        <w:tc>
          <w:tcPr>
            <w:tcW w:w="0" w:type="auto"/>
            <w:shd w:val="clear" w:color="auto" w:fill="auto"/>
            <w:noWrap/>
            <w:vAlign w:val="bottom"/>
            <w:hideMark/>
          </w:tcPr>
          <w:p w14:paraId="652E407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£2,199.16</w:t>
            </w:r>
          </w:p>
        </w:tc>
        <w:tc>
          <w:tcPr>
            <w:tcW w:w="0" w:type="auto"/>
            <w:shd w:val="clear" w:color="auto" w:fill="auto"/>
            <w:noWrap/>
            <w:vAlign w:val="bottom"/>
            <w:hideMark/>
          </w:tcPr>
          <w:p w14:paraId="3A6BC45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2,199.16 </w:t>
            </w:r>
          </w:p>
        </w:tc>
        <w:tc>
          <w:tcPr>
            <w:tcW w:w="0" w:type="auto"/>
            <w:vMerge/>
            <w:vAlign w:val="center"/>
            <w:hideMark/>
          </w:tcPr>
          <w:p w14:paraId="5358E0ED"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13B9C655"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58FA6360"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18C33211"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2C1D4A36" w14:textId="77777777" w:rsidTr="00B70405">
        <w:trPr>
          <w:trHeight w:val="300"/>
        </w:trPr>
        <w:tc>
          <w:tcPr>
            <w:tcW w:w="0" w:type="auto"/>
            <w:shd w:val="clear" w:color="auto" w:fill="auto"/>
            <w:noWrap/>
            <w:vAlign w:val="bottom"/>
            <w:hideMark/>
          </w:tcPr>
          <w:p w14:paraId="12C228F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28</w:t>
            </w:r>
          </w:p>
        </w:tc>
        <w:tc>
          <w:tcPr>
            <w:tcW w:w="0" w:type="auto"/>
            <w:shd w:val="clear" w:color="auto" w:fill="auto"/>
            <w:noWrap/>
            <w:vAlign w:val="bottom"/>
            <w:hideMark/>
          </w:tcPr>
          <w:p w14:paraId="3DAA51B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Metalwork repairs to deck bracing</w:t>
            </w:r>
          </w:p>
        </w:tc>
        <w:tc>
          <w:tcPr>
            <w:tcW w:w="0" w:type="auto"/>
            <w:shd w:val="clear" w:color="auto" w:fill="auto"/>
            <w:noWrap/>
            <w:vAlign w:val="bottom"/>
            <w:hideMark/>
          </w:tcPr>
          <w:p w14:paraId="4A0DA5F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08A5797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4F3241B8"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610081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4013F2F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0.74</w:t>
            </w:r>
          </w:p>
        </w:tc>
        <w:tc>
          <w:tcPr>
            <w:tcW w:w="0" w:type="auto"/>
            <w:shd w:val="clear" w:color="auto" w:fill="auto"/>
            <w:noWrap/>
            <w:vAlign w:val="bottom"/>
            <w:hideMark/>
          </w:tcPr>
          <w:p w14:paraId="585CAA9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£71.30</w:t>
            </w:r>
          </w:p>
        </w:tc>
        <w:tc>
          <w:tcPr>
            <w:tcW w:w="0" w:type="auto"/>
            <w:shd w:val="clear" w:color="auto" w:fill="auto"/>
            <w:noWrap/>
            <w:vAlign w:val="bottom"/>
            <w:hideMark/>
          </w:tcPr>
          <w:p w14:paraId="76088FC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71.30 </w:t>
            </w:r>
          </w:p>
        </w:tc>
        <w:tc>
          <w:tcPr>
            <w:tcW w:w="0" w:type="auto"/>
            <w:vMerge/>
            <w:vAlign w:val="center"/>
            <w:hideMark/>
          </w:tcPr>
          <w:p w14:paraId="417FF4D2"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64DFF321"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7E7F26D4"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6F019E28"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770F5E4A" w14:textId="77777777" w:rsidTr="00B70405">
        <w:trPr>
          <w:trHeight w:val="300"/>
        </w:trPr>
        <w:tc>
          <w:tcPr>
            <w:tcW w:w="0" w:type="auto"/>
            <w:shd w:val="clear" w:color="auto" w:fill="auto"/>
            <w:noWrap/>
            <w:vAlign w:val="bottom"/>
            <w:hideMark/>
          </w:tcPr>
          <w:p w14:paraId="7AB4BFD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29</w:t>
            </w:r>
          </w:p>
        </w:tc>
        <w:tc>
          <w:tcPr>
            <w:tcW w:w="0" w:type="auto"/>
            <w:shd w:val="clear" w:color="auto" w:fill="auto"/>
            <w:noWrap/>
            <w:vAlign w:val="bottom"/>
            <w:hideMark/>
          </w:tcPr>
          <w:p w14:paraId="032FE310"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F26956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63DAFC3"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78CB08B"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B5DA32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24812A2"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1FFD56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5EAA905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506FE46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6F99D68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BC7B8B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3806C70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5D1F067B" w14:textId="77777777" w:rsidTr="00B70405">
        <w:trPr>
          <w:trHeight w:val="300"/>
        </w:trPr>
        <w:tc>
          <w:tcPr>
            <w:tcW w:w="0" w:type="auto"/>
            <w:shd w:val="clear" w:color="auto" w:fill="auto"/>
            <w:noWrap/>
            <w:vAlign w:val="bottom"/>
            <w:hideMark/>
          </w:tcPr>
          <w:p w14:paraId="23A146E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30</w:t>
            </w:r>
          </w:p>
        </w:tc>
        <w:tc>
          <w:tcPr>
            <w:tcW w:w="0" w:type="auto"/>
            <w:shd w:val="clear" w:color="auto" w:fill="auto"/>
            <w:noWrap/>
            <w:vAlign w:val="bottom"/>
            <w:hideMark/>
          </w:tcPr>
          <w:p w14:paraId="7D29D5D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Carriageway repairs</w:t>
            </w:r>
          </w:p>
        </w:tc>
        <w:tc>
          <w:tcPr>
            <w:tcW w:w="0" w:type="auto"/>
            <w:shd w:val="clear" w:color="auto" w:fill="auto"/>
            <w:noWrap/>
            <w:vAlign w:val="bottom"/>
            <w:hideMark/>
          </w:tcPr>
          <w:p w14:paraId="48FEB09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Lane Closures</w:t>
            </w:r>
          </w:p>
        </w:tc>
        <w:tc>
          <w:tcPr>
            <w:tcW w:w="0" w:type="auto"/>
            <w:shd w:val="clear" w:color="auto" w:fill="auto"/>
            <w:noWrap/>
            <w:vAlign w:val="bottom"/>
            <w:hideMark/>
          </w:tcPr>
          <w:p w14:paraId="6DC87B8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w:t>
            </w:r>
          </w:p>
        </w:tc>
        <w:tc>
          <w:tcPr>
            <w:tcW w:w="0" w:type="auto"/>
            <w:shd w:val="clear" w:color="auto" w:fill="auto"/>
            <w:noWrap/>
            <w:vAlign w:val="bottom"/>
            <w:hideMark/>
          </w:tcPr>
          <w:p w14:paraId="3F379D25" w14:textId="24572806"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0.4</w:t>
            </w:r>
            <w:r w:rsidR="00CB59B2">
              <w:rPr>
                <w:rFonts w:ascii="Arial" w:eastAsia="Times New Roman" w:hAnsi="Arial" w:cs="Arial"/>
                <w:sz w:val="14"/>
                <w:szCs w:val="14"/>
                <w:lang w:eastAsia="en-GB"/>
              </w:rPr>
              <w:t>5</w:t>
            </w:r>
          </w:p>
        </w:tc>
        <w:tc>
          <w:tcPr>
            <w:tcW w:w="0" w:type="auto"/>
            <w:shd w:val="clear" w:color="auto" w:fill="auto"/>
            <w:noWrap/>
            <w:vAlign w:val="bottom"/>
            <w:hideMark/>
          </w:tcPr>
          <w:p w14:paraId="539469C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£43.05</w:t>
            </w:r>
          </w:p>
        </w:tc>
        <w:tc>
          <w:tcPr>
            <w:tcW w:w="0" w:type="auto"/>
            <w:shd w:val="clear" w:color="auto" w:fill="auto"/>
            <w:noWrap/>
            <w:vAlign w:val="bottom"/>
            <w:hideMark/>
          </w:tcPr>
          <w:p w14:paraId="7FAB199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0.70233</w:t>
            </w:r>
          </w:p>
        </w:tc>
        <w:tc>
          <w:tcPr>
            <w:tcW w:w="0" w:type="auto"/>
            <w:shd w:val="clear" w:color="auto" w:fill="auto"/>
            <w:noWrap/>
            <w:vAlign w:val="bottom"/>
            <w:hideMark/>
          </w:tcPr>
          <w:p w14:paraId="620179F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£67.56</w:t>
            </w:r>
          </w:p>
        </w:tc>
        <w:tc>
          <w:tcPr>
            <w:tcW w:w="0" w:type="auto"/>
            <w:shd w:val="clear" w:color="auto" w:fill="auto"/>
            <w:noWrap/>
            <w:vAlign w:val="bottom"/>
            <w:hideMark/>
          </w:tcPr>
          <w:p w14:paraId="6DB0D6E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110.61 </w:t>
            </w:r>
          </w:p>
        </w:tc>
        <w:tc>
          <w:tcPr>
            <w:tcW w:w="0" w:type="auto"/>
            <w:vMerge w:val="restart"/>
            <w:shd w:val="clear" w:color="auto" w:fill="auto"/>
            <w:noWrap/>
            <w:vAlign w:val="bottom"/>
            <w:hideMark/>
          </w:tcPr>
          <w:p w14:paraId="3431B53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7201A92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44C3943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£11,474</w:t>
            </w:r>
          </w:p>
        </w:tc>
        <w:tc>
          <w:tcPr>
            <w:tcW w:w="0" w:type="auto"/>
            <w:vMerge w:val="restart"/>
            <w:shd w:val="clear" w:color="auto" w:fill="auto"/>
            <w:noWrap/>
            <w:vAlign w:val="bottom"/>
            <w:hideMark/>
          </w:tcPr>
          <w:p w14:paraId="1E19C17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£4,087.78</w:t>
            </w:r>
          </w:p>
        </w:tc>
      </w:tr>
      <w:tr w:rsidR="00B70405" w:rsidRPr="00B70405" w14:paraId="0949AD16" w14:textId="77777777" w:rsidTr="00B70405">
        <w:trPr>
          <w:trHeight w:val="300"/>
        </w:trPr>
        <w:tc>
          <w:tcPr>
            <w:tcW w:w="0" w:type="auto"/>
            <w:shd w:val="clear" w:color="auto" w:fill="auto"/>
            <w:noWrap/>
            <w:vAlign w:val="bottom"/>
            <w:hideMark/>
          </w:tcPr>
          <w:p w14:paraId="0A48953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30</w:t>
            </w:r>
          </w:p>
        </w:tc>
        <w:tc>
          <w:tcPr>
            <w:tcW w:w="0" w:type="auto"/>
            <w:shd w:val="clear" w:color="auto" w:fill="auto"/>
            <w:noWrap/>
            <w:vAlign w:val="bottom"/>
            <w:hideMark/>
          </w:tcPr>
          <w:p w14:paraId="1D924F5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10FA2143"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66DAAF5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E85E96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2573EB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80D3AA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7E9032D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£16.35</w:t>
            </w:r>
          </w:p>
        </w:tc>
        <w:tc>
          <w:tcPr>
            <w:tcW w:w="0" w:type="auto"/>
            <w:shd w:val="clear" w:color="auto" w:fill="auto"/>
            <w:noWrap/>
            <w:vAlign w:val="bottom"/>
            <w:hideMark/>
          </w:tcPr>
          <w:p w14:paraId="7CFC67C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16.35 </w:t>
            </w:r>
          </w:p>
        </w:tc>
        <w:tc>
          <w:tcPr>
            <w:tcW w:w="0" w:type="auto"/>
            <w:vMerge/>
            <w:vAlign w:val="center"/>
            <w:hideMark/>
          </w:tcPr>
          <w:p w14:paraId="7A273F18"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4EAC8643"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4BA78CA2"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75CB09F3"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088B9EBC" w14:textId="77777777" w:rsidTr="00B70405">
        <w:trPr>
          <w:trHeight w:val="300"/>
        </w:trPr>
        <w:tc>
          <w:tcPr>
            <w:tcW w:w="0" w:type="auto"/>
            <w:shd w:val="clear" w:color="auto" w:fill="auto"/>
            <w:noWrap/>
            <w:vAlign w:val="bottom"/>
            <w:hideMark/>
          </w:tcPr>
          <w:p w14:paraId="6A81D79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31</w:t>
            </w:r>
          </w:p>
        </w:tc>
        <w:tc>
          <w:tcPr>
            <w:tcW w:w="0" w:type="auto"/>
            <w:shd w:val="clear" w:color="auto" w:fill="auto"/>
            <w:noWrap/>
            <w:vAlign w:val="bottom"/>
            <w:hideMark/>
          </w:tcPr>
          <w:p w14:paraId="1237C6D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Repair Parapet Handrail/ Parapets/ Safety Fences</w:t>
            </w:r>
          </w:p>
        </w:tc>
        <w:tc>
          <w:tcPr>
            <w:tcW w:w="0" w:type="auto"/>
            <w:shd w:val="clear" w:color="auto" w:fill="auto"/>
            <w:noWrap/>
            <w:vAlign w:val="bottom"/>
            <w:hideMark/>
          </w:tcPr>
          <w:p w14:paraId="00D3246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Closure</w:t>
            </w:r>
          </w:p>
        </w:tc>
        <w:tc>
          <w:tcPr>
            <w:tcW w:w="0" w:type="auto"/>
            <w:shd w:val="clear" w:color="auto" w:fill="auto"/>
            <w:noWrap/>
            <w:vAlign w:val="bottom"/>
            <w:hideMark/>
          </w:tcPr>
          <w:p w14:paraId="3F287383"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0DE4383E"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74E64B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579765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3.74</w:t>
            </w:r>
          </w:p>
        </w:tc>
        <w:tc>
          <w:tcPr>
            <w:tcW w:w="0" w:type="auto"/>
            <w:shd w:val="clear" w:color="auto" w:fill="auto"/>
            <w:noWrap/>
            <w:vAlign w:val="bottom"/>
            <w:hideMark/>
          </w:tcPr>
          <w:p w14:paraId="7FBD257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£417.24</w:t>
            </w:r>
          </w:p>
        </w:tc>
        <w:tc>
          <w:tcPr>
            <w:tcW w:w="0" w:type="auto"/>
            <w:shd w:val="clear" w:color="auto" w:fill="auto"/>
            <w:noWrap/>
            <w:vAlign w:val="bottom"/>
            <w:hideMark/>
          </w:tcPr>
          <w:p w14:paraId="1652515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417.24 </w:t>
            </w:r>
          </w:p>
        </w:tc>
        <w:tc>
          <w:tcPr>
            <w:tcW w:w="0" w:type="auto"/>
            <w:shd w:val="clear" w:color="auto" w:fill="auto"/>
            <w:noWrap/>
            <w:vAlign w:val="bottom"/>
            <w:hideMark/>
          </w:tcPr>
          <w:p w14:paraId="6F07690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0A54CCA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23C8CA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£25,141</w:t>
            </w:r>
          </w:p>
        </w:tc>
        <w:tc>
          <w:tcPr>
            <w:tcW w:w="0" w:type="auto"/>
            <w:shd w:val="clear" w:color="auto" w:fill="auto"/>
            <w:noWrap/>
            <w:vAlign w:val="bottom"/>
            <w:hideMark/>
          </w:tcPr>
          <w:p w14:paraId="17ED601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£10,056.13</w:t>
            </w:r>
          </w:p>
        </w:tc>
      </w:tr>
      <w:tr w:rsidR="00B70405" w:rsidRPr="00B70405" w14:paraId="1F73AD16" w14:textId="77777777" w:rsidTr="00B70405">
        <w:trPr>
          <w:trHeight w:val="300"/>
        </w:trPr>
        <w:tc>
          <w:tcPr>
            <w:tcW w:w="0" w:type="auto"/>
            <w:shd w:val="clear" w:color="auto" w:fill="auto"/>
            <w:noWrap/>
            <w:vAlign w:val="bottom"/>
            <w:hideMark/>
          </w:tcPr>
          <w:p w14:paraId="6F55400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32</w:t>
            </w:r>
          </w:p>
        </w:tc>
        <w:tc>
          <w:tcPr>
            <w:tcW w:w="0" w:type="auto"/>
            <w:shd w:val="clear" w:color="auto" w:fill="auto"/>
            <w:noWrap/>
            <w:vAlign w:val="bottom"/>
            <w:hideMark/>
          </w:tcPr>
          <w:p w14:paraId="34853890"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5D7A9D3"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D9B08B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FAA91D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DA925C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5D1BA400"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086F8A5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3A19F1A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057B42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0FA665D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D9E2C7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381BD97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63FDF73B" w14:textId="77777777" w:rsidTr="00B70405">
        <w:trPr>
          <w:trHeight w:val="300"/>
        </w:trPr>
        <w:tc>
          <w:tcPr>
            <w:tcW w:w="0" w:type="auto"/>
            <w:shd w:val="clear" w:color="auto" w:fill="auto"/>
            <w:noWrap/>
            <w:vAlign w:val="bottom"/>
            <w:hideMark/>
          </w:tcPr>
          <w:p w14:paraId="33C3F79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33</w:t>
            </w:r>
          </w:p>
        </w:tc>
        <w:tc>
          <w:tcPr>
            <w:tcW w:w="0" w:type="auto"/>
            <w:shd w:val="clear" w:color="auto" w:fill="auto"/>
            <w:noWrap/>
            <w:vAlign w:val="bottom"/>
            <w:hideMark/>
          </w:tcPr>
          <w:p w14:paraId="7FFD2F9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2F17C3B8"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3DBC3A18"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90D72CC"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3F9F24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6D02C2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2B3A2A3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£19.02</w:t>
            </w:r>
          </w:p>
        </w:tc>
        <w:tc>
          <w:tcPr>
            <w:tcW w:w="0" w:type="auto"/>
            <w:shd w:val="clear" w:color="auto" w:fill="auto"/>
            <w:noWrap/>
            <w:vAlign w:val="bottom"/>
            <w:hideMark/>
          </w:tcPr>
          <w:p w14:paraId="717217E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19.02 </w:t>
            </w:r>
          </w:p>
        </w:tc>
        <w:tc>
          <w:tcPr>
            <w:tcW w:w="0" w:type="auto"/>
            <w:shd w:val="clear" w:color="auto" w:fill="auto"/>
            <w:noWrap/>
            <w:vAlign w:val="bottom"/>
            <w:hideMark/>
          </w:tcPr>
          <w:p w14:paraId="410B10C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608F1D1F"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6D5D1A0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£457</w:t>
            </w:r>
          </w:p>
        </w:tc>
        <w:tc>
          <w:tcPr>
            <w:tcW w:w="0" w:type="auto"/>
            <w:shd w:val="clear" w:color="auto" w:fill="auto"/>
            <w:noWrap/>
            <w:vAlign w:val="bottom"/>
            <w:hideMark/>
          </w:tcPr>
          <w:p w14:paraId="27BBA03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£172.25</w:t>
            </w:r>
          </w:p>
        </w:tc>
      </w:tr>
      <w:tr w:rsidR="00B70405" w:rsidRPr="00B70405" w14:paraId="4113E240" w14:textId="77777777" w:rsidTr="00B70405">
        <w:trPr>
          <w:trHeight w:val="300"/>
        </w:trPr>
        <w:tc>
          <w:tcPr>
            <w:tcW w:w="0" w:type="auto"/>
            <w:shd w:val="clear" w:color="auto" w:fill="auto"/>
            <w:noWrap/>
            <w:vAlign w:val="bottom"/>
            <w:hideMark/>
          </w:tcPr>
          <w:p w14:paraId="2102747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34</w:t>
            </w:r>
          </w:p>
        </w:tc>
        <w:tc>
          <w:tcPr>
            <w:tcW w:w="0" w:type="auto"/>
            <w:shd w:val="clear" w:color="auto" w:fill="auto"/>
            <w:noWrap/>
            <w:vAlign w:val="bottom"/>
            <w:hideMark/>
          </w:tcPr>
          <w:p w14:paraId="7639DD0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Access/ Walkways/ Gantries</w:t>
            </w:r>
          </w:p>
        </w:tc>
        <w:tc>
          <w:tcPr>
            <w:tcW w:w="0" w:type="auto"/>
            <w:shd w:val="clear" w:color="auto" w:fill="auto"/>
            <w:noWrap/>
            <w:vAlign w:val="bottom"/>
            <w:hideMark/>
          </w:tcPr>
          <w:p w14:paraId="24E053E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4D002F38"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1B2050D0"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1C8EA6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53D4EC5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0.6</w:t>
            </w:r>
          </w:p>
        </w:tc>
        <w:tc>
          <w:tcPr>
            <w:tcW w:w="0" w:type="auto"/>
            <w:shd w:val="clear" w:color="auto" w:fill="auto"/>
            <w:noWrap/>
            <w:vAlign w:val="bottom"/>
            <w:hideMark/>
          </w:tcPr>
          <w:p w14:paraId="2A7AF88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£67.13</w:t>
            </w:r>
          </w:p>
        </w:tc>
        <w:tc>
          <w:tcPr>
            <w:tcW w:w="0" w:type="auto"/>
            <w:shd w:val="clear" w:color="auto" w:fill="auto"/>
            <w:noWrap/>
            <w:vAlign w:val="bottom"/>
            <w:hideMark/>
          </w:tcPr>
          <w:p w14:paraId="4A9C4A3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67.13 </w:t>
            </w:r>
          </w:p>
        </w:tc>
        <w:tc>
          <w:tcPr>
            <w:tcW w:w="0" w:type="auto"/>
            <w:shd w:val="clear" w:color="auto" w:fill="auto"/>
            <w:noWrap/>
            <w:vAlign w:val="bottom"/>
            <w:hideMark/>
          </w:tcPr>
          <w:p w14:paraId="68D852F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4DF4651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3D5F6A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£41,101</w:t>
            </w:r>
          </w:p>
        </w:tc>
        <w:tc>
          <w:tcPr>
            <w:tcW w:w="0" w:type="auto"/>
            <w:shd w:val="clear" w:color="auto" w:fill="auto"/>
            <w:noWrap/>
            <w:vAlign w:val="bottom"/>
            <w:hideMark/>
          </w:tcPr>
          <w:p w14:paraId="3263FDF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£15,044.76</w:t>
            </w:r>
          </w:p>
        </w:tc>
      </w:tr>
      <w:tr w:rsidR="00B70405" w:rsidRPr="00B70405" w14:paraId="037217EF" w14:textId="77777777" w:rsidTr="00B70405">
        <w:trPr>
          <w:trHeight w:val="300"/>
        </w:trPr>
        <w:tc>
          <w:tcPr>
            <w:tcW w:w="0" w:type="auto"/>
            <w:shd w:val="clear" w:color="auto" w:fill="auto"/>
            <w:noWrap/>
            <w:vAlign w:val="bottom"/>
            <w:hideMark/>
          </w:tcPr>
          <w:p w14:paraId="32DB771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35</w:t>
            </w:r>
          </w:p>
        </w:tc>
        <w:tc>
          <w:tcPr>
            <w:tcW w:w="0" w:type="auto"/>
            <w:shd w:val="clear" w:color="auto" w:fill="auto"/>
            <w:noWrap/>
            <w:vAlign w:val="bottom"/>
            <w:hideMark/>
          </w:tcPr>
          <w:p w14:paraId="2874458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Expansion Joints</w:t>
            </w:r>
          </w:p>
        </w:tc>
        <w:tc>
          <w:tcPr>
            <w:tcW w:w="0" w:type="auto"/>
            <w:shd w:val="clear" w:color="auto" w:fill="auto"/>
            <w:noWrap/>
            <w:vAlign w:val="bottom"/>
            <w:hideMark/>
          </w:tcPr>
          <w:p w14:paraId="0F9D4C2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Road Closure - Night</w:t>
            </w:r>
          </w:p>
        </w:tc>
        <w:tc>
          <w:tcPr>
            <w:tcW w:w="0" w:type="auto"/>
            <w:shd w:val="clear" w:color="auto" w:fill="auto"/>
            <w:noWrap/>
            <w:vAlign w:val="bottom"/>
            <w:hideMark/>
          </w:tcPr>
          <w:p w14:paraId="207E44E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w:t>
            </w:r>
          </w:p>
        </w:tc>
        <w:tc>
          <w:tcPr>
            <w:tcW w:w="0" w:type="auto"/>
            <w:shd w:val="clear" w:color="auto" w:fill="auto"/>
            <w:noWrap/>
            <w:vAlign w:val="bottom"/>
            <w:hideMark/>
          </w:tcPr>
          <w:p w14:paraId="27267DF5"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0ABAD54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3C94E44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7.29</w:t>
            </w:r>
          </w:p>
        </w:tc>
        <w:tc>
          <w:tcPr>
            <w:tcW w:w="0" w:type="auto"/>
            <w:shd w:val="clear" w:color="auto" w:fill="auto"/>
            <w:noWrap/>
            <w:vAlign w:val="bottom"/>
            <w:hideMark/>
          </w:tcPr>
          <w:p w14:paraId="370554D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£814.92</w:t>
            </w:r>
          </w:p>
        </w:tc>
        <w:tc>
          <w:tcPr>
            <w:tcW w:w="0" w:type="auto"/>
            <w:shd w:val="clear" w:color="auto" w:fill="auto"/>
            <w:noWrap/>
            <w:vAlign w:val="bottom"/>
            <w:hideMark/>
          </w:tcPr>
          <w:p w14:paraId="6293F9D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814.92 </w:t>
            </w:r>
          </w:p>
        </w:tc>
        <w:tc>
          <w:tcPr>
            <w:tcW w:w="0" w:type="auto"/>
            <w:shd w:val="clear" w:color="auto" w:fill="auto"/>
            <w:noWrap/>
            <w:vAlign w:val="bottom"/>
            <w:hideMark/>
          </w:tcPr>
          <w:p w14:paraId="61E5A3F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41D057A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0BEA2F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£21,663</w:t>
            </w:r>
          </w:p>
        </w:tc>
        <w:tc>
          <w:tcPr>
            <w:tcW w:w="0" w:type="auto"/>
            <w:shd w:val="clear" w:color="auto" w:fill="auto"/>
            <w:noWrap/>
            <w:vAlign w:val="bottom"/>
            <w:hideMark/>
          </w:tcPr>
          <w:p w14:paraId="5C7EB1A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£7,698.64</w:t>
            </w:r>
          </w:p>
        </w:tc>
      </w:tr>
      <w:tr w:rsidR="00B70405" w:rsidRPr="00B70405" w14:paraId="605C232D" w14:textId="77777777" w:rsidTr="00B70405">
        <w:trPr>
          <w:trHeight w:val="300"/>
        </w:trPr>
        <w:tc>
          <w:tcPr>
            <w:tcW w:w="0" w:type="auto"/>
            <w:shd w:val="clear" w:color="auto" w:fill="auto"/>
            <w:noWrap/>
            <w:vAlign w:val="bottom"/>
            <w:hideMark/>
          </w:tcPr>
          <w:p w14:paraId="4B0CCB2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36</w:t>
            </w:r>
          </w:p>
        </w:tc>
        <w:tc>
          <w:tcPr>
            <w:tcW w:w="0" w:type="auto"/>
            <w:shd w:val="clear" w:color="auto" w:fill="auto"/>
            <w:noWrap/>
            <w:vAlign w:val="bottom"/>
            <w:hideMark/>
          </w:tcPr>
          <w:p w14:paraId="44DA216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surfacing</w:t>
            </w:r>
          </w:p>
        </w:tc>
        <w:tc>
          <w:tcPr>
            <w:tcW w:w="0" w:type="auto"/>
            <w:shd w:val="clear" w:color="auto" w:fill="auto"/>
            <w:noWrap/>
            <w:vAlign w:val="bottom"/>
            <w:hideMark/>
          </w:tcPr>
          <w:p w14:paraId="7F4174B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Closure</w:t>
            </w:r>
          </w:p>
        </w:tc>
        <w:tc>
          <w:tcPr>
            <w:tcW w:w="0" w:type="auto"/>
            <w:shd w:val="clear" w:color="auto" w:fill="auto"/>
            <w:noWrap/>
            <w:vAlign w:val="bottom"/>
            <w:hideMark/>
          </w:tcPr>
          <w:p w14:paraId="0D287990"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64CC4960"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C27CD5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DFCE71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0.11767</w:t>
            </w:r>
          </w:p>
        </w:tc>
        <w:tc>
          <w:tcPr>
            <w:tcW w:w="0" w:type="auto"/>
            <w:shd w:val="clear" w:color="auto" w:fill="auto"/>
            <w:noWrap/>
            <w:vAlign w:val="bottom"/>
            <w:hideMark/>
          </w:tcPr>
          <w:p w14:paraId="1A3ADD9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£13.13</w:t>
            </w:r>
          </w:p>
        </w:tc>
        <w:tc>
          <w:tcPr>
            <w:tcW w:w="0" w:type="auto"/>
            <w:shd w:val="clear" w:color="auto" w:fill="auto"/>
            <w:noWrap/>
            <w:vAlign w:val="bottom"/>
            <w:hideMark/>
          </w:tcPr>
          <w:p w14:paraId="5F548B9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13.13 </w:t>
            </w:r>
          </w:p>
        </w:tc>
        <w:tc>
          <w:tcPr>
            <w:tcW w:w="0" w:type="auto"/>
            <w:vMerge w:val="restart"/>
            <w:shd w:val="clear" w:color="auto" w:fill="auto"/>
            <w:noWrap/>
            <w:vAlign w:val="bottom"/>
            <w:hideMark/>
          </w:tcPr>
          <w:p w14:paraId="497C7C4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47B931E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26BCFB0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£2,016</w:t>
            </w:r>
          </w:p>
        </w:tc>
        <w:tc>
          <w:tcPr>
            <w:tcW w:w="0" w:type="auto"/>
            <w:vMerge w:val="restart"/>
            <w:shd w:val="clear" w:color="auto" w:fill="auto"/>
            <w:noWrap/>
            <w:vAlign w:val="bottom"/>
            <w:hideMark/>
          </w:tcPr>
          <w:p w14:paraId="3AF83D8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£695.47</w:t>
            </w:r>
          </w:p>
        </w:tc>
      </w:tr>
      <w:tr w:rsidR="00B70405" w:rsidRPr="00B70405" w14:paraId="18CBED49" w14:textId="77777777" w:rsidTr="00B70405">
        <w:trPr>
          <w:trHeight w:val="300"/>
        </w:trPr>
        <w:tc>
          <w:tcPr>
            <w:tcW w:w="0" w:type="auto"/>
            <w:shd w:val="clear" w:color="auto" w:fill="auto"/>
            <w:noWrap/>
            <w:vAlign w:val="bottom"/>
            <w:hideMark/>
          </w:tcPr>
          <w:p w14:paraId="49BE60B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36</w:t>
            </w:r>
          </w:p>
        </w:tc>
        <w:tc>
          <w:tcPr>
            <w:tcW w:w="0" w:type="auto"/>
            <w:shd w:val="clear" w:color="auto" w:fill="auto"/>
            <w:noWrap/>
            <w:vAlign w:val="bottom"/>
            <w:hideMark/>
          </w:tcPr>
          <w:p w14:paraId="279157D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0DE3F3FB"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D1396FB"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394213A"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4CBACA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4AA480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7399D61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£18.97</w:t>
            </w:r>
          </w:p>
        </w:tc>
        <w:tc>
          <w:tcPr>
            <w:tcW w:w="0" w:type="auto"/>
            <w:shd w:val="clear" w:color="auto" w:fill="auto"/>
            <w:noWrap/>
            <w:vAlign w:val="bottom"/>
            <w:hideMark/>
          </w:tcPr>
          <w:p w14:paraId="6FB7D86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18.97 </w:t>
            </w:r>
          </w:p>
        </w:tc>
        <w:tc>
          <w:tcPr>
            <w:tcW w:w="0" w:type="auto"/>
            <w:vMerge/>
            <w:vAlign w:val="center"/>
            <w:hideMark/>
          </w:tcPr>
          <w:p w14:paraId="7AF58E01"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3955AB2F"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2694F66E"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3BBE90F5"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1E53DC84" w14:textId="77777777" w:rsidTr="00B70405">
        <w:trPr>
          <w:trHeight w:val="300"/>
        </w:trPr>
        <w:tc>
          <w:tcPr>
            <w:tcW w:w="0" w:type="auto"/>
            <w:shd w:val="clear" w:color="auto" w:fill="auto"/>
            <w:noWrap/>
            <w:vAlign w:val="bottom"/>
            <w:hideMark/>
          </w:tcPr>
          <w:p w14:paraId="625ABAA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37</w:t>
            </w:r>
          </w:p>
        </w:tc>
        <w:tc>
          <w:tcPr>
            <w:tcW w:w="0" w:type="auto"/>
            <w:shd w:val="clear" w:color="auto" w:fill="auto"/>
            <w:noWrap/>
            <w:vAlign w:val="bottom"/>
            <w:hideMark/>
          </w:tcPr>
          <w:p w14:paraId="4DB8385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Concrete repairs to bearing plinth / shelf</w:t>
            </w:r>
          </w:p>
        </w:tc>
        <w:tc>
          <w:tcPr>
            <w:tcW w:w="0" w:type="auto"/>
            <w:shd w:val="clear" w:color="auto" w:fill="auto"/>
            <w:noWrap/>
            <w:vAlign w:val="bottom"/>
            <w:hideMark/>
          </w:tcPr>
          <w:p w14:paraId="2F55617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79896E4B"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28591F7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E1816F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D36685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1.9</w:t>
            </w:r>
          </w:p>
        </w:tc>
        <w:tc>
          <w:tcPr>
            <w:tcW w:w="0" w:type="auto"/>
            <w:shd w:val="clear" w:color="auto" w:fill="auto"/>
            <w:noWrap/>
            <w:vAlign w:val="bottom"/>
            <w:hideMark/>
          </w:tcPr>
          <w:p w14:paraId="2B4E6ED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£211.54</w:t>
            </w:r>
          </w:p>
        </w:tc>
        <w:tc>
          <w:tcPr>
            <w:tcW w:w="0" w:type="auto"/>
            <w:shd w:val="clear" w:color="auto" w:fill="auto"/>
            <w:noWrap/>
            <w:vAlign w:val="bottom"/>
            <w:hideMark/>
          </w:tcPr>
          <w:p w14:paraId="7AFFB4E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211.54 </w:t>
            </w:r>
          </w:p>
        </w:tc>
        <w:tc>
          <w:tcPr>
            <w:tcW w:w="0" w:type="auto"/>
            <w:shd w:val="clear" w:color="auto" w:fill="auto"/>
            <w:noWrap/>
            <w:vAlign w:val="bottom"/>
            <w:hideMark/>
          </w:tcPr>
          <w:p w14:paraId="3ECAF61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0B501FB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BDC470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£13,964</w:t>
            </w:r>
          </w:p>
        </w:tc>
        <w:tc>
          <w:tcPr>
            <w:tcW w:w="0" w:type="auto"/>
            <w:shd w:val="clear" w:color="auto" w:fill="auto"/>
            <w:noWrap/>
            <w:vAlign w:val="bottom"/>
            <w:hideMark/>
          </w:tcPr>
          <w:p w14:paraId="6C9EACB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£4,677.67</w:t>
            </w:r>
          </w:p>
        </w:tc>
      </w:tr>
      <w:tr w:rsidR="00B70405" w:rsidRPr="00B70405" w14:paraId="06C5E647" w14:textId="77777777" w:rsidTr="00B70405">
        <w:trPr>
          <w:trHeight w:val="300"/>
        </w:trPr>
        <w:tc>
          <w:tcPr>
            <w:tcW w:w="0" w:type="auto"/>
            <w:shd w:val="clear" w:color="auto" w:fill="auto"/>
            <w:noWrap/>
            <w:vAlign w:val="bottom"/>
            <w:hideMark/>
          </w:tcPr>
          <w:p w14:paraId="123F821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38</w:t>
            </w:r>
          </w:p>
        </w:tc>
        <w:tc>
          <w:tcPr>
            <w:tcW w:w="0" w:type="auto"/>
            <w:shd w:val="clear" w:color="auto" w:fill="auto"/>
            <w:noWrap/>
            <w:vAlign w:val="bottom"/>
            <w:hideMark/>
          </w:tcPr>
          <w:p w14:paraId="296F0A98"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3F6395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801B8EF"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52080DE"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AFC888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50EB8FA"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20DB140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0F9D30A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C5F7EA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1689E72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4375253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0020D63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7315009A" w14:textId="77777777" w:rsidTr="00B70405">
        <w:trPr>
          <w:trHeight w:val="300"/>
        </w:trPr>
        <w:tc>
          <w:tcPr>
            <w:tcW w:w="0" w:type="auto"/>
            <w:shd w:val="clear" w:color="auto" w:fill="auto"/>
            <w:noWrap/>
            <w:vAlign w:val="bottom"/>
            <w:hideMark/>
          </w:tcPr>
          <w:p w14:paraId="711FE86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39</w:t>
            </w:r>
          </w:p>
        </w:tc>
        <w:tc>
          <w:tcPr>
            <w:tcW w:w="0" w:type="auto"/>
            <w:shd w:val="clear" w:color="auto" w:fill="auto"/>
            <w:noWrap/>
            <w:vAlign w:val="bottom"/>
            <w:hideMark/>
          </w:tcPr>
          <w:p w14:paraId="702422A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35536BC4"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C5A101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6287D61"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A5EB41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E30165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15D52F9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£18.80</w:t>
            </w:r>
          </w:p>
        </w:tc>
        <w:tc>
          <w:tcPr>
            <w:tcW w:w="0" w:type="auto"/>
            <w:shd w:val="clear" w:color="auto" w:fill="auto"/>
            <w:noWrap/>
            <w:vAlign w:val="bottom"/>
            <w:hideMark/>
          </w:tcPr>
          <w:p w14:paraId="2E8E972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18.80 </w:t>
            </w:r>
          </w:p>
        </w:tc>
        <w:tc>
          <w:tcPr>
            <w:tcW w:w="0" w:type="auto"/>
            <w:shd w:val="clear" w:color="auto" w:fill="auto"/>
            <w:noWrap/>
            <w:vAlign w:val="bottom"/>
            <w:hideMark/>
          </w:tcPr>
          <w:p w14:paraId="2F4AA0D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5D085B5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24A554F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£457</w:t>
            </w:r>
          </w:p>
        </w:tc>
        <w:tc>
          <w:tcPr>
            <w:tcW w:w="0" w:type="auto"/>
            <w:shd w:val="clear" w:color="auto" w:fill="auto"/>
            <w:noWrap/>
            <w:vAlign w:val="bottom"/>
            <w:hideMark/>
          </w:tcPr>
          <w:p w14:paraId="75B9C70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£144.26</w:t>
            </w:r>
          </w:p>
        </w:tc>
      </w:tr>
      <w:tr w:rsidR="00B70405" w:rsidRPr="00B70405" w14:paraId="3F69A9DD" w14:textId="77777777" w:rsidTr="00B70405">
        <w:trPr>
          <w:trHeight w:val="300"/>
        </w:trPr>
        <w:tc>
          <w:tcPr>
            <w:tcW w:w="0" w:type="auto"/>
            <w:shd w:val="clear" w:color="auto" w:fill="auto"/>
            <w:noWrap/>
            <w:vAlign w:val="bottom"/>
            <w:hideMark/>
          </w:tcPr>
          <w:p w14:paraId="07C5027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40</w:t>
            </w:r>
          </w:p>
        </w:tc>
        <w:tc>
          <w:tcPr>
            <w:tcW w:w="0" w:type="auto"/>
            <w:shd w:val="clear" w:color="auto" w:fill="auto"/>
            <w:noWrap/>
            <w:vAlign w:val="bottom"/>
            <w:hideMark/>
          </w:tcPr>
          <w:p w14:paraId="2BFC6613"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CE4AE63"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C02CA61"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21AD0D7"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9CAADA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1F73FE6A"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3FF3E4D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0A9E54F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72E20D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3FAE5F7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F90912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081C440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2C16F5B1" w14:textId="77777777" w:rsidTr="00B70405">
        <w:trPr>
          <w:trHeight w:val="300"/>
        </w:trPr>
        <w:tc>
          <w:tcPr>
            <w:tcW w:w="0" w:type="auto"/>
            <w:shd w:val="clear" w:color="auto" w:fill="auto"/>
            <w:noWrap/>
            <w:vAlign w:val="bottom"/>
            <w:hideMark/>
          </w:tcPr>
          <w:p w14:paraId="53A6526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41</w:t>
            </w:r>
          </w:p>
        </w:tc>
        <w:tc>
          <w:tcPr>
            <w:tcW w:w="0" w:type="auto"/>
            <w:shd w:val="clear" w:color="auto" w:fill="auto"/>
            <w:noWrap/>
            <w:vAlign w:val="bottom"/>
            <w:hideMark/>
          </w:tcPr>
          <w:p w14:paraId="2EB458CB"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7BF24A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AED403A"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AC5E80E"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5644C0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23C4CA49"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4F91192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0C7FB83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ACA691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622EC57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75B2B5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3F9AAE2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607262FB" w14:textId="77777777" w:rsidTr="00B70405">
        <w:trPr>
          <w:trHeight w:val="300"/>
        </w:trPr>
        <w:tc>
          <w:tcPr>
            <w:tcW w:w="0" w:type="auto"/>
            <w:shd w:val="clear" w:color="auto" w:fill="auto"/>
            <w:noWrap/>
            <w:vAlign w:val="bottom"/>
            <w:hideMark/>
          </w:tcPr>
          <w:p w14:paraId="07DC48A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42</w:t>
            </w:r>
          </w:p>
        </w:tc>
        <w:tc>
          <w:tcPr>
            <w:tcW w:w="0" w:type="auto"/>
            <w:shd w:val="clear" w:color="auto" w:fill="auto"/>
            <w:noWrap/>
            <w:vAlign w:val="bottom"/>
            <w:hideMark/>
          </w:tcPr>
          <w:p w14:paraId="28DB7E0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077F23E5"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3390CF00"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561FF6D"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B90DCE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F78524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75F85F8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£18.10</w:t>
            </w:r>
          </w:p>
        </w:tc>
        <w:tc>
          <w:tcPr>
            <w:tcW w:w="0" w:type="auto"/>
            <w:shd w:val="clear" w:color="auto" w:fill="auto"/>
            <w:noWrap/>
            <w:vAlign w:val="bottom"/>
            <w:hideMark/>
          </w:tcPr>
          <w:p w14:paraId="5474B44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18.10 </w:t>
            </w:r>
          </w:p>
        </w:tc>
        <w:tc>
          <w:tcPr>
            <w:tcW w:w="0" w:type="auto"/>
            <w:shd w:val="clear" w:color="auto" w:fill="auto"/>
            <w:noWrap/>
            <w:vAlign w:val="bottom"/>
            <w:hideMark/>
          </w:tcPr>
          <w:p w14:paraId="1C33D3B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0B4EE75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6D0E64E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£457</w:t>
            </w:r>
          </w:p>
        </w:tc>
        <w:tc>
          <w:tcPr>
            <w:tcW w:w="0" w:type="auto"/>
            <w:shd w:val="clear" w:color="auto" w:fill="auto"/>
            <w:noWrap/>
            <w:vAlign w:val="bottom"/>
            <w:hideMark/>
          </w:tcPr>
          <w:p w14:paraId="5C41B96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£132.02</w:t>
            </w:r>
          </w:p>
        </w:tc>
      </w:tr>
      <w:tr w:rsidR="00B70405" w:rsidRPr="00B70405" w14:paraId="5B440B3A" w14:textId="77777777" w:rsidTr="00B70405">
        <w:trPr>
          <w:trHeight w:val="300"/>
        </w:trPr>
        <w:tc>
          <w:tcPr>
            <w:tcW w:w="0" w:type="auto"/>
            <w:shd w:val="clear" w:color="auto" w:fill="auto"/>
            <w:noWrap/>
            <w:vAlign w:val="bottom"/>
            <w:hideMark/>
          </w:tcPr>
          <w:p w14:paraId="1F4C2AB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43</w:t>
            </w:r>
          </w:p>
        </w:tc>
        <w:tc>
          <w:tcPr>
            <w:tcW w:w="0" w:type="auto"/>
            <w:shd w:val="clear" w:color="auto" w:fill="auto"/>
            <w:noWrap/>
            <w:vAlign w:val="bottom"/>
            <w:hideMark/>
          </w:tcPr>
          <w:p w14:paraId="480FD87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Carriageway repairs</w:t>
            </w:r>
          </w:p>
        </w:tc>
        <w:tc>
          <w:tcPr>
            <w:tcW w:w="0" w:type="auto"/>
            <w:shd w:val="clear" w:color="auto" w:fill="auto"/>
            <w:noWrap/>
            <w:vAlign w:val="bottom"/>
            <w:hideMark/>
          </w:tcPr>
          <w:p w14:paraId="22F1391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Lane Closures</w:t>
            </w:r>
          </w:p>
        </w:tc>
        <w:tc>
          <w:tcPr>
            <w:tcW w:w="0" w:type="auto"/>
            <w:shd w:val="clear" w:color="auto" w:fill="auto"/>
            <w:noWrap/>
            <w:vAlign w:val="bottom"/>
            <w:hideMark/>
          </w:tcPr>
          <w:p w14:paraId="1B27B64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w:t>
            </w:r>
          </w:p>
        </w:tc>
        <w:tc>
          <w:tcPr>
            <w:tcW w:w="0" w:type="auto"/>
            <w:shd w:val="clear" w:color="auto" w:fill="auto"/>
            <w:noWrap/>
            <w:vAlign w:val="bottom"/>
            <w:hideMark/>
          </w:tcPr>
          <w:p w14:paraId="5D882E29"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4C5FC47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110106D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0.70233</w:t>
            </w:r>
          </w:p>
        </w:tc>
        <w:tc>
          <w:tcPr>
            <w:tcW w:w="0" w:type="auto"/>
            <w:shd w:val="clear" w:color="auto" w:fill="auto"/>
            <w:noWrap/>
            <w:vAlign w:val="bottom"/>
            <w:hideMark/>
          </w:tcPr>
          <w:p w14:paraId="6F6F1D8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£73.55</w:t>
            </w:r>
          </w:p>
        </w:tc>
        <w:tc>
          <w:tcPr>
            <w:tcW w:w="0" w:type="auto"/>
            <w:shd w:val="clear" w:color="auto" w:fill="auto"/>
            <w:noWrap/>
            <w:vAlign w:val="bottom"/>
            <w:hideMark/>
          </w:tcPr>
          <w:p w14:paraId="14CC6DD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73.55 </w:t>
            </w:r>
          </w:p>
        </w:tc>
        <w:tc>
          <w:tcPr>
            <w:tcW w:w="0" w:type="auto"/>
            <w:vMerge w:val="restart"/>
            <w:shd w:val="clear" w:color="auto" w:fill="auto"/>
            <w:noWrap/>
            <w:vAlign w:val="bottom"/>
            <w:hideMark/>
          </w:tcPr>
          <w:p w14:paraId="019F2BD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5260F92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6D42E2D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£31,740</w:t>
            </w:r>
          </w:p>
        </w:tc>
        <w:tc>
          <w:tcPr>
            <w:tcW w:w="0" w:type="auto"/>
            <w:vMerge w:val="restart"/>
            <w:shd w:val="clear" w:color="auto" w:fill="auto"/>
            <w:noWrap/>
            <w:vAlign w:val="bottom"/>
            <w:hideMark/>
          </w:tcPr>
          <w:p w14:paraId="3A048A8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£8,904.37</w:t>
            </w:r>
          </w:p>
        </w:tc>
      </w:tr>
      <w:tr w:rsidR="00B70405" w:rsidRPr="00B70405" w14:paraId="67DFB008" w14:textId="77777777" w:rsidTr="00B70405">
        <w:trPr>
          <w:trHeight w:val="300"/>
        </w:trPr>
        <w:tc>
          <w:tcPr>
            <w:tcW w:w="0" w:type="auto"/>
            <w:shd w:val="clear" w:color="auto" w:fill="auto"/>
            <w:noWrap/>
            <w:vAlign w:val="bottom"/>
            <w:hideMark/>
          </w:tcPr>
          <w:p w14:paraId="5C6F9F4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43</w:t>
            </w:r>
          </w:p>
        </w:tc>
        <w:tc>
          <w:tcPr>
            <w:tcW w:w="0" w:type="auto"/>
            <w:shd w:val="clear" w:color="auto" w:fill="auto"/>
            <w:noWrap/>
            <w:vAlign w:val="bottom"/>
            <w:hideMark/>
          </w:tcPr>
          <w:p w14:paraId="413DBC7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Expansion Joints</w:t>
            </w:r>
          </w:p>
        </w:tc>
        <w:tc>
          <w:tcPr>
            <w:tcW w:w="0" w:type="auto"/>
            <w:shd w:val="clear" w:color="auto" w:fill="auto"/>
            <w:noWrap/>
            <w:vAlign w:val="bottom"/>
            <w:hideMark/>
          </w:tcPr>
          <w:p w14:paraId="7873BCA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Road Closure - Night</w:t>
            </w:r>
          </w:p>
        </w:tc>
        <w:tc>
          <w:tcPr>
            <w:tcW w:w="0" w:type="auto"/>
            <w:shd w:val="clear" w:color="auto" w:fill="auto"/>
            <w:noWrap/>
            <w:vAlign w:val="bottom"/>
            <w:hideMark/>
          </w:tcPr>
          <w:p w14:paraId="0B193EF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w:t>
            </w:r>
          </w:p>
        </w:tc>
        <w:tc>
          <w:tcPr>
            <w:tcW w:w="0" w:type="auto"/>
            <w:shd w:val="clear" w:color="auto" w:fill="auto"/>
            <w:noWrap/>
            <w:vAlign w:val="bottom"/>
            <w:hideMark/>
          </w:tcPr>
          <w:p w14:paraId="62906928"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91F19E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193225E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7.29</w:t>
            </w:r>
          </w:p>
        </w:tc>
        <w:tc>
          <w:tcPr>
            <w:tcW w:w="0" w:type="auto"/>
            <w:shd w:val="clear" w:color="auto" w:fill="auto"/>
            <w:noWrap/>
            <w:vAlign w:val="bottom"/>
            <w:hideMark/>
          </w:tcPr>
          <w:p w14:paraId="33E537C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£763.41</w:t>
            </w:r>
          </w:p>
        </w:tc>
        <w:tc>
          <w:tcPr>
            <w:tcW w:w="0" w:type="auto"/>
            <w:shd w:val="clear" w:color="auto" w:fill="auto"/>
            <w:noWrap/>
            <w:vAlign w:val="bottom"/>
            <w:hideMark/>
          </w:tcPr>
          <w:p w14:paraId="7B9AC3B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763.41 </w:t>
            </w:r>
          </w:p>
        </w:tc>
        <w:tc>
          <w:tcPr>
            <w:tcW w:w="0" w:type="auto"/>
            <w:vMerge/>
            <w:vAlign w:val="center"/>
            <w:hideMark/>
          </w:tcPr>
          <w:p w14:paraId="7B52E9D7"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36E1DD4F"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11F3F173"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568282C5"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29D3C7D3" w14:textId="77777777" w:rsidTr="00B70405">
        <w:trPr>
          <w:trHeight w:val="300"/>
        </w:trPr>
        <w:tc>
          <w:tcPr>
            <w:tcW w:w="0" w:type="auto"/>
            <w:shd w:val="clear" w:color="auto" w:fill="auto"/>
            <w:noWrap/>
            <w:vAlign w:val="bottom"/>
            <w:hideMark/>
          </w:tcPr>
          <w:p w14:paraId="0B71156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44</w:t>
            </w:r>
          </w:p>
        </w:tc>
        <w:tc>
          <w:tcPr>
            <w:tcW w:w="0" w:type="auto"/>
            <w:shd w:val="clear" w:color="auto" w:fill="auto"/>
            <w:noWrap/>
            <w:vAlign w:val="bottom"/>
            <w:hideMark/>
          </w:tcPr>
          <w:p w14:paraId="0C4EB284"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22317DE"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757760A"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1584808"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2D0320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481CD9B7"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15D915C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4425340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6249EE5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4949A53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2953595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7D9720D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07AC38BC" w14:textId="77777777" w:rsidTr="00B70405">
        <w:trPr>
          <w:trHeight w:val="300"/>
        </w:trPr>
        <w:tc>
          <w:tcPr>
            <w:tcW w:w="0" w:type="auto"/>
            <w:shd w:val="clear" w:color="auto" w:fill="auto"/>
            <w:noWrap/>
            <w:vAlign w:val="bottom"/>
            <w:hideMark/>
          </w:tcPr>
          <w:p w14:paraId="3CA5BCE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45</w:t>
            </w:r>
          </w:p>
        </w:tc>
        <w:tc>
          <w:tcPr>
            <w:tcW w:w="0" w:type="auto"/>
            <w:shd w:val="clear" w:color="auto" w:fill="auto"/>
            <w:noWrap/>
            <w:vAlign w:val="bottom"/>
            <w:hideMark/>
          </w:tcPr>
          <w:p w14:paraId="3D4C95D4"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E1CAA6D"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CC2EB37"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CC6921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8DF78F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03051D3"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08C0116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4B6858B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D21069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770727C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688DAB1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£457</w:t>
            </w:r>
          </w:p>
        </w:tc>
        <w:tc>
          <w:tcPr>
            <w:tcW w:w="0" w:type="auto"/>
            <w:shd w:val="clear" w:color="auto" w:fill="auto"/>
            <w:noWrap/>
            <w:vAlign w:val="bottom"/>
            <w:hideMark/>
          </w:tcPr>
          <w:p w14:paraId="1DE8D12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£120.82</w:t>
            </w:r>
          </w:p>
        </w:tc>
      </w:tr>
      <w:tr w:rsidR="00B70405" w:rsidRPr="00B70405" w14:paraId="7079B4EA" w14:textId="77777777" w:rsidTr="00B70405">
        <w:trPr>
          <w:trHeight w:val="300"/>
        </w:trPr>
        <w:tc>
          <w:tcPr>
            <w:tcW w:w="0" w:type="auto"/>
            <w:shd w:val="clear" w:color="auto" w:fill="auto"/>
            <w:noWrap/>
            <w:vAlign w:val="bottom"/>
            <w:hideMark/>
          </w:tcPr>
          <w:p w14:paraId="750931E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46</w:t>
            </w:r>
          </w:p>
        </w:tc>
        <w:tc>
          <w:tcPr>
            <w:tcW w:w="0" w:type="auto"/>
            <w:shd w:val="clear" w:color="auto" w:fill="auto"/>
            <w:noWrap/>
            <w:vAlign w:val="bottom"/>
            <w:hideMark/>
          </w:tcPr>
          <w:p w14:paraId="7CCD42B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698441D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11DF92BB"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90CC26F"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98C068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5BE21EB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0CC2020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£16.91</w:t>
            </w:r>
          </w:p>
        </w:tc>
        <w:tc>
          <w:tcPr>
            <w:tcW w:w="0" w:type="auto"/>
            <w:shd w:val="clear" w:color="auto" w:fill="auto"/>
            <w:noWrap/>
            <w:vAlign w:val="bottom"/>
            <w:hideMark/>
          </w:tcPr>
          <w:p w14:paraId="09D426A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16.91 </w:t>
            </w:r>
          </w:p>
        </w:tc>
        <w:tc>
          <w:tcPr>
            <w:tcW w:w="0" w:type="auto"/>
            <w:shd w:val="clear" w:color="auto" w:fill="auto"/>
            <w:noWrap/>
            <w:vAlign w:val="bottom"/>
            <w:hideMark/>
          </w:tcPr>
          <w:p w14:paraId="2ADA936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1E56AB7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DFDD40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0DBB961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1BABC0F0" w14:textId="77777777" w:rsidTr="00B70405">
        <w:trPr>
          <w:trHeight w:val="300"/>
        </w:trPr>
        <w:tc>
          <w:tcPr>
            <w:tcW w:w="0" w:type="auto"/>
            <w:shd w:val="clear" w:color="auto" w:fill="auto"/>
            <w:noWrap/>
            <w:vAlign w:val="bottom"/>
            <w:hideMark/>
          </w:tcPr>
          <w:p w14:paraId="081E569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47</w:t>
            </w:r>
          </w:p>
        </w:tc>
        <w:tc>
          <w:tcPr>
            <w:tcW w:w="0" w:type="auto"/>
            <w:shd w:val="clear" w:color="auto" w:fill="auto"/>
            <w:noWrap/>
            <w:vAlign w:val="bottom"/>
            <w:hideMark/>
          </w:tcPr>
          <w:p w14:paraId="0EEBBF5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Repair Parapet Handrail/ Parapets/ Safety Fences</w:t>
            </w:r>
          </w:p>
        </w:tc>
        <w:tc>
          <w:tcPr>
            <w:tcW w:w="0" w:type="auto"/>
            <w:shd w:val="clear" w:color="auto" w:fill="auto"/>
            <w:noWrap/>
            <w:vAlign w:val="bottom"/>
            <w:hideMark/>
          </w:tcPr>
          <w:p w14:paraId="051804B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Closure</w:t>
            </w:r>
          </w:p>
        </w:tc>
        <w:tc>
          <w:tcPr>
            <w:tcW w:w="0" w:type="auto"/>
            <w:shd w:val="clear" w:color="auto" w:fill="auto"/>
            <w:noWrap/>
            <w:vAlign w:val="bottom"/>
            <w:hideMark/>
          </w:tcPr>
          <w:p w14:paraId="057A6682"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43BB444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236EA0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FBBE12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3.74</w:t>
            </w:r>
          </w:p>
        </w:tc>
        <w:tc>
          <w:tcPr>
            <w:tcW w:w="0" w:type="auto"/>
            <w:shd w:val="clear" w:color="auto" w:fill="auto"/>
            <w:noWrap/>
            <w:vAlign w:val="bottom"/>
            <w:hideMark/>
          </w:tcPr>
          <w:p w14:paraId="35B9AF9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£365.60</w:t>
            </w:r>
          </w:p>
        </w:tc>
        <w:tc>
          <w:tcPr>
            <w:tcW w:w="0" w:type="auto"/>
            <w:shd w:val="clear" w:color="auto" w:fill="auto"/>
            <w:noWrap/>
            <w:vAlign w:val="bottom"/>
            <w:hideMark/>
          </w:tcPr>
          <w:p w14:paraId="2F9258E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365.60 </w:t>
            </w:r>
          </w:p>
        </w:tc>
        <w:tc>
          <w:tcPr>
            <w:tcW w:w="0" w:type="auto"/>
            <w:shd w:val="clear" w:color="auto" w:fill="auto"/>
            <w:noWrap/>
            <w:vAlign w:val="bottom"/>
            <w:hideMark/>
          </w:tcPr>
          <w:p w14:paraId="1C6A357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319301D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6FBB1BA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£25,141</w:t>
            </w:r>
          </w:p>
        </w:tc>
        <w:tc>
          <w:tcPr>
            <w:tcW w:w="0" w:type="auto"/>
            <w:shd w:val="clear" w:color="auto" w:fill="auto"/>
            <w:noWrap/>
            <w:vAlign w:val="bottom"/>
            <w:hideMark/>
          </w:tcPr>
          <w:p w14:paraId="7820C17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£6,266.65</w:t>
            </w:r>
          </w:p>
        </w:tc>
      </w:tr>
      <w:tr w:rsidR="00B70405" w:rsidRPr="00B70405" w14:paraId="628313FA" w14:textId="77777777" w:rsidTr="00B70405">
        <w:trPr>
          <w:trHeight w:val="300"/>
        </w:trPr>
        <w:tc>
          <w:tcPr>
            <w:tcW w:w="0" w:type="auto"/>
            <w:shd w:val="clear" w:color="auto" w:fill="auto"/>
            <w:noWrap/>
            <w:vAlign w:val="bottom"/>
            <w:hideMark/>
          </w:tcPr>
          <w:p w14:paraId="271579A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48</w:t>
            </w:r>
          </w:p>
        </w:tc>
        <w:tc>
          <w:tcPr>
            <w:tcW w:w="0" w:type="auto"/>
            <w:shd w:val="clear" w:color="auto" w:fill="auto"/>
            <w:noWrap/>
            <w:vAlign w:val="bottom"/>
            <w:hideMark/>
          </w:tcPr>
          <w:p w14:paraId="7DE8B39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633D887B"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4AA9C98C"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EA5EB27"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E3B3B9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169020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647F334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£16.33</w:t>
            </w:r>
          </w:p>
        </w:tc>
        <w:tc>
          <w:tcPr>
            <w:tcW w:w="0" w:type="auto"/>
            <w:shd w:val="clear" w:color="auto" w:fill="auto"/>
            <w:noWrap/>
            <w:vAlign w:val="bottom"/>
            <w:hideMark/>
          </w:tcPr>
          <w:p w14:paraId="7EDF5DA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16.33 </w:t>
            </w:r>
          </w:p>
        </w:tc>
        <w:tc>
          <w:tcPr>
            <w:tcW w:w="0" w:type="auto"/>
            <w:shd w:val="clear" w:color="auto" w:fill="auto"/>
            <w:noWrap/>
            <w:vAlign w:val="bottom"/>
            <w:hideMark/>
          </w:tcPr>
          <w:p w14:paraId="5A1872E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76FC305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43D6D36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£457</w:t>
            </w:r>
          </w:p>
        </w:tc>
        <w:tc>
          <w:tcPr>
            <w:tcW w:w="0" w:type="auto"/>
            <w:shd w:val="clear" w:color="auto" w:fill="auto"/>
            <w:noWrap/>
            <w:vAlign w:val="bottom"/>
            <w:hideMark/>
          </w:tcPr>
          <w:p w14:paraId="23788B4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£110.56</w:t>
            </w:r>
          </w:p>
        </w:tc>
      </w:tr>
      <w:tr w:rsidR="00B70405" w:rsidRPr="00B70405" w14:paraId="57AD8976" w14:textId="77777777" w:rsidTr="00B70405">
        <w:trPr>
          <w:trHeight w:val="300"/>
        </w:trPr>
        <w:tc>
          <w:tcPr>
            <w:tcW w:w="0" w:type="auto"/>
            <w:shd w:val="clear" w:color="auto" w:fill="auto"/>
            <w:noWrap/>
            <w:vAlign w:val="bottom"/>
            <w:hideMark/>
          </w:tcPr>
          <w:p w14:paraId="59A2561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49</w:t>
            </w:r>
          </w:p>
        </w:tc>
        <w:tc>
          <w:tcPr>
            <w:tcW w:w="0" w:type="auto"/>
            <w:shd w:val="clear" w:color="auto" w:fill="auto"/>
            <w:noWrap/>
            <w:vAlign w:val="bottom"/>
            <w:hideMark/>
          </w:tcPr>
          <w:p w14:paraId="43CD2B8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surfacing</w:t>
            </w:r>
          </w:p>
        </w:tc>
        <w:tc>
          <w:tcPr>
            <w:tcW w:w="0" w:type="auto"/>
            <w:shd w:val="clear" w:color="auto" w:fill="auto"/>
            <w:noWrap/>
            <w:vAlign w:val="bottom"/>
            <w:hideMark/>
          </w:tcPr>
          <w:p w14:paraId="310CF52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Closure</w:t>
            </w:r>
          </w:p>
        </w:tc>
        <w:tc>
          <w:tcPr>
            <w:tcW w:w="0" w:type="auto"/>
            <w:shd w:val="clear" w:color="auto" w:fill="auto"/>
            <w:noWrap/>
            <w:vAlign w:val="bottom"/>
            <w:hideMark/>
          </w:tcPr>
          <w:p w14:paraId="59268C39"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36DE4E7C"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975B47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399867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0.11767</w:t>
            </w:r>
          </w:p>
        </w:tc>
        <w:tc>
          <w:tcPr>
            <w:tcW w:w="0" w:type="auto"/>
            <w:shd w:val="clear" w:color="auto" w:fill="auto"/>
            <w:noWrap/>
            <w:vAlign w:val="bottom"/>
            <w:hideMark/>
          </w:tcPr>
          <w:p w14:paraId="33C8240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£11.10</w:t>
            </w:r>
          </w:p>
        </w:tc>
        <w:tc>
          <w:tcPr>
            <w:tcW w:w="0" w:type="auto"/>
            <w:shd w:val="clear" w:color="auto" w:fill="auto"/>
            <w:noWrap/>
            <w:vAlign w:val="bottom"/>
            <w:hideMark/>
          </w:tcPr>
          <w:p w14:paraId="201BCFA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11.10 </w:t>
            </w:r>
          </w:p>
        </w:tc>
        <w:tc>
          <w:tcPr>
            <w:tcW w:w="0" w:type="auto"/>
            <w:vMerge w:val="restart"/>
            <w:shd w:val="clear" w:color="auto" w:fill="auto"/>
            <w:noWrap/>
            <w:vAlign w:val="bottom"/>
            <w:hideMark/>
          </w:tcPr>
          <w:p w14:paraId="65F9233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21C8B2A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2B7A509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£42,801</w:t>
            </w:r>
          </w:p>
        </w:tc>
        <w:tc>
          <w:tcPr>
            <w:tcW w:w="0" w:type="auto"/>
            <w:vMerge w:val="restart"/>
            <w:shd w:val="clear" w:color="auto" w:fill="auto"/>
            <w:noWrap/>
            <w:vAlign w:val="bottom"/>
            <w:hideMark/>
          </w:tcPr>
          <w:p w14:paraId="0E7272D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£10,056.17</w:t>
            </w:r>
          </w:p>
        </w:tc>
      </w:tr>
      <w:tr w:rsidR="00B70405" w:rsidRPr="00B70405" w14:paraId="6F6DF38F" w14:textId="77777777" w:rsidTr="00B70405">
        <w:trPr>
          <w:trHeight w:val="300"/>
        </w:trPr>
        <w:tc>
          <w:tcPr>
            <w:tcW w:w="0" w:type="auto"/>
            <w:shd w:val="clear" w:color="auto" w:fill="auto"/>
            <w:noWrap/>
            <w:vAlign w:val="bottom"/>
            <w:hideMark/>
          </w:tcPr>
          <w:p w14:paraId="377F536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49</w:t>
            </w:r>
          </w:p>
        </w:tc>
        <w:tc>
          <w:tcPr>
            <w:tcW w:w="0" w:type="auto"/>
            <w:shd w:val="clear" w:color="auto" w:fill="auto"/>
            <w:noWrap/>
            <w:vAlign w:val="bottom"/>
            <w:hideMark/>
          </w:tcPr>
          <w:p w14:paraId="2AAF609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Access/ Walkways/ Gantries</w:t>
            </w:r>
          </w:p>
        </w:tc>
        <w:tc>
          <w:tcPr>
            <w:tcW w:w="0" w:type="auto"/>
            <w:shd w:val="clear" w:color="auto" w:fill="auto"/>
            <w:noWrap/>
            <w:vAlign w:val="bottom"/>
            <w:hideMark/>
          </w:tcPr>
          <w:p w14:paraId="2519A0A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6335F78B"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28668283"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FA9AE7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2B96BAA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0.6</w:t>
            </w:r>
          </w:p>
        </w:tc>
        <w:tc>
          <w:tcPr>
            <w:tcW w:w="0" w:type="auto"/>
            <w:shd w:val="clear" w:color="auto" w:fill="auto"/>
            <w:noWrap/>
            <w:vAlign w:val="bottom"/>
            <w:hideMark/>
          </w:tcPr>
          <w:p w14:paraId="5083BE7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£56.62</w:t>
            </w:r>
          </w:p>
        </w:tc>
        <w:tc>
          <w:tcPr>
            <w:tcW w:w="0" w:type="auto"/>
            <w:shd w:val="clear" w:color="auto" w:fill="auto"/>
            <w:noWrap/>
            <w:vAlign w:val="bottom"/>
            <w:hideMark/>
          </w:tcPr>
          <w:p w14:paraId="692F73C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56.62 </w:t>
            </w:r>
          </w:p>
        </w:tc>
        <w:tc>
          <w:tcPr>
            <w:tcW w:w="0" w:type="auto"/>
            <w:vMerge/>
            <w:vAlign w:val="center"/>
            <w:hideMark/>
          </w:tcPr>
          <w:p w14:paraId="5C78DC13"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239FB5BF"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410C28FE"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0A8D727E"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0AC8FF0C" w14:textId="77777777" w:rsidTr="00B70405">
        <w:trPr>
          <w:trHeight w:val="300"/>
        </w:trPr>
        <w:tc>
          <w:tcPr>
            <w:tcW w:w="0" w:type="auto"/>
            <w:shd w:val="clear" w:color="auto" w:fill="auto"/>
            <w:noWrap/>
            <w:vAlign w:val="bottom"/>
            <w:hideMark/>
          </w:tcPr>
          <w:p w14:paraId="6825A01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50</w:t>
            </w:r>
          </w:p>
        </w:tc>
        <w:tc>
          <w:tcPr>
            <w:tcW w:w="0" w:type="auto"/>
            <w:shd w:val="clear" w:color="auto" w:fill="auto"/>
            <w:noWrap/>
            <w:vAlign w:val="bottom"/>
            <w:hideMark/>
          </w:tcPr>
          <w:p w14:paraId="067BAF5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Bearings</w:t>
            </w:r>
          </w:p>
        </w:tc>
        <w:tc>
          <w:tcPr>
            <w:tcW w:w="0" w:type="auto"/>
            <w:shd w:val="clear" w:color="auto" w:fill="auto"/>
            <w:noWrap/>
            <w:vAlign w:val="bottom"/>
            <w:hideMark/>
          </w:tcPr>
          <w:p w14:paraId="520217F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355E082B"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36C1E41"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5D18C2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22FA038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22.825</w:t>
            </w:r>
          </w:p>
        </w:tc>
        <w:tc>
          <w:tcPr>
            <w:tcW w:w="0" w:type="auto"/>
            <w:shd w:val="clear" w:color="auto" w:fill="auto"/>
            <w:noWrap/>
            <w:vAlign w:val="bottom"/>
            <w:hideMark/>
          </w:tcPr>
          <w:p w14:paraId="6C66A36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£2,115.68</w:t>
            </w:r>
          </w:p>
        </w:tc>
        <w:tc>
          <w:tcPr>
            <w:tcW w:w="0" w:type="auto"/>
            <w:shd w:val="clear" w:color="auto" w:fill="auto"/>
            <w:noWrap/>
            <w:vAlign w:val="bottom"/>
            <w:hideMark/>
          </w:tcPr>
          <w:p w14:paraId="3897208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2,115.68 </w:t>
            </w:r>
          </w:p>
        </w:tc>
        <w:tc>
          <w:tcPr>
            <w:tcW w:w="0" w:type="auto"/>
            <w:shd w:val="clear" w:color="auto" w:fill="auto"/>
            <w:noWrap/>
            <w:vAlign w:val="bottom"/>
            <w:hideMark/>
          </w:tcPr>
          <w:p w14:paraId="18C69B0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16353A4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30A53A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£148,132</w:t>
            </w:r>
          </w:p>
        </w:tc>
        <w:tc>
          <w:tcPr>
            <w:tcW w:w="0" w:type="auto"/>
            <w:shd w:val="clear" w:color="auto" w:fill="auto"/>
            <w:noWrap/>
            <w:vAlign w:val="bottom"/>
            <w:hideMark/>
          </w:tcPr>
          <w:p w14:paraId="0E37B93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£33,790.07</w:t>
            </w:r>
          </w:p>
        </w:tc>
      </w:tr>
      <w:tr w:rsidR="00B70405" w:rsidRPr="00B70405" w14:paraId="5C56EDF8" w14:textId="77777777" w:rsidTr="00B70405">
        <w:trPr>
          <w:trHeight w:val="300"/>
        </w:trPr>
        <w:tc>
          <w:tcPr>
            <w:tcW w:w="0" w:type="auto"/>
            <w:shd w:val="clear" w:color="auto" w:fill="auto"/>
            <w:noWrap/>
            <w:vAlign w:val="bottom"/>
            <w:hideMark/>
          </w:tcPr>
          <w:p w14:paraId="5BED2C3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51</w:t>
            </w:r>
          </w:p>
        </w:tc>
        <w:tc>
          <w:tcPr>
            <w:tcW w:w="0" w:type="auto"/>
            <w:shd w:val="clear" w:color="auto" w:fill="auto"/>
            <w:noWrap/>
            <w:vAlign w:val="bottom"/>
            <w:hideMark/>
          </w:tcPr>
          <w:p w14:paraId="34C58D4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Expansion Joints</w:t>
            </w:r>
          </w:p>
        </w:tc>
        <w:tc>
          <w:tcPr>
            <w:tcW w:w="0" w:type="auto"/>
            <w:shd w:val="clear" w:color="auto" w:fill="auto"/>
            <w:noWrap/>
            <w:vAlign w:val="bottom"/>
            <w:hideMark/>
          </w:tcPr>
          <w:p w14:paraId="19C8993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Road Closure - Night</w:t>
            </w:r>
          </w:p>
        </w:tc>
        <w:tc>
          <w:tcPr>
            <w:tcW w:w="0" w:type="auto"/>
            <w:shd w:val="clear" w:color="auto" w:fill="auto"/>
            <w:noWrap/>
            <w:vAlign w:val="bottom"/>
            <w:hideMark/>
          </w:tcPr>
          <w:p w14:paraId="3FAB432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w:t>
            </w:r>
          </w:p>
        </w:tc>
        <w:tc>
          <w:tcPr>
            <w:tcW w:w="0" w:type="auto"/>
            <w:shd w:val="clear" w:color="auto" w:fill="auto"/>
            <w:noWrap/>
            <w:vAlign w:val="bottom"/>
            <w:hideMark/>
          </w:tcPr>
          <w:p w14:paraId="283B0289"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ADD086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C99227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7.29</w:t>
            </w:r>
          </w:p>
        </w:tc>
        <w:tc>
          <w:tcPr>
            <w:tcW w:w="0" w:type="auto"/>
            <w:shd w:val="clear" w:color="auto" w:fill="auto"/>
            <w:noWrap/>
            <w:vAlign w:val="bottom"/>
            <w:hideMark/>
          </w:tcPr>
          <w:p w14:paraId="69CB827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£657.13</w:t>
            </w:r>
          </w:p>
        </w:tc>
        <w:tc>
          <w:tcPr>
            <w:tcW w:w="0" w:type="auto"/>
            <w:shd w:val="clear" w:color="auto" w:fill="auto"/>
            <w:noWrap/>
            <w:vAlign w:val="bottom"/>
            <w:hideMark/>
          </w:tcPr>
          <w:p w14:paraId="3F5A317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657.13 </w:t>
            </w:r>
          </w:p>
        </w:tc>
        <w:tc>
          <w:tcPr>
            <w:tcW w:w="0" w:type="auto"/>
            <w:vMerge w:val="restart"/>
            <w:shd w:val="clear" w:color="auto" w:fill="auto"/>
            <w:noWrap/>
            <w:vAlign w:val="bottom"/>
            <w:hideMark/>
          </w:tcPr>
          <w:p w14:paraId="0229126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7CB2CCC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726701A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£22,082</w:t>
            </w:r>
          </w:p>
        </w:tc>
        <w:tc>
          <w:tcPr>
            <w:tcW w:w="0" w:type="auto"/>
            <w:vMerge w:val="restart"/>
            <w:shd w:val="clear" w:color="auto" w:fill="auto"/>
            <w:noWrap/>
            <w:vAlign w:val="bottom"/>
            <w:hideMark/>
          </w:tcPr>
          <w:p w14:paraId="74B845B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£4,890.34</w:t>
            </w:r>
          </w:p>
        </w:tc>
      </w:tr>
      <w:tr w:rsidR="00B70405" w:rsidRPr="00B70405" w14:paraId="7763D970" w14:textId="77777777" w:rsidTr="00B70405">
        <w:trPr>
          <w:trHeight w:val="300"/>
        </w:trPr>
        <w:tc>
          <w:tcPr>
            <w:tcW w:w="0" w:type="auto"/>
            <w:shd w:val="clear" w:color="auto" w:fill="auto"/>
            <w:noWrap/>
            <w:vAlign w:val="bottom"/>
            <w:hideMark/>
          </w:tcPr>
          <w:p w14:paraId="0DF42C5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51</w:t>
            </w:r>
          </w:p>
        </w:tc>
        <w:tc>
          <w:tcPr>
            <w:tcW w:w="0" w:type="auto"/>
            <w:shd w:val="clear" w:color="auto" w:fill="auto"/>
            <w:noWrap/>
            <w:vAlign w:val="bottom"/>
            <w:hideMark/>
          </w:tcPr>
          <w:p w14:paraId="6B56F3D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Substructure drainage maintenance</w:t>
            </w:r>
          </w:p>
        </w:tc>
        <w:tc>
          <w:tcPr>
            <w:tcW w:w="0" w:type="auto"/>
            <w:shd w:val="clear" w:color="auto" w:fill="auto"/>
            <w:noWrap/>
            <w:vAlign w:val="bottom"/>
            <w:hideMark/>
          </w:tcPr>
          <w:p w14:paraId="01D5ED02"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06F20E1E"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F1444B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79C99E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DC817E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304AD6B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£15.32</w:t>
            </w:r>
          </w:p>
        </w:tc>
        <w:tc>
          <w:tcPr>
            <w:tcW w:w="0" w:type="auto"/>
            <w:shd w:val="clear" w:color="auto" w:fill="auto"/>
            <w:noWrap/>
            <w:vAlign w:val="bottom"/>
            <w:hideMark/>
          </w:tcPr>
          <w:p w14:paraId="421C3D9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15.32 </w:t>
            </w:r>
          </w:p>
        </w:tc>
        <w:tc>
          <w:tcPr>
            <w:tcW w:w="0" w:type="auto"/>
            <w:vMerge/>
            <w:vAlign w:val="center"/>
            <w:hideMark/>
          </w:tcPr>
          <w:p w14:paraId="5072ACA8"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5A567FB9"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436EBC1E"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0A33918F"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49D1B00E" w14:textId="77777777" w:rsidTr="00B70405">
        <w:trPr>
          <w:trHeight w:val="300"/>
        </w:trPr>
        <w:tc>
          <w:tcPr>
            <w:tcW w:w="0" w:type="auto"/>
            <w:shd w:val="clear" w:color="auto" w:fill="auto"/>
            <w:noWrap/>
            <w:vAlign w:val="bottom"/>
            <w:hideMark/>
          </w:tcPr>
          <w:p w14:paraId="4C998A4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51</w:t>
            </w:r>
          </w:p>
        </w:tc>
        <w:tc>
          <w:tcPr>
            <w:tcW w:w="0" w:type="auto"/>
            <w:shd w:val="clear" w:color="auto" w:fill="auto"/>
            <w:noWrap/>
            <w:vAlign w:val="bottom"/>
            <w:hideMark/>
          </w:tcPr>
          <w:p w14:paraId="3959E77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49115968"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399FC5D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174D75D"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A76EEF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FBA4DF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294D436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£15.32</w:t>
            </w:r>
          </w:p>
        </w:tc>
        <w:tc>
          <w:tcPr>
            <w:tcW w:w="0" w:type="auto"/>
            <w:shd w:val="clear" w:color="auto" w:fill="auto"/>
            <w:noWrap/>
            <w:vAlign w:val="bottom"/>
            <w:hideMark/>
          </w:tcPr>
          <w:p w14:paraId="141FEEC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15.32 </w:t>
            </w:r>
          </w:p>
        </w:tc>
        <w:tc>
          <w:tcPr>
            <w:tcW w:w="0" w:type="auto"/>
            <w:vMerge/>
            <w:vAlign w:val="center"/>
            <w:hideMark/>
          </w:tcPr>
          <w:p w14:paraId="28184E1E"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4779981C"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1ECD4164"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43525D4A"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4303397F" w14:textId="77777777" w:rsidTr="00B70405">
        <w:trPr>
          <w:trHeight w:val="300"/>
        </w:trPr>
        <w:tc>
          <w:tcPr>
            <w:tcW w:w="0" w:type="auto"/>
            <w:shd w:val="clear" w:color="auto" w:fill="auto"/>
            <w:noWrap/>
            <w:vAlign w:val="bottom"/>
            <w:hideMark/>
          </w:tcPr>
          <w:p w14:paraId="0C5BF09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52</w:t>
            </w:r>
          </w:p>
        </w:tc>
        <w:tc>
          <w:tcPr>
            <w:tcW w:w="0" w:type="auto"/>
            <w:shd w:val="clear" w:color="auto" w:fill="auto"/>
            <w:noWrap/>
            <w:vAlign w:val="bottom"/>
            <w:hideMark/>
          </w:tcPr>
          <w:p w14:paraId="3E28983C"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664FA0F"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AD9D72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21F0A57"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BDCA76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4B0E5D80"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0125DDD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24BCD2A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AEB38E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2CF3A7A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A73F29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6D2F19F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560954D2" w14:textId="77777777" w:rsidTr="00B70405">
        <w:trPr>
          <w:trHeight w:val="300"/>
        </w:trPr>
        <w:tc>
          <w:tcPr>
            <w:tcW w:w="0" w:type="auto"/>
            <w:shd w:val="clear" w:color="auto" w:fill="auto"/>
            <w:noWrap/>
            <w:vAlign w:val="bottom"/>
            <w:hideMark/>
          </w:tcPr>
          <w:p w14:paraId="6DC19C3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53</w:t>
            </w:r>
          </w:p>
        </w:tc>
        <w:tc>
          <w:tcPr>
            <w:tcW w:w="0" w:type="auto"/>
            <w:shd w:val="clear" w:color="auto" w:fill="auto"/>
            <w:noWrap/>
            <w:vAlign w:val="bottom"/>
            <w:hideMark/>
          </w:tcPr>
          <w:p w14:paraId="3792FD71"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D119D83"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7D46CAD"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B5A0AA1"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8569DE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DF47178"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25B1FE8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387E7DA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67A725C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1260AF9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223CF01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16D3CA6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77A5FD84" w14:textId="77777777" w:rsidTr="00B70405">
        <w:trPr>
          <w:trHeight w:val="300"/>
        </w:trPr>
        <w:tc>
          <w:tcPr>
            <w:tcW w:w="0" w:type="auto"/>
            <w:shd w:val="clear" w:color="auto" w:fill="auto"/>
            <w:noWrap/>
            <w:vAlign w:val="bottom"/>
            <w:hideMark/>
          </w:tcPr>
          <w:p w14:paraId="3F07CFF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54</w:t>
            </w:r>
          </w:p>
        </w:tc>
        <w:tc>
          <w:tcPr>
            <w:tcW w:w="0" w:type="auto"/>
            <w:shd w:val="clear" w:color="auto" w:fill="auto"/>
            <w:noWrap/>
            <w:vAlign w:val="bottom"/>
            <w:hideMark/>
          </w:tcPr>
          <w:p w14:paraId="29C2CC4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31231EC0"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2B5F819F"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9FC6A63"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389FF3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501134C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3F23896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£14.09</w:t>
            </w:r>
          </w:p>
        </w:tc>
        <w:tc>
          <w:tcPr>
            <w:tcW w:w="0" w:type="auto"/>
            <w:shd w:val="clear" w:color="auto" w:fill="auto"/>
            <w:noWrap/>
            <w:vAlign w:val="bottom"/>
            <w:hideMark/>
          </w:tcPr>
          <w:p w14:paraId="515BABC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14.09 </w:t>
            </w:r>
          </w:p>
        </w:tc>
        <w:tc>
          <w:tcPr>
            <w:tcW w:w="0" w:type="auto"/>
            <w:vMerge w:val="restart"/>
            <w:shd w:val="clear" w:color="auto" w:fill="auto"/>
            <w:noWrap/>
            <w:vAlign w:val="bottom"/>
            <w:hideMark/>
          </w:tcPr>
          <w:p w14:paraId="44D8FBC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5340EED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7D189D1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£14,421</w:t>
            </w:r>
          </w:p>
        </w:tc>
        <w:tc>
          <w:tcPr>
            <w:tcW w:w="0" w:type="auto"/>
            <w:vMerge w:val="restart"/>
            <w:shd w:val="clear" w:color="auto" w:fill="auto"/>
            <w:noWrap/>
            <w:vAlign w:val="bottom"/>
            <w:hideMark/>
          </w:tcPr>
          <w:p w14:paraId="344FE23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£2,922.66</w:t>
            </w:r>
          </w:p>
        </w:tc>
      </w:tr>
      <w:tr w:rsidR="00B70405" w:rsidRPr="00B70405" w14:paraId="45244EA8" w14:textId="77777777" w:rsidTr="00B70405">
        <w:trPr>
          <w:trHeight w:val="300"/>
        </w:trPr>
        <w:tc>
          <w:tcPr>
            <w:tcW w:w="0" w:type="auto"/>
            <w:shd w:val="clear" w:color="auto" w:fill="auto"/>
            <w:noWrap/>
            <w:vAlign w:val="bottom"/>
            <w:hideMark/>
          </w:tcPr>
          <w:p w14:paraId="35FBB13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54</w:t>
            </w:r>
          </w:p>
        </w:tc>
        <w:tc>
          <w:tcPr>
            <w:tcW w:w="0" w:type="auto"/>
            <w:shd w:val="clear" w:color="auto" w:fill="auto"/>
            <w:noWrap/>
            <w:vAlign w:val="bottom"/>
            <w:hideMark/>
          </w:tcPr>
          <w:p w14:paraId="13CAFD1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Concrete repairs to bearing plinth / shelf</w:t>
            </w:r>
          </w:p>
        </w:tc>
        <w:tc>
          <w:tcPr>
            <w:tcW w:w="0" w:type="auto"/>
            <w:shd w:val="clear" w:color="auto" w:fill="auto"/>
            <w:noWrap/>
            <w:vAlign w:val="bottom"/>
            <w:hideMark/>
          </w:tcPr>
          <w:p w14:paraId="6D5B972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6DC34195"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6B7DFCC"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71179E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447DDF2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1.9</w:t>
            </w:r>
          </w:p>
        </w:tc>
        <w:tc>
          <w:tcPr>
            <w:tcW w:w="0" w:type="auto"/>
            <w:shd w:val="clear" w:color="auto" w:fill="auto"/>
            <w:noWrap/>
            <w:vAlign w:val="bottom"/>
            <w:hideMark/>
          </w:tcPr>
          <w:p w14:paraId="2BE6549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£157.51</w:t>
            </w:r>
          </w:p>
        </w:tc>
        <w:tc>
          <w:tcPr>
            <w:tcW w:w="0" w:type="auto"/>
            <w:shd w:val="clear" w:color="auto" w:fill="auto"/>
            <w:noWrap/>
            <w:vAlign w:val="bottom"/>
            <w:hideMark/>
          </w:tcPr>
          <w:p w14:paraId="3E4765D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157.51 </w:t>
            </w:r>
          </w:p>
        </w:tc>
        <w:tc>
          <w:tcPr>
            <w:tcW w:w="0" w:type="auto"/>
            <w:vMerge/>
            <w:vAlign w:val="center"/>
            <w:hideMark/>
          </w:tcPr>
          <w:p w14:paraId="541ACC29"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23171FAE"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4927276F"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7E20A343"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3804A527" w14:textId="77777777" w:rsidTr="00B70405">
        <w:trPr>
          <w:trHeight w:val="300"/>
        </w:trPr>
        <w:tc>
          <w:tcPr>
            <w:tcW w:w="0" w:type="auto"/>
            <w:shd w:val="clear" w:color="auto" w:fill="auto"/>
            <w:noWrap/>
            <w:vAlign w:val="bottom"/>
            <w:hideMark/>
          </w:tcPr>
          <w:p w14:paraId="1CEA4CB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55</w:t>
            </w:r>
          </w:p>
        </w:tc>
        <w:tc>
          <w:tcPr>
            <w:tcW w:w="0" w:type="auto"/>
            <w:shd w:val="clear" w:color="auto" w:fill="auto"/>
            <w:noWrap/>
            <w:vAlign w:val="bottom"/>
            <w:hideMark/>
          </w:tcPr>
          <w:p w14:paraId="638CC49E"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A5FC29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6B8982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2B2220D"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6D13FA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48428AA"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D18B54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17F0705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E128ED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28FFF5F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E8C401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6584F05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3FBA3326" w14:textId="77777777" w:rsidTr="00B70405">
        <w:trPr>
          <w:trHeight w:val="300"/>
        </w:trPr>
        <w:tc>
          <w:tcPr>
            <w:tcW w:w="0" w:type="auto"/>
            <w:shd w:val="clear" w:color="auto" w:fill="auto"/>
            <w:noWrap/>
            <w:vAlign w:val="bottom"/>
            <w:hideMark/>
          </w:tcPr>
          <w:p w14:paraId="25408C7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56</w:t>
            </w:r>
          </w:p>
        </w:tc>
        <w:tc>
          <w:tcPr>
            <w:tcW w:w="0" w:type="auto"/>
            <w:shd w:val="clear" w:color="auto" w:fill="auto"/>
            <w:noWrap/>
            <w:vAlign w:val="bottom"/>
            <w:hideMark/>
          </w:tcPr>
          <w:p w14:paraId="38591C5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Substructure drainage maintenance</w:t>
            </w:r>
          </w:p>
        </w:tc>
        <w:tc>
          <w:tcPr>
            <w:tcW w:w="0" w:type="auto"/>
            <w:shd w:val="clear" w:color="auto" w:fill="auto"/>
            <w:noWrap/>
            <w:vAlign w:val="bottom"/>
            <w:hideMark/>
          </w:tcPr>
          <w:p w14:paraId="4DA0825B"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21B5AD9C"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1D1F743"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F07AB0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438A4F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6C1CD8B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£13.33</w:t>
            </w:r>
          </w:p>
        </w:tc>
        <w:tc>
          <w:tcPr>
            <w:tcW w:w="0" w:type="auto"/>
            <w:shd w:val="clear" w:color="auto" w:fill="auto"/>
            <w:noWrap/>
            <w:vAlign w:val="bottom"/>
            <w:hideMark/>
          </w:tcPr>
          <w:p w14:paraId="29B2C78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13.33 </w:t>
            </w:r>
          </w:p>
        </w:tc>
        <w:tc>
          <w:tcPr>
            <w:tcW w:w="0" w:type="auto"/>
            <w:vMerge w:val="restart"/>
            <w:shd w:val="clear" w:color="auto" w:fill="auto"/>
            <w:noWrap/>
            <w:vAlign w:val="bottom"/>
            <w:hideMark/>
          </w:tcPr>
          <w:p w14:paraId="4A9DB1B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1EB7258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73285FE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£11,509</w:t>
            </w:r>
          </w:p>
        </w:tc>
        <w:tc>
          <w:tcPr>
            <w:tcW w:w="0" w:type="auto"/>
            <w:vMerge w:val="restart"/>
            <w:shd w:val="clear" w:color="auto" w:fill="auto"/>
            <w:noWrap/>
            <w:vAlign w:val="bottom"/>
            <w:hideMark/>
          </w:tcPr>
          <w:p w14:paraId="6EF4C86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£2,198.73</w:t>
            </w:r>
          </w:p>
        </w:tc>
      </w:tr>
      <w:tr w:rsidR="00B70405" w:rsidRPr="00B70405" w14:paraId="62CF1E18" w14:textId="77777777" w:rsidTr="00B70405">
        <w:trPr>
          <w:trHeight w:val="300"/>
        </w:trPr>
        <w:tc>
          <w:tcPr>
            <w:tcW w:w="0" w:type="auto"/>
            <w:shd w:val="clear" w:color="auto" w:fill="auto"/>
            <w:noWrap/>
            <w:vAlign w:val="bottom"/>
            <w:hideMark/>
          </w:tcPr>
          <w:p w14:paraId="6549172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56</w:t>
            </w:r>
          </w:p>
        </w:tc>
        <w:tc>
          <w:tcPr>
            <w:tcW w:w="0" w:type="auto"/>
            <w:shd w:val="clear" w:color="auto" w:fill="auto"/>
            <w:noWrap/>
            <w:vAlign w:val="bottom"/>
            <w:hideMark/>
          </w:tcPr>
          <w:p w14:paraId="40098DD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Carriageway repairs</w:t>
            </w:r>
          </w:p>
        </w:tc>
        <w:tc>
          <w:tcPr>
            <w:tcW w:w="0" w:type="auto"/>
            <w:shd w:val="clear" w:color="auto" w:fill="auto"/>
            <w:noWrap/>
            <w:vAlign w:val="bottom"/>
            <w:hideMark/>
          </w:tcPr>
          <w:p w14:paraId="4993D2D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Lane Closures</w:t>
            </w:r>
          </w:p>
        </w:tc>
        <w:tc>
          <w:tcPr>
            <w:tcW w:w="0" w:type="auto"/>
            <w:shd w:val="clear" w:color="auto" w:fill="auto"/>
            <w:noWrap/>
            <w:vAlign w:val="bottom"/>
            <w:hideMark/>
          </w:tcPr>
          <w:p w14:paraId="470D4CF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w:t>
            </w:r>
          </w:p>
        </w:tc>
        <w:tc>
          <w:tcPr>
            <w:tcW w:w="0" w:type="auto"/>
            <w:shd w:val="clear" w:color="auto" w:fill="auto"/>
            <w:noWrap/>
            <w:vAlign w:val="bottom"/>
            <w:hideMark/>
          </w:tcPr>
          <w:p w14:paraId="644F648B"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4D1122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3B1F3A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0.70233</w:t>
            </w:r>
          </w:p>
        </w:tc>
        <w:tc>
          <w:tcPr>
            <w:tcW w:w="0" w:type="auto"/>
            <w:shd w:val="clear" w:color="auto" w:fill="auto"/>
            <w:noWrap/>
            <w:vAlign w:val="bottom"/>
            <w:hideMark/>
          </w:tcPr>
          <w:p w14:paraId="0CDC275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£55.06</w:t>
            </w:r>
          </w:p>
        </w:tc>
        <w:tc>
          <w:tcPr>
            <w:tcW w:w="0" w:type="auto"/>
            <w:shd w:val="clear" w:color="auto" w:fill="auto"/>
            <w:noWrap/>
            <w:vAlign w:val="bottom"/>
            <w:hideMark/>
          </w:tcPr>
          <w:p w14:paraId="74DD921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55.06 </w:t>
            </w:r>
          </w:p>
        </w:tc>
        <w:tc>
          <w:tcPr>
            <w:tcW w:w="0" w:type="auto"/>
            <w:vMerge/>
            <w:vAlign w:val="center"/>
            <w:hideMark/>
          </w:tcPr>
          <w:p w14:paraId="733953C4"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794F6C07"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76F0430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7A4922F6"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78360500" w14:textId="77777777" w:rsidTr="00B70405">
        <w:trPr>
          <w:trHeight w:val="300"/>
        </w:trPr>
        <w:tc>
          <w:tcPr>
            <w:tcW w:w="0" w:type="auto"/>
            <w:shd w:val="clear" w:color="auto" w:fill="auto"/>
            <w:noWrap/>
            <w:vAlign w:val="bottom"/>
            <w:hideMark/>
          </w:tcPr>
          <w:p w14:paraId="3EC259C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57</w:t>
            </w:r>
          </w:p>
        </w:tc>
        <w:tc>
          <w:tcPr>
            <w:tcW w:w="0" w:type="auto"/>
            <w:shd w:val="clear" w:color="auto" w:fill="auto"/>
            <w:noWrap/>
            <w:vAlign w:val="bottom"/>
            <w:hideMark/>
          </w:tcPr>
          <w:p w14:paraId="40FA358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59E54667"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4BCAB1A3"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A0D9A5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6E723E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5C58E0A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58B060E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£12.96</w:t>
            </w:r>
          </w:p>
        </w:tc>
        <w:tc>
          <w:tcPr>
            <w:tcW w:w="0" w:type="auto"/>
            <w:shd w:val="clear" w:color="auto" w:fill="auto"/>
            <w:noWrap/>
            <w:vAlign w:val="bottom"/>
            <w:hideMark/>
          </w:tcPr>
          <w:p w14:paraId="01827B2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12.96 </w:t>
            </w:r>
          </w:p>
        </w:tc>
        <w:tc>
          <w:tcPr>
            <w:tcW w:w="0" w:type="auto"/>
            <w:shd w:val="clear" w:color="auto" w:fill="auto"/>
            <w:noWrap/>
            <w:vAlign w:val="bottom"/>
            <w:hideMark/>
          </w:tcPr>
          <w:p w14:paraId="05BA421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5586EA9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3E26D9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£457</w:t>
            </w:r>
          </w:p>
        </w:tc>
        <w:tc>
          <w:tcPr>
            <w:tcW w:w="0" w:type="auto"/>
            <w:shd w:val="clear" w:color="auto" w:fill="auto"/>
            <w:noWrap/>
            <w:vAlign w:val="bottom"/>
            <w:hideMark/>
          </w:tcPr>
          <w:p w14:paraId="1093266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£84.74</w:t>
            </w:r>
          </w:p>
        </w:tc>
      </w:tr>
      <w:tr w:rsidR="00B70405" w:rsidRPr="00B70405" w14:paraId="1634FBC9" w14:textId="77777777" w:rsidTr="00B70405">
        <w:trPr>
          <w:trHeight w:val="300"/>
        </w:trPr>
        <w:tc>
          <w:tcPr>
            <w:tcW w:w="0" w:type="auto"/>
            <w:shd w:val="clear" w:color="auto" w:fill="auto"/>
            <w:noWrap/>
            <w:vAlign w:val="bottom"/>
            <w:hideMark/>
          </w:tcPr>
          <w:p w14:paraId="4B6AD64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58</w:t>
            </w:r>
          </w:p>
        </w:tc>
        <w:tc>
          <w:tcPr>
            <w:tcW w:w="0" w:type="auto"/>
            <w:shd w:val="clear" w:color="auto" w:fill="auto"/>
            <w:noWrap/>
            <w:vAlign w:val="bottom"/>
            <w:hideMark/>
          </w:tcPr>
          <w:p w14:paraId="5CAC00D8"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DA93323"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F1BA94B"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33A8B73"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8046F2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D2903BB"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981119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478CED6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047B711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0EAD4FF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29E0EEA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35303A2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353F3994" w14:textId="77777777" w:rsidTr="00B70405">
        <w:trPr>
          <w:trHeight w:val="300"/>
        </w:trPr>
        <w:tc>
          <w:tcPr>
            <w:tcW w:w="0" w:type="auto"/>
            <w:shd w:val="clear" w:color="auto" w:fill="auto"/>
            <w:noWrap/>
            <w:vAlign w:val="bottom"/>
            <w:hideMark/>
          </w:tcPr>
          <w:p w14:paraId="09AC184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59</w:t>
            </w:r>
          </w:p>
        </w:tc>
        <w:tc>
          <w:tcPr>
            <w:tcW w:w="0" w:type="auto"/>
            <w:shd w:val="clear" w:color="auto" w:fill="auto"/>
            <w:noWrap/>
            <w:vAlign w:val="bottom"/>
            <w:hideMark/>
          </w:tcPr>
          <w:p w14:paraId="2A2C0F7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Expansion Joints</w:t>
            </w:r>
          </w:p>
        </w:tc>
        <w:tc>
          <w:tcPr>
            <w:tcW w:w="0" w:type="auto"/>
            <w:shd w:val="clear" w:color="auto" w:fill="auto"/>
            <w:noWrap/>
            <w:vAlign w:val="bottom"/>
            <w:hideMark/>
          </w:tcPr>
          <w:p w14:paraId="775B3B5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Road Closure - Night</w:t>
            </w:r>
          </w:p>
        </w:tc>
        <w:tc>
          <w:tcPr>
            <w:tcW w:w="0" w:type="auto"/>
            <w:shd w:val="clear" w:color="auto" w:fill="auto"/>
            <w:noWrap/>
            <w:vAlign w:val="bottom"/>
            <w:hideMark/>
          </w:tcPr>
          <w:p w14:paraId="0200B8B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w:t>
            </w:r>
          </w:p>
        </w:tc>
        <w:tc>
          <w:tcPr>
            <w:tcW w:w="0" w:type="auto"/>
            <w:shd w:val="clear" w:color="auto" w:fill="auto"/>
            <w:noWrap/>
            <w:vAlign w:val="bottom"/>
            <w:hideMark/>
          </w:tcPr>
          <w:p w14:paraId="70BB608E"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F740F2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275A3A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7.29</w:t>
            </w:r>
          </w:p>
        </w:tc>
        <w:tc>
          <w:tcPr>
            <w:tcW w:w="0" w:type="auto"/>
            <w:shd w:val="clear" w:color="auto" w:fill="auto"/>
            <w:noWrap/>
            <w:vAlign w:val="bottom"/>
            <w:hideMark/>
          </w:tcPr>
          <w:p w14:paraId="76152E9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£525.63</w:t>
            </w:r>
          </w:p>
        </w:tc>
        <w:tc>
          <w:tcPr>
            <w:tcW w:w="0" w:type="auto"/>
            <w:shd w:val="clear" w:color="auto" w:fill="auto"/>
            <w:noWrap/>
            <w:vAlign w:val="bottom"/>
            <w:hideMark/>
          </w:tcPr>
          <w:p w14:paraId="25AA262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525.63 </w:t>
            </w:r>
          </w:p>
        </w:tc>
        <w:tc>
          <w:tcPr>
            <w:tcW w:w="0" w:type="auto"/>
            <w:vMerge w:val="restart"/>
            <w:shd w:val="clear" w:color="auto" w:fill="auto"/>
            <w:noWrap/>
            <w:vAlign w:val="bottom"/>
            <w:hideMark/>
          </w:tcPr>
          <w:p w14:paraId="0B86DDA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4FF2BCB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2E3F93C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£69,132</w:t>
            </w:r>
          </w:p>
        </w:tc>
        <w:tc>
          <w:tcPr>
            <w:tcW w:w="0" w:type="auto"/>
            <w:vMerge w:val="restart"/>
            <w:shd w:val="clear" w:color="auto" w:fill="auto"/>
            <w:noWrap/>
            <w:vAlign w:val="bottom"/>
            <w:hideMark/>
          </w:tcPr>
          <w:p w14:paraId="5814E91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£12,085.93</w:t>
            </w:r>
          </w:p>
        </w:tc>
      </w:tr>
      <w:tr w:rsidR="00B70405" w:rsidRPr="00B70405" w14:paraId="10C1986A" w14:textId="77777777" w:rsidTr="00B70405">
        <w:trPr>
          <w:trHeight w:val="300"/>
        </w:trPr>
        <w:tc>
          <w:tcPr>
            <w:tcW w:w="0" w:type="auto"/>
            <w:shd w:val="clear" w:color="auto" w:fill="auto"/>
            <w:noWrap/>
            <w:vAlign w:val="bottom"/>
            <w:hideMark/>
          </w:tcPr>
          <w:p w14:paraId="55909FE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59</w:t>
            </w:r>
          </w:p>
        </w:tc>
        <w:tc>
          <w:tcPr>
            <w:tcW w:w="0" w:type="auto"/>
            <w:shd w:val="clear" w:color="auto" w:fill="auto"/>
            <w:noWrap/>
            <w:vAlign w:val="bottom"/>
            <w:hideMark/>
          </w:tcPr>
          <w:p w14:paraId="2853698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Metalwork repairs to deck bracing</w:t>
            </w:r>
          </w:p>
        </w:tc>
        <w:tc>
          <w:tcPr>
            <w:tcW w:w="0" w:type="auto"/>
            <w:shd w:val="clear" w:color="auto" w:fill="auto"/>
            <w:noWrap/>
            <w:vAlign w:val="bottom"/>
            <w:hideMark/>
          </w:tcPr>
          <w:p w14:paraId="2303A57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5DEF04F7"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359E6FEB"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A384B5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CAEE83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0.74</w:t>
            </w:r>
          </w:p>
        </w:tc>
        <w:tc>
          <w:tcPr>
            <w:tcW w:w="0" w:type="auto"/>
            <w:shd w:val="clear" w:color="auto" w:fill="auto"/>
            <w:noWrap/>
            <w:vAlign w:val="bottom"/>
            <w:hideMark/>
          </w:tcPr>
          <w:p w14:paraId="5D0FC59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£53.36</w:t>
            </w:r>
          </w:p>
        </w:tc>
        <w:tc>
          <w:tcPr>
            <w:tcW w:w="0" w:type="auto"/>
            <w:shd w:val="clear" w:color="auto" w:fill="auto"/>
            <w:noWrap/>
            <w:vAlign w:val="bottom"/>
            <w:hideMark/>
          </w:tcPr>
          <w:p w14:paraId="411B5D6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53.36 </w:t>
            </w:r>
          </w:p>
        </w:tc>
        <w:tc>
          <w:tcPr>
            <w:tcW w:w="0" w:type="auto"/>
            <w:vMerge/>
            <w:vAlign w:val="center"/>
            <w:hideMark/>
          </w:tcPr>
          <w:p w14:paraId="51DB6A26"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698407F2"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0931CE72"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56C9A4BC"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6FEFCEA4" w14:textId="77777777" w:rsidTr="00B70405">
        <w:trPr>
          <w:trHeight w:val="300"/>
        </w:trPr>
        <w:tc>
          <w:tcPr>
            <w:tcW w:w="0" w:type="auto"/>
            <w:shd w:val="clear" w:color="auto" w:fill="auto"/>
            <w:noWrap/>
            <w:vAlign w:val="bottom"/>
            <w:hideMark/>
          </w:tcPr>
          <w:p w14:paraId="6E00E55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60</w:t>
            </w:r>
          </w:p>
        </w:tc>
        <w:tc>
          <w:tcPr>
            <w:tcW w:w="0" w:type="auto"/>
            <w:shd w:val="clear" w:color="auto" w:fill="auto"/>
            <w:noWrap/>
            <w:vAlign w:val="bottom"/>
            <w:hideMark/>
          </w:tcPr>
          <w:p w14:paraId="336BE5D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4D5E61C5"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38D9A087"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FF02C58"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BE1E28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3BBC4C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05791CE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£11.92</w:t>
            </w:r>
          </w:p>
        </w:tc>
        <w:tc>
          <w:tcPr>
            <w:tcW w:w="0" w:type="auto"/>
            <w:shd w:val="clear" w:color="auto" w:fill="auto"/>
            <w:noWrap/>
            <w:vAlign w:val="bottom"/>
            <w:hideMark/>
          </w:tcPr>
          <w:p w14:paraId="1256814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11.92 </w:t>
            </w:r>
          </w:p>
        </w:tc>
        <w:tc>
          <w:tcPr>
            <w:tcW w:w="0" w:type="auto"/>
            <w:shd w:val="clear" w:color="auto" w:fill="auto"/>
            <w:noWrap/>
            <w:vAlign w:val="bottom"/>
            <w:hideMark/>
          </w:tcPr>
          <w:p w14:paraId="1BAAD6A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03F9147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0593E11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£457</w:t>
            </w:r>
          </w:p>
        </w:tc>
        <w:tc>
          <w:tcPr>
            <w:tcW w:w="0" w:type="auto"/>
            <w:shd w:val="clear" w:color="auto" w:fill="auto"/>
            <w:noWrap/>
            <w:vAlign w:val="bottom"/>
            <w:hideMark/>
          </w:tcPr>
          <w:p w14:paraId="1530105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£77.55</w:t>
            </w:r>
          </w:p>
        </w:tc>
      </w:tr>
      <w:tr w:rsidR="00B70405" w:rsidRPr="00B70405" w14:paraId="78D2E210" w14:textId="77777777" w:rsidTr="00B70405">
        <w:trPr>
          <w:trHeight w:val="300"/>
        </w:trPr>
        <w:tc>
          <w:tcPr>
            <w:tcW w:w="0" w:type="auto"/>
            <w:shd w:val="clear" w:color="auto" w:fill="auto"/>
            <w:noWrap/>
            <w:vAlign w:val="bottom"/>
            <w:hideMark/>
          </w:tcPr>
          <w:p w14:paraId="5DD75F2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61</w:t>
            </w:r>
          </w:p>
        </w:tc>
        <w:tc>
          <w:tcPr>
            <w:tcW w:w="0" w:type="auto"/>
            <w:shd w:val="clear" w:color="auto" w:fill="auto"/>
            <w:noWrap/>
            <w:vAlign w:val="bottom"/>
            <w:hideMark/>
          </w:tcPr>
          <w:p w14:paraId="2A69C1C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Substructure drainage maintenance</w:t>
            </w:r>
          </w:p>
        </w:tc>
        <w:tc>
          <w:tcPr>
            <w:tcW w:w="0" w:type="auto"/>
            <w:shd w:val="clear" w:color="auto" w:fill="auto"/>
            <w:noWrap/>
            <w:vAlign w:val="bottom"/>
            <w:hideMark/>
          </w:tcPr>
          <w:p w14:paraId="363B664D"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1FD0799B"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BD5FCC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B4F7DD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339A89C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4AA367E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£11.52</w:t>
            </w:r>
          </w:p>
        </w:tc>
        <w:tc>
          <w:tcPr>
            <w:tcW w:w="0" w:type="auto"/>
            <w:shd w:val="clear" w:color="auto" w:fill="auto"/>
            <w:noWrap/>
            <w:vAlign w:val="bottom"/>
            <w:hideMark/>
          </w:tcPr>
          <w:p w14:paraId="79D540D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11.52 </w:t>
            </w:r>
          </w:p>
        </w:tc>
        <w:tc>
          <w:tcPr>
            <w:tcW w:w="0" w:type="auto"/>
            <w:shd w:val="clear" w:color="auto" w:fill="auto"/>
            <w:noWrap/>
            <w:vAlign w:val="bottom"/>
            <w:hideMark/>
          </w:tcPr>
          <w:p w14:paraId="052535A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7F86F38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73A131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£227</w:t>
            </w:r>
          </w:p>
        </w:tc>
        <w:tc>
          <w:tcPr>
            <w:tcW w:w="0" w:type="auto"/>
            <w:shd w:val="clear" w:color="auto" w:fill="auto"/>
            <w:noWrap/>
            <w:vAlign w:val="bottom"/>
            <w:hideMark/>
          </w:tcPr>
          <w:p w14:paraId="09FAE29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£37.49</w:t>
            </w:r>
          </w:p>
        </w:tc>
      </w:tr>
      <w:tr w:rsidR="00B70405" w:rsidRPr="00B70405" w14:paraId="3D13E642" w14:textId="77777777" w:rsidTr="00B70405">
        <w:trPr>
          <w:trHeight w:val="300"/>
        </w:trPr>
        <w:tc>
          <w:tcPr>
            <w:tcW w:w="0" w:type="auto"/>
            <w:shd w:val="clear" w:color="auto" w:fill="auto"/>
            <w:noWrap/>
            <w:vAlign w:val="bottom"/>
            <w:hideMark/>
          </w:tcPr>
          <w:p w14:paraId="4D3776A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62</w:t>
            </w:r>
          </w:p>
        </w:tc>
        <w:tc>
          <w:tcPr>
            <w:tcW w:w="0" w:type="auto"/>
            <w:shd w:val="clear" w:color="auto" w:fill="auto"/>
            <w:noWrap/>
            <w:vAlign w:val="bottom"/>
            <w:hideMark/>
          </w:tcPr>
          <w:p w14:paraId="63CF9B7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surfacing</w:t>
            </w:r>
          </w:p>
        </w:tc>
        <w:tc>
          <w:tcPr>
            <w:tcW w:w="0" w:type="auto"/>
            <w:shd w:val="clear" w:color="auto" w:fill="auto"/>
            <w:noWrap/>
            <w:vAlign w:val="bottom"/>
            <w:hideMark/>
          </w:tcPr>
          <w:p w14:paraId="2E8B0F6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Closure</w:t>
            </w:r>
          </w:p>
        </w:tc>
        <w:tc>
          <w:tcPr>
            <w:tcW w:w="0" w:type="auto"/>
            <w:shd w:val="clear" w:color="auto" w:fill="auto"/>
            <w:noWrap/>
            <w:vAlign w:val="bottom"/>
            <w:hideMark/>
          </w:tcPr>
          <w:p w14:paraId="27DB861E"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2BB4E53F"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5CB6C2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8007B2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0.11767</w:t>
            </w:r>
          </w:p>
        </w:tc>
        <w:tc>
          <w:tcPr>
            <w:tcW w:w="0" w:type="auto"/>
            <w:shd w:val="clear" w:color="auto" w:fill="auto"/>
            <w:noWrap/>
            <w:vAlign w:val="bottom"/>
            <w:hideMark/>
          </w:tcPr>
          <w:p w14:paraId="4580FAA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£7.71</w:t>
            </w:r>
          </w:p>
        </w:tc>
        <w:tc>
          <w:tcPr>
            <w:tcW w:w="0" w:type="auto"/>
            <w:shd w:val="clear" w:color="auto" w:fill="auto"/>
            <w:noWrap/>
            <w:vAlign w:val="bottom"/>
            <w:hideMark/>
          </w:tcPr>
          <w:p w14:paraId="001CCC2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7.71 </w:t>
            </w:r>
          </w:p>
        </w:tc>
        <w:tc>
          <w:tcPr>
            <w:tcW w:w="0" w:type="auto"/>
            <w:shd w:val="clear" w:color="auto" w:fill="auto"/>
            <w:noWrap/>
            <w:vAlign w:val="bottom"/>
            <w:hideMark/>
          </w:tcPr>
          <w:p w14:paraId="6BD00AA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2736258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634B7BF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£1,700</w:t>
            </w:r>
          </w:p>
        </w:tc>
        <w:tc>
          <w:tcPr>
            <w:tcW w:w="0" w:type="auto"/>
            <w:shd w:val="clear" w:color="auto" w:fill="auto"/>
            <w:noWrap/>
            <w:vAlign w:val="bottom"/>
            <w:hideMark/>
          </w:tcPr>
          <w:p w14:paraId="61DED81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£272.04</w:t>
            </w:r>
          </w:p>
        </w:tc>
      </w:tr>
      <w:tr w:rsidR="00B70405" w:rsidRPr="00B70405" w14:paraId="1F1594DA" w14:textId="77777777" w:rsidTr="00B70405">
        <w:trPr>
          <w:trHeight w:val="300"/>
        </w:trPr>
        <w:tc>
          <w:tcPr>
            <w:tcW w:w="0" w:type="auto"/>
            <w:shd w:val="clear" w:color="auto" w:fill="auto"/>
            <w:noWrap/>
            <w:vAlign w:val="bottom"/>
            <w:hideMark/>
          </w:tcPr>
          <w:p w14:paraId="3F7542E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63</w:t>
            </w:r>
          </w:p>
        </w:tc>
        <w:tc>
          <w:tcPr>
            <w:tcW w:w="0" w:type="auto"/>
            <w:shd w:val="clear" w:color="auto" w:fill="auto"/>
            <w:noWrap/>
            <w:vAlign w:val="bottom"/>
            <w:hideMark/>
          </w:tcPr>
          <w:p w14:paraId="109451F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Expansion Joints</w:t>
            </w:r>
          </w:p>
        </w:tc>
        <w:tc>
          <w:tcPr>
            <w:tcW w:w="0" w:type="auto"/>
            <w:shd w:val="clear" w:color="auto" w:fill="auto"/>
            <w:noWrap/>
            <w:vAlign w:val="bottom"/>
            <w:hideMark/>
          </w:tcPr>
          <w:p w14:paraId="251A27F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Road Closure - Night</w:t>
            </w:r>
          </w:p>
        </w:tc>
        <w:tc>
          <w:tcPr>
            <w:tcW w:w="0" w:type="auto"/>
            <w:shd w:val="clear" w:color="auto" w:fill="auto"/>
            <w:noWrap/>
            <w:vAlign w:val="bottom"/>
            <w:hideMark/>
          </w:tcPr>
          <w:p w14:paraId="777CB68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w:t>
            </w:r>
          </w:p>
        </w:tc>
        <w:tc>
          <w:tcPr>
            <w:tcW w:w="0" w:type="auto"/>
            <w:shd w:val="clear" w:color="auto" w:fill="auto"/>
            <w:noWrap/>
            <w:vAlign w:val="bottom"/>
            <w:hideMark/>
          </w:tcPr>
          <w:p w14:paraId="06742E6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322587A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4D0ED4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7.29</w:t>
            </w:r>
          </w:p>
        </w:tc>
        <w:tc>
          <w:tcPr>
            <w:tcW w:w="0" w:type="auto"/>
            <w:shd w:val="clear" w:color="auto" w:fill="auto"/>
            <w:noWrap/>
            <w:vAlign w:val="bottom"/>
            <w:hideMark/>
          </w:tcPr>
          <w:p w14:paraId="3E2B82B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£461.36</w:t>
            </w:r>
          </w:p>
        </w:tc>
        <w:tc>
          <w:tcPr>
            <w:tcW w:w="0" w:type="auto"/>
            <w:shd w:val="clear" w:color="auto" w:fill="auto"/>
            <w:noWrap/>
            <w:vAlign w:val="bottom"/>
            <w:hideMark/>
          </w:tcPr>
          <w:p w14:paraId="2641F8E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461.36 </w:t>
            </w:r>
          </w:p>
        </w:tc>
        <w:tc>
          <w:tcPr>
            <w:tcW w:w="0" w:type="auto"/>
            <w:vMerge w:val="restart"/>
            <w:shd w:val="clear" w:color="auto" w:fill="auto"/>
            <w:noWrap/>
            <w:vAlign w:val="bottom"/>
            <w:hideMark/>
          </w:tcPr>
          <w:p w14:paraId="4BF7652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6CF066D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5DA5AEC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£25,456</w:t>
            </w:r>
          </w:p>
        </w:tc>
        <w:tc>
          <w:tcPr>
            <w:tcW w:w="0" w:type="auto"/>
            <w:vMerge w:val="restart"/>
            <w:shd w:val="clear" w:color="auto" w:fill="auto"/>
            <w:noWrap/>
            <w:vAlign w:val="bottom"/>
            <w:hideMark/>
          </w:tcPr>
          <w:p w14:paraId="382FDBF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£3,954.14</w:t>
            </w:r>
          </w:p>
        </w:tc>
      </w:tr>
      <w:tr w:rsidR="00B70405" w:rsidRPr="00B70405" w14:paraId="2BF44283" w14:textId="77777777" w:rsidTr="00B70405">
        <w:trPr>
          <w:trHeight w:val="300"/>
        </w:trPr>
        <w:tc>
          <w:tcPr>
            <w:tcW w:w="0" w:type="auto"/>
            <w:shd w:val="clear" w:color="auto" w:fill="auto"/>
            <w:noWrap/>
            <w:vAlign w:val="bottom"/>
            <w:hideMark/>
          </w:tcPr>
          <w:p w14:paraId="19FC430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63</w:t>
            </w:r>
          </w:p>
        </w:tc>
        <w:tc>
          <w:tcPr>
            <w:tcW w:w="0" w:type="auto"/>
            <w:shd w:val="clear" w:color="auto" w:fill="auto"/>
            <w:noWrap/>
            <w:vAlign w:val="bottom"/>
            <w:hideMark/>
          </w:tcPr>
          <w:p w14:paraId="7DA4BA4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Repair Parapet Handrail/ Parapets/ Safety Fences</w:t>
            </w:r>
          </w:p>
        </w:tc>
        <w:tc>
          <w:tcPr>
            <w:tcW w:w="0" w:type="auto"/>
            <w:shd w:val="clear" w:color="auto" w:fill="auto"/>
            <w:noWrap/>
            <w:vAlign w:val="bottom"/>
            <w:hideMark/>
          </w:tcPr>
          <w:p w14:paraId="338B72B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Closure</w:t>
            </w:r>
          </w:p>
        </w:tc>
        <w:tc>
          <w:tcPr>
            <w:tcW w:w="0" w:type="auto"/>
            <w:shd w:val="clear" w:color="auto" w:fill="auto"/>
            <w:noWrap/>
            <w:vAlign w:val="bottom"/>
            <w:hideMark/>
          </w:tcPr>
          <w:p w14:paraId="07BBA0A2"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440E2066"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CFDAFB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5B4ABDF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3.74</w:t>
            </w:r>
          </w:p>
        </w:tc>
        <w:tc>
          <w:tcPr>
            <w:tcW w:w="0" w:type="auto"/>
            <w:shd w:val="clear" w:color="auto" w:fill="auto"/>
            <w:noWrap/>
            <w:vAlign w:val="bottom"/>
            <w:hideMark/>
          </w:tcPr>
          <w:p w14:paraId="5D66BFD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£236.69</w:t>
            </w:r>
          </w:p>
        </w:tc>
        <w:tc>
          <w:tcPr>
            <w:tcW w:w="0" w:type="auto"/>
            <w:shd w:val="clear" w:color="auto" w:fill="auto"/>
            <w:noWrap/>
            <w:vAlign w:val="bottom"/>
            <w:hideMark/>
          </w:tcPr>
          <w:p w14:paraId="49D97DE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236.69 </w:t>
            </w:r>
          </w:p>
        </w:tc>
        <w:tc>
          <w:tcPr>
            <w:tcW w:w="0" w:type="auto"/>
            <w:vMerge/>
            <w:vAlign w:val="center"/>
            <w:hideMark/>
          </w:tcPr>
          <w:p w14:paraId="37C003F9"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5C65475D"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346FA7CF"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3A856EB1"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2B14BFDB" w14:textId="77777777" w:rsidTr="00B70405">
        <w:trPr>
          <w:trHeight w:val="300"/>
        </w:trPr>
        <w:tc>
          <w:tcPr>
            <w:tcW w:w="0" w:type="auto"/>
            <w:shd w:val="clear" w:color="auto" w:fill="auto"/>
            <w:noWrap/>
            <w:vAlign w:val="bottom"/>
            <w:hideMark/>
          </w:tcPr>
          <w:p w14:paraId="54A856A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63</w:t>
            </w:r>
          </w:p>
        </w:tc>
        <w:tc>
          <w:tcPr>
            <w:tcW w:w="0" w:type="auto"/>
            <w:shd w:val="clear" w:color="auto" w:fill="auto"/>
            <w:noWrap/>
            <w:vAlign w:val="bottom"/>
            <w:hideMark/>
          </w:tcPr>
          <w:p w14:paraId="591063C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64D0F52D"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3F5AB36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5A1AAD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624094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5F85608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1AD4223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£10.76</w:t>
            </w:r>
          </w:p>
        </w:tc>
        <w:tc>
          <w:tcPr>
            <w:tcW w:w="0" w:type="auto"/>
            <w:shd w:val="clear" w:color="auto" w:fill="auto"/>
            <w:noWrap/>
            <w:vAlign w:val="bottom"/>
            <w:hideMark/>
          </w:tcPr>
          <w:p w14:paraId="57303F7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10.76 </w:t>
            </w:r>
          </w:p>
        </w:tc>
        <w:tc>
          <w:tcPr>
            <w:tcW w:w="0" w:type="auto"/>
            <w:vMerge/>
            <w:vAlign w:val="center"/>
            <w:hideMark/>
          </w:tcPr>
          <w:p w14:paraId="70FE87C6"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6FAB99D5"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25397797"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28ADB566"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777244E7" w14:textId="77777777" w:rsidTr="00B70405">
        <w:trPr>
          <w:trHeight w:val="300"/>
        </w:trPr>
        <w:tc>
          <w:tcPr>
            <w:tcW w:w="0" w:type="auto"/>
            <w:shd w:val="clear" w:color="auto" w:fill="auto"/>
            <w:noWrap/>
            <w:vAlign w:val="bottom"/>
            <w:hideMark/>
          </w:tcPr>
          <w:p w14:paraId="5610F81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64</w:t>
            </w:r>
          </w:p>
        </w:tc>
        <w:tc>
          <w:tcPr>
            <w:tcW w:w="0" w:type="auto"/>
            <w:shd w:val="clear" w:color="auto" w:fill="auto"/>
            <w:noWrap/>
            <w:vAlign w:val="bottom"/>
            <w:hideMark/>
          </w:tcPr>
          <w:p w14:paraId="6409974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Access/ Walkways/ Gantries</w:t>
            </w:r>
          </w:p>
        </w:tc>
        <w:tc>
          <w:tcPr>
            <w:tcW w:w="0" w:type="auto"/>
            <w:shd w:val="clear" w:color="auto" w:fill="auto"/>
            <w:noWrap/>
            <w:vAlign w:val="bottom"/>
            <w:hideMark/>
          </w:tcPr>
          <w:p w14:paraId="5EFCE58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26FED72B"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19916603"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A034F5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C06A22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0.6</w:t>
            </w:r>
          </w:p>
        </w:tc>
        <w:tc>
          <w:tcPr>
            <w:tcW w:w="0" w:type="auto"/>
            <w:shd w:val="clear" w:color="auto" w:fill="auto"/>
            <w:noWrap/>
            <w:vAlign w:val="bottom"/>
            <w:hideMark/>
          </w:tcPr>
          <w:p w14:paraId="55888AC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£36.69</w:t>
            </w:r>
          </w:p>
        </w:tc>
        <w:tc>
          <w:tcPr>
            <w:tcW w:w="0" w:type="auto"/>
            <w:shd w:val="clear" w:color="auto" w:fill="auto"/>
            <w:noWrap/>
            <w:vAlign w:val="bottom"/>
            <w:hideMark/>
          </w:tcPr>
          <w:p w14:paraId="724042C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36.69 </w:t>
            </w:r>
          </w:p>
        </w:tc>
        <w:tc>
          <w:tcPr>
            <w:tcW w:w="0" w:type="auto"/>
            <w:shd w:val="clear" w:color="auto" w:fill="auto"/>
            <w:noWrap/>
            <w:vAlign w:val="bottom"/>
            <w:hideMark/>
          </w:tcPr>
          <w:p w14:paraId="264E309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20AA231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A10D8D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£41,101</w:t>
            </w:r>
          </w:p>
        </w:tc>
        <w:tc>
          <w:tcPr>
            <w:tcW w:w="0" w:type="auto"/>
            <w:shd w:val="clear" w:color="auto" w:fill="auto"/>
            <w:noWrap/>
            <w:vAlign w:val="bottom"/>
            <w:hideMark/>
          </w:tcPr>
          <w:p w14:paraId="335C4FE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£6,198.24</w:t>
            </w:r>
          </w:p>
        </w:tc>
      </w:tr>
      <w:tr w:rsidR="00B70405" w:rsidRPr="00B70405" w14:paraId="0465E841" w14:textId="77777777" w:rsidTr="00B70405">
        <w:trPr>
          <w:trHeight w:val="300"/>
        </w:trPr>
        <w:tc>
          <w:tcPr>
            <w:tcW w:w="0" w:type="auto"/>
            <w:shd w:val="clear" w:color="auto" w:fill="auto"/>
            <w:noWrap/>
            <w:vAlign w:val="bottom"/>
            <w:hideMark/>
          </w:tcPr>
          <w:p w14:paraId="75CA590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65</w:t>
            </w:r>
          </w:p>
        </w:tc>
        <w:tc>
          <w:tcPr>
            <w:tcW w:w="0" w:type="auto"/>
            <w:shd w:val="clear" w:color="auto" w:fill="auto"/>
            <w:noWrap/>
            <w:vAlign w:val="bottom"/>
            <w:hideMark/>
          </w:tcPr>
          <w:p w14:paraId="6EC5B51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Renew waterproofing</w:t>
            </w:r>
          </w:p>
        </w:tc>
        <w:tc>
          <w:tcPr>
            <w:tcW w:w="0" w:type="auto"/>
            <w:shd w:val="clear" w:color="auto" w:fill="auto"/>
            <w:noWrap/>
            <w:vAlign w:val="bottom"/>
            <w:hideMark/>
          </w:tcPr>
          <w:p w14:paraId="31C1D81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Contraflow</w:t>
            </w:r>
          </w:p>
        </w:tc>
        <w:tc>
          <w:tcPr>
            <w:tcW w:w="0" w:type="auto"/>
            <w:shd w:val="clear" w:color="auto" w:fill="auto"/>
            <w:noWrap/>
            <w:vAlign w:val="bottom"/>
            <w:hideMark/>
          </w:tcPr>
          <w:p w14:paraId="748C2AB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10</w:t>
            </w:r>
          </w:p>
        </w:tc>
        <w:tc>
          <w:tcPr>
            <w:tcW w:w="0" w:type="auto"/>
            <w:shd w:val="clear" w:color="auto" w:fill="auto"/>
            <w:noWrap/>
            <w:vAlign w:val="bottom"/>
            <w:hideMark/>
          </w:tcPr>
          <w:p w14:paraId="404ED2EB"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2AFE5CB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B3775B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6.2</w:t>
            </w:r>
          </w:p>
        </w:tc>
        <w:tc>
          <w:tcPr>
            <w:tcW w:w="0" w:type="auto"/>
            <w:shd w:val="clear" w:color="auto" w:fill="auto"/>
            <w:noWrap/>
            <w:vAlign w:val="bottom"/>
            <w:hideMark/>
          </w:tcPr>
          <w:p w14:paraId="19AB4E1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£366.42</w:t>
            </w:r>
          </w:p>
        </w:tc>
        <w:tc>
          <w:tcPr>
            <w:tcW w:w="0" w:type="auto"/>
            <w:shd w:val="clear" w:color="auto" w:fill="auto"/>
            <w:noWrap/>
            <w:vAlign w:val="bottom"/>
            <w:hideMark/>
          </w:tcPr>
          <w:p w14:paraId="5BDF77C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366.42 </w:t>
            </w:r>
          </w:p>
        </w:tc>
        <w:tc>
          <w:tcPr>
            <w:tcW w:w="0" w:type="auto"/>
            <w:shd w:val="clear" w:color="auto" w:fill="auto"/>
            <w:noWrap/>
            <w:vAlign w:val="bottom"/>
            <w:hideMark/>
          </w:tcPr>
          <w:p w14:paraId="2703330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40C9B20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4BF23D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£295,983</w:t>
            </w:r>
          </w:p>
        </w:tc>
        <w:tc>
          <w:tcPr>
            <w:tcW w:w="0" w:type="auto"/>
            <w:shd w:val="clear" w:color="auto" w:fill="auto"/>
            <w:noWrap/>
            <w:vAlign w:val="bottom"/>
            <w:hideMark/>
          </w:tcPr>
          <w:p w14:paraId="03CDACA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£43,335.78</w:t>
            </w:r>
          </w:p>
        </w:tc>
      </w:tr>
      <w:tr w:rsidR="00B70405" w:rsidRPr="00B70405" w14:paraId="59D4725C" w14:textId="77777777" w:rsidTr="00B70405">
        <w:trPr>
          <w:trHeight w:val="300"/>
        </w:trPr>
        <w:tc>
          <w:tcPr>
            <w:tcW w:w="0" w:type="auto"/>
            <w:shd w:val="clear" w:color="auto" w:fill="auto"/>
            <w:noWrap/>
            <w:vAlign w:val="bottom"/>
            <w:hideMark/>
          </w:tcPr>
          <w:p w14:paraId="548BA7B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66</w:t>
            </w:r>
          </w:p>
        </w:tc>
        <w:tc>
          <w:tcPr>
            <w:tcW w:w="0" w:type="auto"/>
            <w:shd w:val="clear" w:color="auto" w:fill="auto"/>
            <w:noWrap/>
            <w:vAlign w:val="bottom"/>
            <w:hideMark/>
          </w:tcPr>
          <w:p w14:paraId="0CAD970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7A87E44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4A4E220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27B7DDF"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698910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5FFA7A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1BCFBF2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£9.71</w:t>
            </w:r>
          </w:p>
        </w:tc>
        <w:tc>
          <w:tcPr>
            <w:tcW w:w="0" w:type="auto"/>
            <w:shd w:val="clear" w:color="auto" w:fill="auto"/>
            <w:noWrap/>
            <w:vAlign w:val="bottom"/>
            <w:hideMark/>
          </w:tcPr>
          <w:p w14:paraId="0BE452C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9.71 </w:t>
            </w:r>
          </w:p>
        </w:tc>
        <w:tc>
          <w:tcPr>
            <w:tcW w:w="0" w:type="auto"/>
            <w:vMerge w:val="restart"/>
            <w:shd w:val="clear" w:color="auto" w:fill="auto"/>
            <w:noWrap/>
            <w:vAlign w:val="bottom"/>
            <w:hideMark/>
          </w:tcPr>
          <w:p w14:paraId="51490E9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7AC260D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0E0A271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£684</w:t>
            </w:r>
          </w:p>
        </w:tc>
        <w:tc>
          <w:tcPr>
            <w:tcW w:w="0" w:type="auto"/>
            <w:vMerge w:val="restart"/>
            <w:shd w:val="clear" w:color="auto" w:fill="auto"/>
            <w:noWrap/>
            <w:vAlign w:val="bottom"/>
            <w:hideMark/>
          </w:tcPr>
          <w:p w14:paraId="3689A6E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£97.28</w:t>
            </w:r>
          </w:p>
        </w:tc>
      </w:tr>
      <w:tr w:rsidR="00B70405" w:rsidRPr="00B70405" w14:paraId="4CE38BEC" w14:textId="77777777" w:rsidTr="00B70405">
        <w:trPr>
          <w:trHeight w:val="300"/>
        </w:trPr>
        <w:tc>
          <w:tcPr>
            <w:tcW w:w="0" w:type="auto"/>
            <w:shd w:val="clear" w:color="auto" w:fill="auto"/>
            <w:noWrap/>
            <w:vAlign w:val="bottom"/>
            <w:hideMark/>
          </w:tcPr>
          <w:p w14:paraId="4634251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66</w:t>
            </w:r>
          </w:p>
        </w:tc>
        <w:tc>
          <w:tcPr>
            <w:tcW w:w="0" w:type="auto"/>
            <w:shd w:val="clear" w:color="auto" w:fill="auto"/>
            <w:noWrap/>
            <w:vAlign w:val="bottom"/>
            <w:hideMark/>
          </w:tcPr>
          <w:p w14:paraId="597FABE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Substructure drainage maintenance</w:t>
            </w:r>
          </w:p>
        </w:tc>
        <w:tc>
          <w:tcPr>
            <w:tcW w:w="0" w:type="auto"/>
            <w:shd w:val="clear" w:color="auto" w:fill="auto"/>
            <w:noWrap/>
            <w:vAlign w:val="bottom"/>
            <w:hideMark/>
          </w:tcPr>
          <w:p w14:paraId="11F1F6B7"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0A927664"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FD49EBD"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ADA8C4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D4474E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4645BE7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£9.71</w:t>
            </w:r>
          </w:p>
        </w:tc>
        <w:tc>
          <w:tcPr>
            <w:tcW w:w="0" w:type="auto"/>
            <w:shd w:val="clear" w:color="auto" w:fill="auto"/>
            <w:noWrap/>
            <w:vAlign w:val="bottom"/>
            <w:hideMark/>
          </w:tcPr>
          <w:p w14:paraId="7CA8176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9.71 </w:t>
            </w:r>
          </w:p>
        </w:tc>
        <w:tc>
          <w:tcPr>
            <w:tcW w:w="0" w:type="auto"/>
            <w:vMerge/>
            <w:vAlign w:val="center"/>
            <w:hideMark/>
          </w:tcPr>
          <w:p w14:paraId="57975550"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63B0B833"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0D976A13"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04CD23D0"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3664219A" w14:textId="77777777" w:rsidTr="00B70405">
        <w:trPr>
          <w:trHeight w:val="300"/>
        </w:trPr>
        <w:tc>
          <w:tcPr>
            <w:tcW w:w="0" w:type="auto"/>
            <w:shd w:val="clear" w:color="auto" w:fill="auto"/>
            <w:noWrap/>
            <w:vAlign w:val="bottom"/>
            <w:hideMark/>
          </w:tcPr>
          <w:p w14:paraId="507BC0C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67</w:t>
            </w:r>
          </w:p>
        </w:tc>
        <w:tc>
          <w:tcPr>
            <w:tcW w:w="0" w:type="auto"/>
            <w:shd w:val="clear" w:color="auto" w:fill="auto"/>
            <w:noWrap/>
            <w:vAlign w:val="bottom"/>
            <w:hideMark/>
          </w:tcPr>
          <w:p w14:paraId="369EE57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Expansion Joints</w:t>
            </w:r>
          </w:p>
        </w:tc>
        <w:tc>
          <w:tcPr>
            <w:tcW w:w="0" w:type="auto"/>
            <w:shd w:val="clear" w:color="auto" w:fill="auto"/>
            <w:noWrap/>
            <w:vAlign w:val="bottom"/>
            <w:hideMark/>
          </w:tcPr>
          <w:p w14:paraId="08D6AE6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Road Closure - Night</w:t>
            </w:r>
          </w:p>
        </w:tc>
        <w:tc>
          <w:tcPr>
            <w:tcW w:w="0" w:type="auto"/>
            <w:shd w:val="clear" w:color="auto" w:fill="auto"/>
            <w:noWrap/>
            <w:vAlign w:val="bottom"/>
            <w:hideMark/>
          </w:tcPr>
          <w:p w14:paraId="2EEE400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w:t>
            </w:r>
          </w:p>
        </w:tc>
        <w:tc>
          <w:tcPr>
            <w:tcW w:w="0" w:type="auto"/>
            <w:shd w:val="clear" w:color="auto" w:fill="auto"/>
            <w:noWrap/>
            <w:vAlign w:val="bottom"/>
            <w:hideMark/>
          </w:tcPr>
          <w:p w14:paraId="051BEBE6"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1B357A5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DA4619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7.29</w:t>
            </w:r>
          </w:p>
        </w:tc>
        <w:tc>
          <w:tcPr>
            <w:tcW w:w="0" w:type="auto"/>
            <w:shd w:val="clear" w:color="auto" w:fill="auto"/>
            <w:noWrap/>
            <w:vAlign w:val="bottom"/>
            <w:hideMark/>
          </w:tcPr>
          <w:p w14:paraId="5641620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£402.30</w:t>
            </w:r>
          </w:p>
        </w:tc>
        <w:tc>
          <w:tcPr>
            <w:tcW w:w="0" w:type="auto"/>
            <w:shd w:val="clear" w:color="auto" w:fill="auto"/>
            <w:noWrap/>
            <w:vAlign w:val="bottom"/>
            <w:hideMark/>
          </w:tcPr>
          <w:p w14:paraId="2559B36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402.30 </w:t>
            </w:r>
          </w:p>
        </w:tc>
        <w:tc>
          <w:tcPr>
            <w:tcW w:w="0" w:type="auto"/>
            <w:vMerge w:val="restart"/>
            <w:shd w:val="clear" w:color="auto" w:fill="auto"/>
            <w:noWrap/>
            <w:vAlign w:val="bottom"/>
            <w:hideMark/>
          </w:tcPr>
          <w:p w14:paraId="7D43631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1D3DFEF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6E6B22D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£313,050</w:t>
            </w:r>
          </w:p>
        </w:tc>
        <w:tc>
          <w:tcPr>
            <w:tcW w:w="0" w:type="auto"/>
            <w:vMerge w:val="restart"/>
            <w:shd w:val="clear" w:color="auto" w:fill="auto"/>
            <w:noWrap/>
            <w:vAlign w:val="bottom"/>
            <w:hideMark/>
          </w:tcPr>
          <w:p w14:paraId="1F23AB0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£43,203.55</w:t>
            </w:r>
          </w:p>
        </w:tc>
      </w:tr>
      <w:tr w:rsidR="00B70405" w:rsidRPr="00B70405" w14:paraId="6734572A" w14:textId="77777777" w:rsidTr="00B70405">
        <w:trPr>
          <w:trHeight w:val="300"/>
        </w:trPr>
        <w:tc>
          <w:tcPr>
            <w:tcW w:w="0" w:type="auto"/>
            <w:shd w:val="clear" w:color="auto" w:fill="auto"/>
            <w:noWrap/>
            <w:vAlign w:val="bottom"/>
            <w:hideMark/>
          </w:tcPr>
          <w:p w14:paraId="3A69DB6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67</w:t>
            </w:r>
          </w:p>
        </w:tc>
        <w:tc>
          <w:tcPr>
            <w:tcW w:w="0" w:type="auto"/>
            <w:shd w:val="clear" w:color="auto" w:fill="auto"/>
            <w:noWrap/>
            <w:vAlign w:val="bottom"/>
            <w:hideMark/>
          </w:tcPr>
          <w:p w14:paraId="0A13AD3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Metalwork repairs to weathering steel beams</w:t>
            </w:r>
          </w:p>
        </w:tc>
        <w:tc>
          <w:tcPr>
            <w:tcW w:w="0" w:type="auto"/>
            <w:shd w:val="clear" w:color="auto" w:fill="auto"/>
            <w:noWrap/>
            <w:vAlign w:val="bottom"/>
            <w:hideMark/>
          </w:tcPr>
          <w:p w14:paraId="2FE87E1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053A9FF6"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35176527"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D90594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5BD663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13.38</w:t>
            </w:r>
          </w:p>
        </w:tc>
        <w:tc>
          <w:tcPr>
            <w:tcW w:w="0" w:type="auto"/>
            <w:shd w:val="clear" w:color="auto" w:fill="auto"/>
            <w:noWrap/>
            <w:vAlign w:val="bottom"/>
            <w:hideMark/>
          </w:tcPr>
          <w:p w14:paraId="4E06FDA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£738.38</w:t>
            </w:r>
          </w:p>
        </w:tc>
        <w:tc>
          <w:tcPr>
            <w:tcW w:w="0" w:type="auto"/>
            <w:shd w:val="clear" w:color="auto" w:fill="auto"/>
            <w:noWrap/>
            <w:vAlign w:val="bottom"/>
            <w:hideMark/>
          </w:tcPr>
          <w:p w14:paraId="7D3E004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738.38 </w:t>
            </w:r>
          </w:p>
        </w:tc>
        <w:tc>
          <w:tcPr>
            <w:tcW w:w="0" w:type="auto"/>
            <w:vMerge/>
            <w:vAlign w:val="center"/>
            <w:hideMark/>
          </w:tcPr>
          <w:p w14:paraId="4E9D935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0E2B1C19"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26E19F3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38A68475"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12A81DF0" w14:textId="77777777" w:rsidTr="00B70405">
        <w:trPr>
          <w:trHeight w:val="300"/>
        </w:trPr>
        <w:tc>
          <w:tcPr>
            <w:tcW w:w="0" w:type="auto"/>
            <w:shd w:val="clear" w:color="auto" w:fill="auto"/>
            <w:noWrap/>
            <w:vAlign w:val="bottom"/>
            <w:hideMark/>
          </w:tcPr>
          <w:p w14:paraId="5E00DE3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68</w:t>
            </w:r>
          </w:p>
        </w:tc>
        <w:tc>
          <w:tcPr>
            <w:tcW w:w="0" w:type="auto"/>
            <w:shd w:val="clear" w:color="auto" w:fill="auto"/>
            <w:noWrap/>
            <w:vAlign w:val="bottom"/>
            <w:hideMark/>
          </w:tcPr>
          <w:p w14:paraId="6259DCC3"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2C771D8D"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0B5759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C6D6471"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BB3389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58FB8B9"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25AE7B4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31BD40F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4472379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6CCAAED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6A2169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034895D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0BF9A0E5" w14:textId="77777777" w:rsidTr="00B70405">
        <w:trPr>
          <w:trHeight w:val="300"/>
        </w:trPr>
        <w:tc>
          <w:tcPr>
            <w:tcW w:w="0" w:type="auto"/>
            <w:shd w:val="clear" w:color="auto" w:fill="auto"/>
            <w:noWrap/>
            <w:vAlign w:val="bottom"/>
            <w:hideMark/>
          </w:tcPr>
          <w:p w14:paraId="56913DB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69</w:t>
            </w:r>
          </w:p>
        </w:tc>
        <w:tc>
          <w:tcPr>
            <w:tcW w:w="0" w:type="auto"/>
            <w:shd w:val="clear" w:color="auto" w:fill="auto"/>
            <w:noWrap/>
            <w:vAlign w:val="bottom"/>
            <w:hideMark/>
          </w:tcPr>
          <w:p w14:paraId="1CF9181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1B1E8500"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CE1058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F9DCC2E"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3AEED2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28CC04D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35E1D37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£8.76</w:t>
            </w:r>
          </w:p>
        </w:tc>
        <w:tc>
          <w:tcPr>
            <w:tcW w:w="0" w:type="auto"/>
            <w:shd w:val="clear" w:color="auto" w:fill="auto"/>
            <w:noWrap/>
            <w:vAlign w:val="bottom"/>
            <w:hideMark/>
          </w:tcPr>
          <w:p w14:paraId="337A5AA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8.76 </w:t>
            </w:r>
          </w:p>
        </w:tc>
        <w:tc>
          <w:tcPr>
            <w:tcW w:w="0" w:type="auto"/>
            <w:vMerge w:val="restart"/>
            <w:shd w:val="clear" w:color="auto" w:fill="auto"/>
            <w:noWrap/>
            <w:vAlign w:val="bottom"/>
            <w:hideMark/>
          </w:tcPr>
          <w:p w14:paraId="77F41A5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6AA2A65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7CD4167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£11,474</w:t>
            </w:r>
          </w:p>
        </w:tc>
        <w:tc>
          <w:tcPr>
            <w:tcW w:w="0" w:type="auto"/>
            <w:vMerge w:val="restart"/>
            <w:shd w:val="clear" w:color="auto" w:fill="auto"/>
            <w:noWrap/>
            <w:vAlign w:val="bottom"/>
            <w:hideMark/>
          </w:tcPr>
          <w:p w14:paraId="6F6EE2A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£1,492.55</w:t>
            </w:r>
          </w:p>
        </w:tc>
      </w:tr>
      <w:tr w:rsidR="00B70405" w:rsidRPr="00B70405" w14:paraId="0013C629" w14:textId="77777777" w:rsidTr="00B70405">
        <w:trPr>
          <w:trHeight w:val="300"/>
        </w:trPr>
        <w:tc>
          <w:tcPr>
            <w:tcW w:w="0" w:type="auto"/>
            <w:shd w:val="clear" w:color="auto" w:fill="auto"/>
            <w:noWrap/>
            <w:vAlign w:val="bottom"/>
            <w:hideMark/>
          </w:tcPr>
          <w:p w14:paraId="029E39A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69</w:t>
            </w:r>
          </w:p>
        </w:tc>
        <w:tc>
          <w:tcPr>
            <w:tcW w:w="0" w:type="auto"/>
            <w:shd w:val="clear" w:color="auto" w:fill="auto"/>
            <w:noWrap/>
            <w:vAlign w:val="bottom"/>
            <w:hideMark/>
          </w:tcPr>
          <w:p w14:paraId="0B16619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Carriageway repairs</w:t>
            </w:r>
          </w:p>
        </w:tc>
        <w:tc>
          <w:tcPr>
            <w:tcW w:w="0" w:type="auto"/>
            <w:shd w:val="clear" w:color="auto" w:fill="auto"/>
            <w:noWrap/>
            <w:vAlign w:val="bottom"/>
            <w:hideMark/>
          </w:tcPr>
          <w:p w14:paraId="74AA678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Lane Closures</w:t>
            </w:r>
          </w:p>
        </w:tc>
        <w:tc>
          <w:tcPr>
            <w:tcW w:w="0" w:type="auto"/>
            <w:shd w:val="clear" w:color="auto" w:fill="auto"/>
            <w:noWrap/>
            <w:vAlign w:val="bottom"/>
            <w:hideMark/>
          </w:tcPr>
          <w:p w14:paraId="48525AB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w:t>
            </w:r>
          </w:p>
        </w:tc>
        <w:tc>
          <w:tcPr>
            <w:tcW w:w="0" w:type="auto"/>
            <w:shd w:val="clear" w:color="auto" w:fill="auto"/>
            <w:noWrap/>
            <w:vAlign w:val="bottom"/>
            <w:hideMark/>
          </w:tcPr>
          <w:p w14:paraId="1A6EB6F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246EA43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439F5E9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0.70233</w:t>
            </w:r>
          </w:p>
        </w:tc>
        <w:tc>
          <w:tcPr>
            <w:tcW w:w="0" w:type="auto"/>
            <w:shd w:val="clear" w:color="auto" w:fill="auto"/>
            <w:noWrap/>
            <w:vAlign w:val="bottom"/>
            <w:hideMark/>
          </w:tcPr>
          <w:p w14:paraId="53FCF46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£36.19</w:t>
            </w:r>
          </w:p>
        </w:tc>
        <w:tc>
          <w:tcPr>
            <w:tcW w:w="0" w:type="auto"/>
            <w:shd w:val="clear" w:color="auto" w:fill="auto"/>
            <w:noWrap/>
            <w:vAlign w:val="bottom"/>
            <w:hideMark/>
          </w:tcPr>
          <w:p w14:paraId="2A386DE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36.19 </w:t>
            </w:r>
          </w:p>
        </w:tc>
        <w:tc>
          <w:tcPr>
            <w:tcW w:w="0" w:type="auto"/>
            <w:vMerge/>
            <w:vAlign w:val="center"/>
            <w:hideMark/>
          </w:tcPr>
          <w:p w14:paraId="51DC2A80"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06576192"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6146D52F"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756D6049"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54F2F7A3" w14:textId="77777777" w:rsidTr="00B70405">
        <w:trPr>
          <w:trHeight w:val="300"/>
        </w:trPr>
        <w:tc>
          <w:tcPr>
            <w:tcW w:w="0" w:type="auto"/>
            <w:shd w:val="clear" w:color="auto" w:fill="auto"/>
            <w:noWrap/>
            <w:vAlign w:val="bottom"/>
            <w:hideMark/>
          </w:tcPr>
          <w:p w14:paraId="11A5CD4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70</w:t>
            </w:r>
          </w:p>
        </w:tc>
        <w:tc>
          <w:tcPr>
            <w:tcW w:w="0" w:type="auto"/>
            <w:shd w:val="clear" w:color="auto" w:fill="auto"/>
            <w:noWrap/>
            <w:vAlign w:val="bottom"/>
            <w:hideMark/>
          </w:tcPr>
          <w:p w14:paraId="20C0704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11A08C10"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72A068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2490BD0"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756E8D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C2EE4A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5E07EBF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£8.46</w:t>
            </w:r>
          </w:p>
        </w:tc>
        <w:tc>
          <w:tcPr>
            <w:tcW w:w="0" w:type="auto"/>
            <w:shd w:val="clear" w:color="auto" w:fill="auto"/>
            <w:noWrap/>
            <w:vAlign w:val="bottom"/>
            <w:hideMark/>
          </w:tcPr>
          <w:p w14:paraId="70F4F74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8.46 </w:t>
            </w:r>
          </w:p>
        </w:tc>
        <w:tc>
          <w:tcPr>
            <w:tcW w:w="0" w:type="auto"/>
            <w:vMerge w:val="restart"/>
            <w:shd w:val="clear" w:color="auto" w:fill="auto"/>
            <w:noWrap/>
            <w:vAlign w:val="bottom"/>
            <w:hideMark/>
          </w:tcPr>
          <w:p w14:paraId="00BFBC6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56ACAD3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397CF37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£39,186</w:t>
            </w:r>
          </w:p>
        </w:tc>
        <w:tc>
          <w:tcPr>
            <w:tcW w:w="0" w:type="auto"/>
            <w:vMerge w:val="restart"/>
            <w:shd w:val="clear" w:color="auto" w:fill="auto"/>
            <w:noWrap/>
            <w:vAlign w:val="bottom"/>
            <w:hideMark/>
          </w:tcPr>
          <w:p w14:paraId="0995DAA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£4,949.14</w:t>
            </w:r>
          </w:p>
        </w:tc>
      </w:tr>
      <w:tr w:rsidR="00B70405" w:rsidRPr="00B70405" w14:paraId="7AA24321" w14:textId="77777777" w:rsidTr="00B70405">
        <w:trPr>
          <w:trHeight w:val="300"/>
        </w:trPr>
        <w:tc>
          <w:tcPr>
            <w:tcW w:w="0" w:type="auto"/>
            <w:shd w:val="clear" w:color="auto" w:fill="auto"/>
            <w:noWrap/>
            <w:vAlign w:val="bottom"/>
            <w:hideMark/>
          </w:tcPr>
          <w:p w14:paraId="08130B6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70</w:t>
            </w:r>
          </w:p>
        </w:tc>
        <w:tc>
          <w:tcPr>
            <w:tcW w:w="0" w:type="auto"/>
            <w:shd w:val="clear" w:color="auto" w:fill="auto"/>
            <w:noWrap/>
            <w:vAlign w:val="bottom"/>
            <w:hideMark/>
          </w:tcPr>
          <w:p w14:paraId="5DA9F49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Retaining wall repairs</w:t>
            </w:r>
          </w:p>
        </w:tc>
        <w:tc>
          <w:tcPr>
            <w:tcW w:w="0" w:type="auto"/>
            <w:shd w:val="clear" w:color="auto" w:fill="auto"/>
            <w:noWrap/>
            <w:vAlign w:val="bottom"/>
            <w:hideMark/>
          </w:tcPr>
          <w:p w14:paraId="5C193433"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4DF45F38"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2F5C741"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9E9CF4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39C16EE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13.74</w:t>
            </w:r>
          </w:p>
        </w:tc>
        <w:tc>
          <w:tcPr>
            <w:tcW w:w="0" w:type="auto"/>
            <w:shd w:val="clear" w:color="auto" w:fill="auto"/>
            <w:noWrap/>
            <w:vAlign w:val="bottom"/>
            <w:hideMark/>
          </w:tcPr>
          <w:p w14:paraId="4CC919F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£684.07</w:t>
            </w:r>
          </w:p>
        </w:tc>
        <w:tc>
          <w:tcPr>
            <w:tcW w:w="0" w:type="auto"/>
            <w:shd w:val="clear" w:color="auto" w:fill="auto"/>
            <w:noWrap/>
            <w:vAlign w:val="bottom"/>
            <w:hideMark/>
          </w:tcPr>
          <w:p w14:paraId="59F513F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684.07 </w:t>
            </w:r>
          </w:p>
        </w:tc>
        <w:tc>
          <w:tcPr>
            <w:tcW w:w="0" w:type="auto"/>
            <w:vMerge/>
            <w:vAlign w:val="center"/>
            <w:hideMark/>
          </w:tcPr>
          <w:p w14:paraId="2A0B7CF1"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15C4E259"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3D2C3E08"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6554A09B"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5984DFC3" w14:textId="77777777" w:rsidTr="00B70405">
        <w:trPr>
          <w:trHeight w:val="300"/>
        </w:trPr>
        <w:tc>
          <w:tcPr>
            <w:tcW w:w="0" w:type="auto"/>
            <w:shd w:val="clear" w:color="auto" w:fill="auto"/>
            <w:noWrap/>
            <w:vAlign w:val="bottom"/>
            <w:hideMark/>
          </w:tcPr>
          <w:p w14:paraId="3DF64D9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71</w:t>
            </w:r>
          </w:p>
        </w:tc>
        <w:tc>
          <w:tcPr>
            <w:tcW w:w="0" w:type="auto"/>
            <w:shd w:val="clear" w:color="auto" w:fill="auto"/>
            <w:noWrap/>
            <w:vAlign w:val="bottom"/>
            <w:hideMark/>
          </w:tcPr>
          <w:p w14:paraId="2D0C46F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Substructure drainage maintenance</w:t>
            </w:r>
          </w:p>
        </w:tc>
        <w:tc>
          <w:tcPr>
            <w:tcW w:w="0" w:type="auto"/>
            <w:shd w:val="clear" w:color="auto" w:fill="auto"/>
            <w:noWrap/>
            <w:vAlign w:val="bottom"/>
            <w:hideMark/>
          </w:tcPr>
          <w:p w14:paraId="4B0C58A3"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33B1414E"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22309E1"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53ECD9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5561CCF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2400A83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£8.15</w:t>
            </w:r>
          </w:p>
        </w:tc>
        <w:tc>
          <w:tcPr>
            <w:tcW w:w="0" w:type="auto"/>
            <w:shd w:val="clear" w:color="auto" w:fill="auto"/>
            <w:noWrap/>
            <w:vAlign w:val="bottom"/>
            <w:hideMark/>
          </w:tcPr>
          <w:p w14:paraId="4841742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8.15 </w:t>
            </w:r>
          </w:p>
        </w:tc>
        <w:tc>
          <w:tcPr>
            <w:tcW w:w="0" w:type="auto"/>
            <w:vMerge w:val="restart"/>
            <w:shd w:val="clear" w:color="auto" w:fill="auto"/>
            <w:noWrap/>
            <w:vAlign w:val="bottom"/>
            <w:hideMark/>
          </w:tcPr>
          <w:p w14:paraId="1212154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5AC5EF3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76782A2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£14,004</w:t>
            </w:r>
          </w:p>
        </w:tc>
        <w:tc>
          <w:tcPr>
            <w:tcW w:w="0" w:type="auto"/>
            <w:vMerge w:val="restart"/>
            <w:shd w:val="clear" w:color="auto" w:fill="auto"/>
            <w:noWrap/>
            <w:vAlign w:val="bottom"/>
            <w:hideMark/>
          </w:tcPr>
          <w:p w14:paraId="7AF664C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£1,717.20</w:t>
            </w:r>
          </w:p>
        </w:tc>
      </w:tr>
      <w:tr w:rsidR="00B70405" w:rsidRPr="00B70405" w14:paraId="350DC88F" w14:textId="77777777" w:rsidTr="00B70405">
        <w:trPr>
          <w:trHeight w:val="300"/>
        </w:trPr>
        <w:tc>
          <w:tcPr>
            <w:tcW w:w="0" w:type="auto"/>
            <w:shd w:val="clear" w:color="auto" w:fill="auto"/>
            <w:noWrap/>
            <w:vAlign w:val="bottom"/>
            <w:hideMark/>
          </w:tcPr>
          <w:p w14:paraId="598921F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71</w:t>
            </w:r>
          </w:p>
        </w:tc>
        <w:tc>
          <w:tcPr>
            <w:tcW w:w="0" w:type="auto"/>
            <w:shd w:val="clear" w:color="auto" w:fill="auto"/>
            <w:noWrap/>
            <w:vAlign w:val="bottom"/>
            <w:hideMark/>
          </w:tcPr>
          <w:p w14:paraId="7CE8F0A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Concrete repairs to bearing plinth / shelf</w:t>
            </w:r>
          </w:p>
        </w:tc>
        <w:tc>
          <w:tcPr>
            <w:tcW w:w="0" w:type="auto"/>
            <w:shd w:val="clear" w:color="auto" w:fill="auto"/>
            <w:noWrap/>
            <w:vAlign w:val="bottom"/>
            <w:hideMark/>
          </w:tcPr>
          <w:p w14:paraId="0F65DE9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5217F954"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CC4DC23"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73E15A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13D0EFD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1.9</w:t>
            </w:r>
          </w:p>
        </w:tc>
        <w:tc>
          <w:tcPr>
            <w:tcW w:w="0" w:type="auto"/>
            <w:shd w:val="clear" w:color="auto" w:fill="auto"/>
            <w:noWrap/>
            <w:vAlign w:val="bottom"/>
            <w:hideMark/>
          </w:tcPr>
          <w:p w14:paraId="518E254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£91.08</w:t>
            </w:r>
          </w:p>
        </w:tc>
        <w:tc>
          <w:tcPr>
            <w:tcW w:w="0" w:type="auto"/>
            <w:shd w:val="clear" w:color="auto" w:fill="auto"/>
            <w:noWrap/>
            <w:vAlign w:val="bottom"/>
            <w:hideMark/>
          </w:tcPr>
          <w:p w14:paraId="553A1A7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91.08 </w:t>
            </w:r>
          </w:p>
        </w:tc>
        <w:tc>
          <w:tcPr>
            <w:tcW w:w="0" w:type="auto"/>
            <w:vMerge/>
            <w:vAlign w:val="center"/>
            <w:hideMark/>
          </w:tcPr>
          <w:p w14:paraId="311748F6"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6556E280"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513C403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0F7921AE"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4008315D" w14:textId="77777777" w:rsidTr="00B70405">
        <w:trPr>
          <w:trHeight w:val="300"/>
        </w:trPr>
        <w:tc>
          <w:tcPr>
            <w:tcW w:w="0" w:type="auto"/>
            <w:shd w:val="clear" w:color="auto" w:fill="auto"/>
            <w:noWrap/>
            <w:vAlign w:val="bottom"/>
            <w:hideMark/>
          </w:tcPr>
          <w:p w14:paraId="6CD3E03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72</w:t>
            </w:r>
          </w:p>
        </w:tc>
        <w:tc>
          <w:tcPr>
            <w:tcW w:w="0" w:type="auto"/>
            <w:shd w:val="clear" w:color="auto" w:fill="auto"/>
            <w:noWrap/>
            <w:vAlign w:val="bottom"/>
            <w:hideMark/>
          </w:tcPr>
          <w:p w14:paraId="174D04F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00C3EB5F"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729501C"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6F32FA6"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A779A7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196EAD8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460451D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£7.85</w:t>
            </w:r>
          </w:p>
        </w:tc>
        <w:tc>
          <w:tcPr>
            <w:tcW w:w="0" w:type="auto"/>
            <w:shd w:val="clear" w:color="auto" w:fill="auto"/>
            <w:noWrap/>
            <w:vAlign w:val="bottom"/>
            <w:hideMark/>
          </w:tcPr>
          <w:p w14:paraId="2EC45C4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7.85 </w:t>
            </w:r>
          </w:p>
        </w:tc>
        <w:tc>
          <w:tcPr>
            <w:tcW w:w="0" w:type="auto"/>
            <w:vMerge w:val="restart"/>
            <w:shd w:val="clear" w:color="auto" w:fill="auto"/>
            <w:noWrap/>
            <w:vAlign w:val="bottom"/>
            <w:hideMark/>
          </w:tcPr>
          <w:p w14:paraId="3E13F77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1F095F8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45A1B87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£148,524</w:t>
            </w:r>
          </w:p>
        </w:tc>
        <w:tc>
          <w:tcPr>
            <w:tcW w:w="0" w:type="auto"/>
            <w:vMerge w:val="restart"/>
            <w:shd w:val="clear" w:color="auto" w:fill="auto"/>
            <w:noWrap/>
            <w:vAlign w:val="bottom"/>
            <w:hideMark/>
          </w:tcPr>
          <w:p w14:paraId="682DCC6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£17,681.40</w:t>
            </w:r>
          </w:p>
        </w:tc>
      </w:tr>
      <w:tr w:rsidR="00B70405" w:rsidRPr="00B70405" w14:paraId="0D20DA52" w14:textId="77777777" w:rsidTr="00B70405">
        <w:trPr>
          <w:trHeight w:val="300"/>
        </w:trPr>
        <w:tc>
          <w:tcPr>
            <w:tcW w:w="0" w:type="auto"/>
            <w:shd w:val="clear" w:color="auto" w:fill="auto"/>
            <w:noWrap/>
            <w:vAlign w:val="bottom"/>
            <w:hideMark/>
          </w:tcPr>
          <w:p w14:paraId="155A865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72</w:t>
            </w:r>
          </w:p>
        </w:tc>
        <w:tc>
          <w:tcPr>
            <w:tcW w:w="0" w:type="auto"/>
            <w:shd w:val="clear" w:color="auto" w:fill="auto"/>
            <w:noWrap/>
            <w:vAlign w:val="bottom"/>
            <w:hideMark/>
          </w:tcPr>
          <w:p w14:paraId="4CE185D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Bearings</w:t>
            </w:r>
          </w:p>
        </w:tc>
        <w:tc>
          <w:tcPr>
            <w:tcW w:w="0" w:type="auto"/>
            <w:shd w:val="clear" w:color="auto" w:fill="auto"/>
            <w:noWrap/>
            <w:vAlign w:val="bottom"/>
            <w:hideMark/>
          </w:tcPr>
          <w:p w14:paraId="02D92E3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60CF30B9"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078D184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AE8476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4C0954A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22.825</w:t>
            </w:r>
          </w:p>
        </w:tc>
        <w:tc>
          <w:tcPr>
            <w:tcW w:w="0" w:type="auto"/>
            <w:shd w:val="clear" w:color="auto" w:fill="auto"/>
            <w:noWrap/>
            <w:vAlign w:val="bottom"/>
            <w:hideMark/>
          </w:tcPr>
          <w:p w14:paraId="1D0150A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£1,053.53</w:t>
            </w:r>
          </w:p>
        </w:tc>
        <w:tc>
          <w:tcPr>
            <w:tcW w:w="0" w:type="auto"/>
            <w:shd w:val="clear" w:color="auto" w:fill="auto"/>
            <w:noWrap/>
            <w:vAlign w:val="bottom"/>
            <w:hideMark/>
          </w:tcPr>
          <w:p w14:paraId="567FE32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1,053.53 </w:t>
            </w:r>
          </w:p>
        </w:tc>
        <w:tc>
          <w:tcPr>
            <w:tcW w:w="0" w:type="auto"/>
            <w:vMerge/>
            <w:vAlign w:val="center"/>
            <w:hideMark/>
          </w:tcPr>
          <w:p w14:paraId="033AD3E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02E0BC69"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02A8BA0E"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1DF64E26"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72AB2839" w14:textId="77777777" w:rsidTr="00B70405">
        <w:trPr>
          <w:trHeight w:val="285"/>
        </w:trPr>
        <w:tc>
          <w:tcPr>
            <w:tcW w:w="0" w:type="auto"/>
            <w:shd w:val="clear" w:color="auto" w:fill="auto"/>
            <w:noWrap/>
            <w:vAlign w:val="bottom"/>
            <w:hideMark/>
          </w:tcPr>
          <w:p w14:paraId="4064364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73</w:t>
            </w:r>
          </w:p>
        </w:tc>
        <w:tc>
          <w:tcPr>
            <w:tcW w:w="0" w:type="auto"/>
            <w:shd w:val="clear" w:color="auto" w:fill="auto"/>
            <w:noWrap/>
            <w:vAlign w:val="bottom"/>
            <w:hideMark/>
          </w:tcPr>
          <w:p w14:paraId="5F82D948"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9D68A01"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67922F3"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03EB54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0BCEE9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B1AA8A6"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18C490D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47F56C3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2D4520D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500AC8E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48CA211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0D64E4D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3137A109" w14:textId="77777777" w:rsidTr="00B70405">
        <w:trPr>
          <w:trHeight w:val="300"/>
        </w:trPr>
        <w:tc>
          <w:tcPr>
            <w:tcW w:w="0" w:type="auto"/>
            <w:shd w:val="clear" w:color="auto" w:fill="auto"/>
            <w:noWrap/>
            <w:vAlign w:val="bottom"/>
            <w:hideMark/>
          </w:tcPr>
          <w:p w14:paraId="2B330E0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74</w:t>
            </w:r>
          </w:p>
        </w:tc>
        <w:tc>
          <w:tcPr>
            <w:tcW w:w="0" w:type="auto"/>
            <w:shd w:val="clear" w:color="auto" w:fill="auto"/>
            <w:noWrap/>
            <w:vAlign w:val="bottom"/>
            <w:hideMark/>
          </w:tcPr>
          <w:p w14:paraId="60AE6EDF"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EE047AA"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D2A18C1"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3046F57"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C30448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32C1ECD9"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4A819B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4FEEABD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243195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33300E5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55A2595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5049907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3B6D3D56" w14:textId="77777777" w:rsidTr="00B70405">
        <w:trPr>
          <w:trHeight w:val="285"/>
        </w:trPr>
        <w:tc>
          <w:tcPr>
            <w:tcW w:w="0" w:type="auto"/>
            <w:shd w:val="clear" w:color="auto" w:fill="auto"/>
            <w:noWrap/>
            <w:vAlign w:val="bottom"/>
            <w:hideMark/>
          </w:tcPr>
          <w:p w14:paraId="3E29A98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75</w:t>
            </w:r>
          </w:p>
        </w:tc>
        <w:tc>
          <w:tcPr>
            <w:tcW w:w="0" w:type="auto"/>
            <w:shd w:val="clear" w:color="auto" w:fill="auto"/>
            <w:noWrap/>
            <w:vAlign w:val="bottom"/>
            <w:hideMark/>
          </w:tcPr>
          <w:p w14:paraId="5F58FF3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7444187A"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36BFA4D"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06E5117"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3298F3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1C68CD4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7B973C8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£7.00</w:t>
            </w:r>
          </w:p>
        </w:tc>
        <w:tc>
          <w:tcPr>
            <w:tcW w:w="0" w:type="auto"/>
            <w:shd w:val="clear" w:color="auto" w:fill="auto"/>
            <w:noWrap/>
            <w:vAlign w:val="bottom"/>
            <w:hideMark/>
          </w:tcPr>
          <w:p w14:paraId="73F937C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7.00 </w:t>
            </w:r>
          </w:p>
        </w:tc>
        <w:tc>
          <w:tcPr>
            <w:tcW w:w="0" w:type="auto"/>
            <w:vMerge w:val="restart"/>
            <w:shd w:val="clear" w:color="auto" w:fill="auto"/>
            <w:noWrap/>
            <w:vAlign w:val="bottom"/>
            <w:hideMark/>
          </w:tcPr>
          <w:p w14:paraId="3ADD53D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57E524E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0CC5CA0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£23,366</w:t>
            </w:r>
          </w:p>
        </w:tc>
        <w:tc>
          <w:tcPr>
            <w:tcW w:w="0" w:type="auto"/>
            <w:vMerge w:val="restart"/>
            <w:shd w:val="clear" w:color="auto" w:fill="auto"/>
            <w:noWrap/>
            <w:vAlign w:val="bottom"/>
            <w:hideMark/>
          </w:tcPr>
          <w:p w14:paraId="1AE417A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£2,545.62</w:t>
            </w:r>
          </w:p>
        </w:tc>
      </w:tr>
      <w:tr w:rsidR="00B70405" w:rsidRPr="00B70405" w14:paraId="552FB8E8" w14:textId="77777777" w:rsidTr="00B70405">
        <w:trPr>
          <w:trHeight w:val="285"/>
        </w:trPr>
        <w:tc>
          <w:tcPr>
            <w:tcW w:w="0" w:type="auto"/>
            <w:shd w:val="clear" w:color="auto" w:fill="auto"/>
            <w:noWrap/>
            <w:vAlign w:val="bottom"/>
            <w:hideMark/>
          </w:tcPr>
          <w:p w14:paraId="68D6DEE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75</w:t>
            </w:r>
          </w:p>
        </w:tc>
        <w:tc>
          <w:tcPr>
            <w:tcW w:w="0" w:type="auto"/>
            <w:shd w:val="clear" w:color="auto" w:fill="auto"/>
            <w:noWrap/>
            <w:vAlign w:val="bottom"/>
            <w:hideMark/>
          </w:tcPr>
          <w:p w14:paraId="163191B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Expansion Joints</w:t>
            </w:r>
          </w:p>
        </w:tc>
        <w:tc>
          <w:tcPr>
            <w:tcW w:w="0" w:type="auto"/>
            <w:shd w:val="clear" w:color="auto" w:fill="auto"/>
            <w:noWrap/>
            <w:vAlign w:val="bottom"/>
            <w:hideMark/>
          </w:tcPr>
          <w:p w14:paraId="06AFFED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Road Closure - Night</w:t>
            </w:r>
          </w:p>
        </w:tc>
        <w:tc>
          <w:tcPr>
            <w:tcW w:w="0" w:type="auto"/>
            <w:shd w:val="clear" w:color="auto" w:fill="auto"/>
            <w:noWrap/>
            <w:vAlign w:val="bottom"/>
            <w:hideMark/>
          </w:tcPr>
          <w:p w14:paraId="28D10E8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w:t>
            </w:r>
          </w:p>
        </w:tc>
        <w:tc>
          <w:tcPr>
            <w:tcW w:w="0" w:type="auto"/>
            <w:shd w:val="clear" w:color="auto" w:fill="auto"/>
            <w:noWrap/>
            <w:vAlign w:val="bottom"/>
            <w:hideMark/>
          </w:tcPr>
          <w:p w14:paraId="7727D56A"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4E334B6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20E1819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7.29</w:t>
            </w:r>
          </w:p>
        </w:tc>
        <w:tc>
          <w:tcPr>
            <w:tcW w:w="0" w:type="auto"/>
            <w:shd w:val="clear" w:color="auto" w:fill="auto"/>
            <w:noWrap/>
            <w:vAlign w:val="bottom"/>
            <w:hideMark/>
          </w:tcPr>
          <w:p w14:paraId="06366F4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£300.21</w:t>
            </w:r>
          </w:p>
        </w:tc>
        <w:tc>
          <w:tcPr>
            <w:tcW w:w="0" w:type="auto"/>
            <w:shd w:val="clear" w:color="auto" w:fill="auto"/>
            <w:noWrap/>
            <w:vAlign w:val="bottom"/>
            <w:hideMark/>
          </w:tcPr>
          <w:p w14:paraId="7156D6D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300.21 </w:t>
            </w:r>
          </w:p>
        </w:tc>
        <w:tc>
          <w:tcPr>
            <w:tcW w:w="0" w:type="auto"/>
            <w:vMerge/>
            <w:vAlign w:val="center"/>
            <w:hideMark/>
          </w:tcPr>
          <w:p w14:paraId="2B7C17B3"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52A5E699"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418C5ABE"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4081F8B9"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528E2971" w14:textId="77777777" w:rsidTr="00B70405">
        <w:trPr>
          <w:trHeight w:val="285"/>
        </w:trPr>
        <w:tc>
          <w:tcPr>
            <w:tcW w:w="0" w:type="auto"/>
            <w:shd w:val="clear" w:color="auto" w:fill="auto"/>
            <w:noWrap/>
            <w:vAlign w:val="bottom"/>
            <w:hideMark/>
          </w:tcPr>
          <w:p w14:paraId="22D5851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75</w:t>
            </w:r>
          </w:p>
        </w:tc>
        <w:tc>
          <w:tcPr>
            <w:tcW w:w="0" w:type="auto"/>
            <w:shd w:val="clear" w:color="auto" w:fill="auto"/>
            <w:noWrap/>
            <w:vAlign w:val="bottom"/>
            <w:hideMark/>
          </w:tcPr>
          <w:p w14:paraId="74603B1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surfacing</w:t>
            </w:r>
          </w:p>
        </w:tc>
        <w:tc>
          <w:tcPr>
            <w:tcW w:w="0" w:type="auto"/>
            <w:shd w:val="clear" w:color="auto" w:fill="auto"/>
            <w:noWrap/>
            <w:vAlign w:val="bottom"/>
            <w:hideMark/>
          </w:tcPr>
          <w:p w14:paraId="2AC6E85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Closure</w:t>
            </w:r>
          </w:p>
        </w:tc>
        <w:tc>
          <w:tcPr>
            <w:tcW w:w="0" w:type="auto"/>
            <w:shd w:val="clear" w:color="auto" w:fill="auto"/>
            <w:noWrap/>
            <w:vAlign w:val="bottom"/>
            <w:hideMark/>
          </w:tcPr>
          <w:p w14:paraId="2BCC6AD6"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C2B58AD"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5F5C2E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4042305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0.11767</w:t>
            </w:r>
          </w:p>
        </w:tc>
        <w:tc>
          <w:tcPr>
            <w:tcW w:w="0" w:type="auto"/>
            <w:shd w:val="clear" w:color="auto" w:fill="auto"/>
            <w:noWrap/>
            <w:vAlign w:val="bottom"/>
            <w:hideMark/>
          </w:tcPr>
          <w:p w14:paraId="46465EF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£4.85</w:t>
            </w:r>
          </w:p>
        </w:tc>
        <w:tc>
          <w:tcPr>
            <w:tcW w:w="0" w:type="auto"/>
            <w:shd w:val="clear" w:color="auto" w:fill="auto"/>
            <w:noWrap/>
            <w:vAlign w:val="bottom"/>
            <w:hideMark/>
          </w:tcPr>
          <w:p w14:paraId="14B5006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4.85 </w:t>
            </w:r>
          </w:p>
        </w:tc>
        <w:tc>
          <w:tcPr>
            <w:tcW w:w="0" w:type="auto"/>
            <w:vMerge/>
            <w:vAlign w:val="center"/>
            <w:hideMark/>
          </w:tcPr>
          <w:p w14:paraId="7EDCE90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7BE560B3"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29BBB03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2064B55B"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2D04782C" w14:textId="77777777" w:rsidTr="00B70405">
        <w:trPr>
          <w:trHeight w:val="285"/>
        </w:trPr>
        <w:tc>
          <w:tcPr>
            <w:tcW w:w="0" w:type="auto"/>
            <w:shd w:val="clear" w:color="auto" w:fill="auto"/>
            <w:noWrap/>
            <w:vAlign w:val="bottom"/>
            <w:hideMark/>
          </w:tcPr>
          <w:p w14:paraId="32D8B58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76</w:t>
            </w:r>
          </w:p>
        </w:tc>
        <w:tc>
          <w:tcPr>
            <w:tcW w:w="0" w:type="auto"/>
            <w:shd w:val="clear" w:color="auto" w:fill="auto"/>
            <w:noWrap/>
            <w:vAlign w:val="bottom"/>
            <w:hideMark/>
          </w:tcPr>
          <w:p w14:paraId="3EB9084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Substructure drainage maintenance</w:t>
            </w:r>
          </w:p>
        </w:tc>
        <w:tc>
          <w:tcPr>
            <w:tcW w:w="0" w:type="auto"/>
            <w:shd w:val="clear" w:color="auto" w:fill="auto"/>
            <w:noWrap/>
            <w:vAlign w:val="bottom"/>
            <w:hideMark/>
          </w:tcPr>
          <w:p w14:paraId="5B8099B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6F96B5BC"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3C6D17B"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D5F099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4200B32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2FE51D2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£9.75</w:t>
            </w:r>
          </w:p>
        </w:tc>
        <w:tc>
          <w:tcPr>
            <w:tcW w:w="0" w:type="auto"/>
            <w:shd w:val="clear" w:color="auto" w:fill="auto"/>
            <w:noWrap/>
            <w:vAlign w:val="bottom"/>
            <w:hideMark/>
          </w:tcPr>
          <w:p w14:paraId="039C606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9.75 </w:t>
            </w:r>
          </w:p>
        </w:tc>
        <w:tc>
          <w:tcPr>
            <w:tcW w:w="0" w:type="auto"/>
            <w:shd w:val="clear" w:color="auto" w:fill="auto"/>
            <w:noWrap/>
            <w:vAlign w:val="bottom"/>
            <w:hideMark/>
          </w:tcPr>
          <w:p w14:paraId="212AECD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06CDC2E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EBA47D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£227</w:t>
            </w:r>
          </w:p>
        </w:tc>
        <w:tc>
          <w:tcPr>
            <w:tcW w:w="0" w:type="auto"/>
            <w:shd w:val="clear" w:color="auto" w:fill="auto"/>
            <w:noWrap/>
            <w:vAlign w:val="bottom"/>
            <w:hideMark/>
          </w:tcPr>
          <w:p w14:paraId="6B62167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£34.83</w:t>
            </w:r>
          </w:p>
        </w:tc>
      </w:tr>
      <w:tr w:rsidR="00B70405" w:rsidRPr="00B70405" w14:paraId="13DDEEE3" w14:textId="77777777" w:rsidTr="00B70405">
        <w:trPr>
          <w:trHeight w:val="285"/>
        </w:trPr>
        <w:tc>
          <w:tcPr>
            <w:tcW w:w="0" w:type="auto"/>
            <w:shd w:val="clear" w:color="auto" w:fill="auto"/>
            <w:noWrap/>
            <w:vAlign w:val="bottom"/>
            <w:hideMark/>
          </w:tcPr>
          <w:p w14:paraId="1F82F89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77</w:t>
            </w:r>
          </w:p>
        </w:tc>
        <w:tc>
          <w:tcPr>
            <w:tcW w:w="0" w:type="auto"/>
            <w:shd w:val="clear" w:color="auto" w:fill="auto"/>
            <w:noWrap/>
            <w:vAlign w:val="bottom"/>
            <w:hideMark/>
          </w:tcPr>
          <w:p w14:paraId="7E87931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Concrete repairs to abutments </w:t>
            </w:r>
          </w:p>
        </w:tc>
        <w:tc>
          <w:tcPr>
            <w:tcW w:w="0" w:type="auto"/>
            <w:shd w:val="clear" w:color="auto" w:fill="auto"/>
            <w:noWrap/>
            <w:vAlign w:val="bottom"/>
            <w:hideMark/>
          </w:tcPr>
          <w:p w14:paraId="3221E7B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Railway Possession</w:t>
            </w:r>
          </w:p>
        </w:tc>
        <w:tc>
          <w:tcPr>
            <w:tcW w:w="0" w:type="auto"/>
            <w:shd w:val="clear" w:color="auto" w:fill="auto"/>
            <w:noWrap/>
            <w:vAlign w:val="bottom"/>
            <w:hideMark/>
          </w:tcPr>
          <w:p w14:paraId="59C23629"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0AA499F7"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7B34EC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4E11A8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12.42</w:t>
            </w:r>
          </w:p>
        </w:tc>
        <w:tc>
          <w:tcPr>
            <w:tcW w:w="0" w:type="auto"/>
            <w:shd w:val="clear" w:color="auto" w:fill="auto"/>
            <w:noWrap/>
            <w:vAlign w:val="bottom"/>
            <w:hideMark/>
          </w:tcPr>
          <w:p w14:paraId="2AC393C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£689.23</w:t>
            </w:r>
          </w:p>
        </w:tc>
        <w:tc>
          <w:tcPr>
            <w:tcW w:w="0" w:type="auto"/>
            <w:shd w:val="clear" w:color="auto" w:fill="auto"/>
            <w:noWrap/>
            <w:vAlign w:val="bottom"/>
            <w:hideMark/>
          </w:tcPr>
          <w:p w14:paraId="2C08C78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689.23 </w:t>
            </w:r>
          </w:p>
        </w:tc>
        <w:tc>
          <w:tcPr>
            <w:tcW w:w="0" w:type="auto"/>
            <w:shd w:val="clear" w:color="auto" w:fill="auto"/>
            <w:noWrap/>
            <w:vAlign w:val="bottom"/>
            <w:hideMark/>
          </w:tcPr>
          <w:p w14:paraId="67DB738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68EB50E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268B0EA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£81,732</w:t>
            </w:r>
          </w:p>
        </w:tc>
        <w:tc>
          <w:tcPr>
            <w:tcW w:w="0" w:type="auto"/>
            <w:shd w:val="clear" w:color="auto" w:fill="auto"/>
            <w:noWrap/>
            <w:vAlign w:val="bottom"/>
            <w:hideMark/>
          </w:tcPr>
          <w:p w14:paraId="3FBEC02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£12,208.23</w:t>
            </w:r>
          </w:p>
        </w:tc>
      </w:tr>
      <w:tr w:rsidR="00B70405" w:rsidRPr="00B70405" w14:paraId="4D0020FC" w14:textId="77777777" w:rsidTr="00B70405">
        <w:trPr>
          <w:trHeight w:val="300"/>
        </w:trPr>
        <w:tc>
          <w:tcPr>
            <w:tcW w:w="0" w:type="auto"/>
            <w:shd w:val="clear" w:color="auto" w:fill="auto"/>
            <w:noWrap/>
            <w:vAlign w:val="bottom"/>
            <w:hideMark/>
          </w:tcPr>
          <w:p w14:paraId="44222AB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78</w:t>
            </w:r>
          </w:p>
        </w:tc>
        <w:tc>
          <w:tcPr>
            <w:tcW w:w="0" w:type="auto"/>
            <w:shd w:val="clear" w:color="auto" w:fill="auto"/>
            <w:noWrap/>
            <w:vAlign w:val="bottom"/>
            <w:hideMark/>
          </w:tcPr>
          <w:p w14:paraId="6DCDADC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0690C2CD"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A8DF0BC"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2595A54"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8EB101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5CD46E4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5C97C80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£9.12</w:t>
            </w:r>
          </w:p>
        </w:tc>
        <w:tc>
          <w:tcPr>
            <w:tcW w:w="0" w:type="auto"/>
            <w:shd w:val="clear" w:color="auto" w:fill="auto"/>
            <w:noWrap/>
            <w:vAlign w:val="bottom"/>
            <w:hideMark/>
          </w:tcPr>
          <w:p w14:paraId="45E08DE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9.12 </w:t>
            </w:r>
          </w:p>
        </w:tc>
        <w:tc>
          <w:tcPr>
            <w:tcW w:w="0" w:type="auto"/>
            <w:shd w:val="clear" w:color="auto" w:fill="auto"/>
            <w:noWrap/>
            <w:vAlign w:val="bottom"/>
            <w:hideMark/>
          </w:tcPr>
          <w:p w14:paraId="52B0B1F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5FA7D21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44332D7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£457</w:t>
            </w:r>
          </w:p>
        </w:tc>
        <w:tc>
          <w:tcPr>
            <w:tcW w:w="0" w:type="auto"/>
            <w:shd w:val="clear" w:color="auto" w:fill="auto"/>
            <w:noWrap/>
            <w:vAlign w:val="bottom"/>
            <w:hideMark/>
          </w:tcPr>
          <w:p w14:paraId="7A6342A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£66.58</w:t>
            </w:r>
          </w:p>
        </w:tc>
      </w:tr>
      <w:tr w:rsidR="00B70405" w:rsidRPr="00B70405" w14:paraId="04FB2B18" w14:textId="77777777" w:rsidTr="00B70405">
        <w:trPr>
          <w:trHeight w:val="285"/>
        </w:trPr>
        <w:tc>
          <w:tcPr>
            <w:tcW w:w="0" w:type="auto"/>
            <w:shd w:val="clear" w:color="auto" w:fill="auto"/>
            <w:noWrap/>
            <w:vAlign w:val="bottom"/>
            <w:hideMark/>
          </w:tcPr>
          <w:p w14:paraId="18FE3F3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79</w:t>
            </w:r>
          </w:p>
        </w:tc>
        <w:tc>
          <w:tcPr>
            <w:tcW w:w="0" w:type="auto"/>
            <w:shd w:val="clear" w:color="auto" w:fill="auto"/>
            <w:noWrap/>
            <w:vAlign w:val="bottom"/>
            <w:hideMark/>
          </w:tcPr>
          <w:p w14:paraId="6CCACD8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Repair Parapet Handrail/ Parapets/ Safety Fences</w:t>
            </w:r>
          </w:p>
        </w:tc>
        <w:tc>
          <w:tcPr>
            <w:tcW w:w="0" w:type="auto"/>
            <w:shd w:val="clear" w:color="auto" w:fill="auto"/>
            <w:noWrap/>
            <w:vAlign w:val="bottom"/>
            <w:hideMark/>
          </w:tcPr>
          <w:p w14:paraId="3B3BC3F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Closure</w:t>
            </w:r>
          </w:p>
        </w:tc>
        <w:tc>
          <w:tcPr>
            <w:tcW w:w="0" w:type="auto"/>
            <w:shd w:val="clear" w:color="auto" w:fill="auto"/>
            <w:noWrap/>
            <w:vAlign w:val="bottom"/>
            <w:hideMark/>
          </w:tcPr>
          <w:p w14:paraId="7EDA4B79"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178E5240"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9F62D4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434CAD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3.74</w:t>
            </w:r>
          </w:p>
        </w:tc>
        <w:tc>
          <w:tcPr>
            <w:tcW w:w="0" w:type="auto"/>
            <w:shd w:val="clear" w:color="auto" w:fill="auto"/>
            <w:noWrap/>
            <w:vAlign w:val="bottom"/>
            <w:hideMark/>
          </w:tcPr>
          <w:p w14:paraId="7855D10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£194.10</w:t>
            </w:r>
          </w:p>
        </w:tc>
        <w:tc>
          <w:tcPr>
            <w:tcW w:w="0" w:type="auto"/>
            <w:shd w:val="clear" w:color="auto" w:fill="auto"/>
            <w:noWrap/>
            <w:vAlign w:val="bottom"/>
            <w:hideMark/>
          </w:tcPr>
          <w:p w14:paraId="0F41B5B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194.10 </w:t>
            </w:r>
          </w:p>
        </w:tc>
        <w:tc>
          <w:tcPr>
            <w:tcW w:w="0" w:type="auto"/>
            <w:vMerge w:val="restart"/>
            <w:shd w:val="clear" w:color="auto" w:fill="auto"/>
            <w:noWrap/>
            <w:vAlign w:val="bottom"/>
            <w:hideMark/>
          </w:tcPr>
          <w:p w14:paraId="66E6019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20D7768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04EA611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£66,242</w:t>
            </w:r>
          </w:p>
        </w:tc>
        <w:tc>
          <w:tcPr>
            <w:tcW w:w="0" w:type="auto"/>
            <w:vMerge w:val="restart"/>
            <w:shd w:val="clear" w:color="auto" w:fill="auto"/>
            <w:noWrap/>
            <w:vAlign w:val="bottom"/>
            <w:hideMark/>
          </w:tcPr>
          <w:p w14:paraId="2E9AD57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£9,417.77</w:t>
            </w:r>
          </w:p>
        </w:tc>
      </w:tr>
      <w:tr w:rsidR="00B70405" w:rsidRPr="00B70405" w14:paraId="0B1FAFD6" w14:textId="77777777" w:rsidTr="00B70405">
        <w:trPr>
          <w:trHeight w:val="285"/>
        </w:trPr>
        <w:tc>
          <w:tcPr>
            <w:tcW w:w="0" w:type="auto"/>
            <w:shd w:val="clear" w:color="auto" w:fill="auto"/>
            <w:noWrap/>
            <w:vAlign w:val="bottom"/>
            <w:hideMark/>
          </w:tcPr>
          <w:p w14:paraId="32B0DF6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79</w:t>
            </w:r>
          </w:p>
        </w:tc>
        <w:tc>
          <w:tcPr>
            <w:tcW w:w="0" w:type="auto"/>
            <w:shd w:val="clear" w:color="auto" w:fill="auto"/>
            <w:noWrap/>
            <w:vAlign w:val="bottom"/>
            <w:hideMark/>
          </w:tcPr>
          <w:p w14:paraId="4678632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Access/ Walkways/ Gantries</w:t>
            </w:r>
          </w:p>
        </w:tc>
        <w:tc>
          <w:tcPr>
            <w:tcW w:w="0" w:type="auto"/>
            <w:shd w:val="clear" w:color="auto" w:fill="auto"/>
            <w:noWrap/>
            <w:vAlign w:val="bottom"/>
            <w:hideMark/>
          </w:tcPr>
          <w:p w14:paraId="1380304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37C9B3BE"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0015B96"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F2361F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B72C7E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0.6</w:t>
            </w:r>
          </w:p>
        </w:tc>
        <w:tc>
          <w:tcPr>
            <w:tcW w:w="0" w:type="auto"/>
            <w:shd w:val="clear" w:color="auto" w:fill="auto"/>
            <w:noWrap/>
            <w:vAlign w:val="bottom"/>
            <w:hideMark/>
          </w:tcPr>
          <w:p w14:paraId="2D6AD99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£31.14</w:t>
            </w:r>
          </w:p>
        </w:tc>
        <w:tc>
          <w:tcPr>
            <w:tcW w:w="0" w:type="auto"/>
            <w:shd w:val="clear" w:color="auto" w:fill="auto"/>
            <w:noWrap/>
            <w:vAlign w:val="bottom"/>
            <w:hideMark/>
          </w:tcPr>
          <w:p w14:paraId="7729F0A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31.14 </w:t>
            </w:r>
          </w:p>
        </w:tc>
        <w:tc>
          <w:tcPr>
            <w:tcW w:w="0" w:type="auto"/>
            <w:vMerge/>
            <w:vAlign w:val="center"/>
            <w:hideMark/>
          </w:tcPr>
          <w:p w14:paraId="1F035553"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5DED0C6B"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6A0258B5"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771210E9"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7298E8CA" w14:textId="77777777" w:rsidTr="00B70405">
        <w:trPr>
          <w:trHeight w:val="285"/>
        </w:trPr>
        <w:tc>
          <w:tcPr>
            <w:tcW w:w="0" w:type="auto"/>
            <w:shd w:val="clear" w:color="auto" w:fill="auto"/>
            <w:noWrap/>
            <w:vAlign w:val="bottom"/>
            <w:hideMark/>
          </w:tcPr>
          <w:p w14:paraId="59A95B8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80</w:t>
            </w:r>
          </w:p>
        </w:tc>
        <w:tc>
          <w:tcPr>
            <w:tcW w:w="0" w:type="auto"/>
            <w:shd w:val="clear" w:color="auto" w:fill="auto"/>
            <w:noWrap/>
            <w:vAlign w:val="bottom"/>
            <w:hideMark/>
          </w:tcPr>
          <w:p w14:paraId="5128A853"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1FCE5C0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AAD7D9E"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CB8E0A6"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B8F40B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21B32CAA"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1C52A5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33F6D28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EF76D6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152D7CB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0D15251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7F3D6D5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48302EC9" w14:textId="77777777" w:rsidTr="00B70405">
        <w:trPr>
          <w:trHeight w:val="285"/>
        </w:trPr>
        <w:tc>
          <w:tcPr>
            <w:tcW w:w="0" w:type="auto"/>
            <w:shd w:val="clear" w:color="auto" w:fill="auto"/>
            <w:noWrap/>
            <w:vAlign w:val="bottom"/>
            <w:hideMark/>
          </w:tcPr>
          <w:p w14:paraId="6F27782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81</w:t>
            </w:r>
          </w:p>
        </w:tc>
        <w:tc>
          <w:tcPr>
            <w:tcW w:w="0" w:type="auto"/>
            <w:shd w:val="clear" w:color="auto" w:fill="auto"/>
            <w:noWrap/>
            <w:vAlign w:val="bottom"/>
            <w:hideMark/>
          </w:tcPr>
          <w:p w14:paraId="58396A3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2DAD08DD"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6239DF4C"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1385EB8"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A96993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E802A0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65D7E7C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26E312A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704FA9A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3B2D01E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48ADD8D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£684</w:t>
            </w:r>
          </w:p>
        </w:tc>
        <w:tc>
          <w:tcPr>
            <w:tcW w:w="0" w:type="auto"/>
            <w:vMerge w:val="restart"/>
            <w:shd w:val="clear" w:color="auto" w:fill="auto"/>
            <w:noWrap/>
            <w:vAlign w:val="bottom"/>
            <w:hideMark/>
          </w:tcPr>
          <w:p w14:paraId="5064DAF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£92.61</w:t>
            </w:r>
          </w:p>
        </w:tc>
      </w:tr>
      <w:tr w:rsidR="00B70405" w:rsidRPr="00B70405" w14:paraId="6D0949F5" w14:textId="77777777" w:rsidTr="00B70405">
        <w:trPr>
          <w:trHeight w:val="285"/>
        </w:trPr>
        <w:tc>
          <w:tcPr>
            <w:tcW w:w="0" w:type="auto"/>
            <w:shd w:val="clear" w:color="auto" w:fill="auto"/>
            <w:noWrap/>
            <w:vAlign w:val="bottom"/>
            <w:hideMark/>
          </w:tcPr>
          <w:p w14:paraId="7B7FA9A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81</w:t>
            </w:r>
          </w:p>
        </w:tc>
        <w:tc>
          <w:tcPr>
            <w:tcW w:w="0" w:type="auto"/>
            <w:shd w:val="clear" w:color="auto" w:fill="auto"/>
            <w:noWrap/>
            <w:vAlign w:val="bottom"/>
            <w:hideMark/>
          </w:tcPr>
          <w:p w14:paraId="6B9DA88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Substructure drainage maintenance</w:t>
            </w:r>
          </w:p>
        </w:tc>
        <w:tc>
          <w:tcPr>
            <w:tcW w:w="0" w:type="auto"/>
            <w:shd w:val="clear" w:color="auto" w:fill="auto"/>
            <w:noWrap/>
            <w:vAlign w:val="bottom"/>
            <w:hideMark/>
          </w:tcPr>
          <w:p w14:paraId="1A56B93B"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0C0CC7DB"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15BD19B"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A85183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EFF38A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202CE80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75CE6FD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ign w:val="center"/>
            <w:hideMark/>
          </w:tcPr>
          <w:p w14:paraId="0BA6863F"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0E78D643"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4CC084BB"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10B0E336"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6499B2F8" w14:textId="77777777" w:rsidTr="00B70405">
        <w:trPr>
          <w:trHeight w:val="285"/>
        </w:trPr>
        <w:tc>
          <w:tcPr>
            <w:tcW w:w="0" w:type="auto"/>
            <w:shd w:val="clear" w:color="auto" w:fill="auto"/>
            <w:noWrap/>
            <w:vAlign w:val="bottom"/>
            <w:hideMark/>
          </w:tcPr>
          <w:p w14:paraId="186736D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82</w:t>
            </w:r>
          </w:p>
        </w:tc>
        <w:tc>
          <w:tcPr>
            <w:tcW w:w="0" w:type="auto"/>
            <w:shd w:val="clear" w:color="auto" w:fill="auto"/>
            <w:noWrap/>
            <w:vAlign w:val="bottom"/>
            <w:hideMark/>
          </w:tcPr>
          <w:p w14:paraId="4AAE985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Carriageway repairs</w:t>
            </w:r>
          </w:p>
        </w:tc>
        <w:tc>
          <w:tcPr>
            <w:tcW w:w="0" w:type="auto"/>
            <w:shd w:val="clear" w:color="auto" w:fill="auto"/>
            <w:noWrap/>
            <w:vAlign w:val="bottom"/>
            <w:hideMark/>
          </w:tcPr>
          <w:p w14:paraId="27160B3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Lane Closures</w:t>
            </w:r>
          </w:p>
        </w:tc>
        <w:tc>
          <w:tcPr>
            <w:tcW w:w="0" w:type="auto"/>
            <w:shd w:val="clear" w:color="auto" w:fill="auto"/>
            <w:noWrap/>
            <w:vAlign w:val="bottom"/>
            <w:hideMark/>
          </w:tcPr>
          <w:p w14:paraId="13B9ABE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w:t>
            </w:r>
          </w:p>
        </w:tc>
        <w:tc>
          <w:tcPr>
            <w:tcW w:w="0" w:type="auto"/>
            <w:shd w:val="clear" w:color="auto" w:fill="auto"/>
            <w:noWrap/>
            <w:vAlign w:val="bottom"/>
            <w:hideMark/>
          </w:tcPr>
          <w:p w14:paraId="5505869A"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009A42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1CEC313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0.70233</w:t>
            </w:r>
          </w:p>
        </w:tc>
        <w:tc>
          <w:tcPr>
            <w:tcW w:w="0" w:type="auto"/>
            <w:shd w:val="clear" w:color="auto" w:fill="auto"/>
            <w:noWrap/>
            <w:vAlign w:val="bottom"/>
            <w:hideMark/>
          </w:tcPr>
          <w:p w14:paraId="2C28967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2C20653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1D8961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1D040F9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FD7A05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£11,282</w:t>
            </w:r>
          </w:p>
        </w:tc>
        <w:tc>
          <w:tcPr>
            <w:tcW w:w="0" w:type="auto"/>
            <w:shd w:val="clear" w:color="auto" w:fill="auto"/>
            <w:noWrap/>
            <w:vAlign w:val="bottom"/>
            <w:hideMark/>
          </w:tcPr>
          <w:p w14:paraId="4E2E630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£1,489.46</w:t>
            </w:r>
          </w:p>
        </w:tc>
      </w:tr>
      <w:tr w:rsidR="00B70405" w:rsidRPr="00B70405" w14:paraId="70FB1CF2" w14:textId="77777777" w:rsidTr="00B70405">
        <w:trPr>
          <w:trHeight w:val="285"/>
        </w:trPr>
        <w:tc>
          <w:tcPr>
            <w:tcW w:w="0" w:type="auto"/>
            <w:shd w:val="clear" w:color="auto" w:fill="auto"/>
            <w:noWrap/>
            <w:vAlign w:val="bottom"/>
            <w:hideMark/>
          </w:tcPr>
          <w:p w14:paraId="7773D37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83</w:t>
            </w:r>
          </w:p>
        </w:tc>
        <w:tc>
          <w:tcPr>
            <w:tcW w:w="0" w:type="auto"/>
            <w:shd w:val="clear" w:color="auto" w:fill="auto"/>
            <w:noWrap/>
            <w:vAlign w:val="bottom"/>
            <w:hideMark/>
          </w:tcPr>
          <w:p w14:paraId="31849AB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Expansion Joints</w:t>
            </w:r>
          </w:p>
        </w:tc>
        <w:tc>
          <w:tcPr>
            <w:tcW w:w="0" w:type="auto"/>
            <w:shd w:val="clear" w:color="auto" w:fill="auto"/>
            <w:noWrap/>
            <w:vAlign w:val="bottom"/>
            <w:hideMark/>
          </w:tcPr>
          <w:p w14:paraId="472FCBD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Road Closure - Night</w:t>
            </w:r>
          </w:p>
        </w:tc>
        <w:tc>
          <w:tcPr>
            <w:tcW w:w="0" w:type="auto"/>
            <w:shd w:val="clear" w:color="auto" w:fill="auto"/>
            <w:noWrap/>
            <w:vAlign w:val="bottom"/>
            <w:hideMark/>
          </w:tcPr>
          <w:p w14:paraId="0FAB2EBA"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352C5D94"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20EBF9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AD9195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7.29</w:t>
            </w:r>
          </w:p>
        </w:tc>
        <w:tc>
          <w:tcPr>
            <w:tcW w:w="0" w:type="auto"/>
            <w:shd w:val="clear" w:color="auto" w:fill="auto"/>
            <w:noWrap/>
            <w:vAlign w:val="bottom"/>
            <w:hideMark/>
          </w:tcPr>
          <w:p w14:paraId="45ADE06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3A865F9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500E1DC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4898AFF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24A430D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£21,663</w:t>
            </w:r>
          </w:p>
        </w:tc>
        <w:tc>
          <w:tcPr>
            <w:tcW w:w="0" w:type="auto"/>
            <w:shd w:val="clear" w:color="auto" w:fill="auto"/>
            <w:noWrap/>
            <w:vAlign w:val="bottom"/>
            <w:hideMark/>
          </w:tcPr>
          <w:p w14:paraId="49F256D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£2,790.20</w:t>
            </w:r>
          </w:p>
        </w:tc>
      </w:tr>
      <w:tr w:rsidR="00B70405" w:rsidRPr="00B70405" w14:paraId="6CF1C0C2" w14:textId="77777777" w:rsidTr="00B70405">
        <w:trPr>
          <w:trHeight w:val="285"/>
        </w:trPr>
        <w:tc>
          <w:tcPr>
            <w:tcW w:w="0" w:type="auto"/>
            <w:shd w:val="clear" w:color="auto" w:fill="auto"/>
            <w:noWrap/>
            <w:vAlign w:val="bottom"/>
            <w:hideMark/>
          </w:tcPr>
          <w:p w14:paraId="6C9266B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84</w:t>
            </w:r>
          </w:p>
        </w:tc>
        <w:tc>
          <w:tcPr>
            <w:tcW w:w="0" w:type="auto"/>
            <w:shd w:val="clear" w:color="auto" w:fill="auto"/>
            <w:noWrap/>
            <w:vAlign w:val="bottom"/>
            <w:hideMark/>
          </w:tcPr>
          <w:p w14:paraId="477CB0E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159AC5EA"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6DA7667D"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A13CA5D"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4471C7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71CC4E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55BB5F9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104ECCC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A125BC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6D580D0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65F8ABA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£457</w:t>
            </w:r>
          </w:p>
        </w:tc>
        <w:tc>
          <w:tcPr>
            <w:tcW w:w="0" w:type="auto"/>
            <w:shd w:val="clear" w:color="auto" w:fill="auto"/>
            <w:noWrap/>
            <w:vAlign w:val="bottom"/>
            <w:hideMark/>
          </w:tcPr>
          <w:p w14:paraId="0FDEAF2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£57.41</w:t>
            </w:r>
          </w:p>
        </w:tc>
      </w:tr>
      <w:tr w:rsidR="00B70405" w:rsidRPr="00B70405" w14:paraId="0CD17CC0" w14:textId="77777777" w:rsidTr="00B70405">
        <w:trPr>
          <w:trHeight w:val="285"/>
        </w:trPr>
        <w:tc>
          <w:tcPr>
            <w:tcW w:w="0" w:type="auto"/>
            <w:shd w:val="clear" w:color="auto" w:fill="auto"/>
            <w:noWrap/>
            <w:vAlign w:val="bottom"/>
            <w:hideMark/>
          </w:tcPr>
          <w:p w14:paraId="117CB3A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85</w:t>
            </w:r>
          </w:p>
        </w:tc>
        <w:tc>
          <w:tcPr>
            <w:tcW w:w="0" w:type="auto"/>
            <w:shd w:val="clear" w:color="auto" w:fill="auto"/>
            <w:noWrap/>
            <w:vAlign w:val="bottom"/>
            <w:hideMark/>
          </w:tcPr>
          <w:p w14:paraId="7805247F"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78560EA0"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87BFEF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7F05644"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A2A4C1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13B4E818"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1E3891E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7B40F7D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0670FF8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38077A7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1F114D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68B898F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1C372A03" w14:textId="77777777" w:rsidTr="00B70405">
        <w:trPr>
          <w:trHeight w:val="285"/>
        </w:trPr>
        <w:tc>
          <w:tcPr>
            <w:tcW w:w="0" w:type="auto"/>
            <w:shd w:val="clear" w:color="auto" w:fill="auto"/>
            <w:noWrap/>
            <w:vAlign w:val="bottom"/>
            <w:hideMark/>
          </w:tcPr>
          <w:p w14:paraId="5BAB81A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86</w:t>
            </w:r>
          </w:p>
        </w:tc>
        <w:tc>
          <w:tcPr>
            <w:tcW w:w="0" w:type="auto"/>
            <w:shd w:val="clear" w:color="auto" w:fill="auto"/>
            <w:noWrap/>
            <w:vAlign w:val="bottom"/>
            <w:hideMark/>
          </w:tcPr>
          <w:p w14:paraId="5D98D9F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Substructure drainage maintenance</w:t>
            </w:r>
          </w:p>
        </w:tc>
        <w:tc>
          <w:tcPr>
            <w:tcW w:w="0" w:type="auto"/>
            <w:shd w:val="clear" w:color="auto" w:fill="auto"/>
            <w:noWrap/>
            <w:vAlign w:val="bottom"/>
            <w:hideMark/>
          </w:tcPr>
          <w:p w14:paraId="4BEE1EA9"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091B1C01"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00E0756"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53C583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571023A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2134549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6F9E3B6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24591B9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0983FC1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276A095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£227</w:t>
            </w:r>
          </w:p>
        </w:tc>
        <w:tc>
          <w:tcPr>
            <w:tcW w:w="0" w:type="auto"/>
            <w:shd w:val="clear" w:color="auto" w:fill="auto"/>
            <w:noWrap/>
            <w:vAlign w:val="bottom"/>
            <w:hideMark/>
          </w:tcPr>
          <w:p w14:paraId="29F44CE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£27.21</w:t>
            </w:r>
          </w:p>
        </w:tc>
      </w:tr>
      <w:tr w:rsidR="00B70405" w:rsidRPr="00B70405" w14:paraId="66EBBBCD" w14:textId="77777777" w:rsidTr="00B70405">
        <w:trPr>
          <w:trHeight w:val="285"/>
        </w:trPr>
        <w:tc>
          <w:tcPr>
            <w:tcW w:w="0" w:type="auto"/>
            <w:shd w:val="clear" w:color="auto" w:fill="auto"/>
            <w:noWrap/>
            <w:vAlign w:val="bottom"/>
            <w:hideMark/>
          </w:tcPr>
          <w:p w14:paraId="0B5384B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87</w:t>
            </w:r>
          </w:p>
        </w:tc>
        <w:tc>
          <w:tcPr>
            <w:tcW w:w="0" w:type="auto"/>
            <w:shd w:val="clear" w:color="auto" w:fill="auto"/>
            <w:noWrap/>
            <w:vAlign w:val="bottom"/>
            <w:hideMark/>
          </w:tcPr>
          <w:p w14:paraId="1E1823B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1F1F3A9D"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0C185AAD"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D5B56D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41E841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31BD487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45927B6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1F94639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ABDCE3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7E9D8B9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7D02129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£457</w:t>
            </w:r>
          </w:p>
        </w:tc>
        <w:tc>
          <w:tcPr>
            <w:tcW w:w="0" w:type="auto"/>
            <w:shd w:val="clear" w:color="auto" w:fill="auto"/>
            <w:noWrap/>
            <w:vAlign w:val="bottom"/>
            <w:hideMark/>
          </w:tcPr>
          <w:p w14:paraId="53906E7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£53.31</w:t>
            </w:r>
          </w:p>
        </w:tc>
      </w:tr>
      <w:tr w:rsidR="00B70405" w:rsidRPr="00B70405" w14:paraId="0686974C" w14:textId="77777777" w:rsidTr="00B70405">
        <w:trPr>
          <w:trHeight w:val="285"/>
        </w:trPr>
        <w:tc>
          <w:tcPr>
            <w:tcW w:w="0" w:type="auto"/>
            <w:shd w:val="clear" w:color="auto" w:fill="auto"/>
            <w:noWrap/>
            <w:vAlign w:val="bottom"/>
            <w:hideMark/>
          </w:tcPr>
          <w:p w14:paraId="7C90941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88</w:t>
            </w:r>
          </w:p>
        </w:tc>
        <w:tc>
          <w:tcPr>
            <w:tcW w:w="0" w:type="auto"/>
            <w:shd w:val="clear" w:color="auto" w:fill="auto"/>
            <w:noWrap/>
            <w:vAlign w:val="bottom"/>
            <w:hideMark/>
          </w:tcPr>
          <w:p w14:paraId="518F2B4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surfacing</w:t>
            </w:r>
          </w:p>
        </w:tc>
        <w:tc>
          <w:tcPr>
            <w:tcW w:w="0" w:type="auto"/>
            <w:shd w:val="clear" w:color="auto" w:fill="auto"/>
            <w:noWrap/>
            <w:vAlign w:val="bottom"/>
            <w:hideMark/>
          </w:tcPr>
          <w:p w14:paraId="7C7BF75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Closure</w:t>
            </w:r>
          </w:p>
        </w:tc>
        <w:tc>
          <w:tcPr>
            <w:tcW w:w="0" w:type="auto"/>
            <w:shd w:val="clear" w:color="auto" w:fill="auto"/>
            <w:noWrap/>
            <w:vAlign w:val="bottom"/>
            <w:hideMark/>
          </w:tcPr>
          <w:p w14:paraId="3ACBC4EE"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364EA48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20A55C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189E73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0.11767</w:t>
            </w:r>
          </w:p>
        </w:tc>
        <w:tc>
          <w:tcPr>
            <w:tcW w:w="0" w:type="auto"/>
            <w:shd w:val="clear" w:color="auto" w:fill="auto"/>
            <w:noWrap/>
            <w:vAlign w:val="bottom"/>
            <w:hideMark/>
          </w:tcPr>
          <w:p w14:paraId="0277479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3501BE2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1EE8994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5C4D826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2491619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£15,664</w:t>
            </w:r>
          </w:p>
        </w:tc>
        <w:tc>
          <w:tcPr>
            <w:tcW w:w="0" w:type="auto"/>
            <w:vMerge w:val="restart"/>
            <w:shd w:val="clear" w:color="auto" w:fill="auto"/>
            <w:noWrap/>
            <w:vAlign w:val="bottom"/>
            <w:hideMark/>
          </w:tcPr>
          <w:p w14:paraId="7858ECE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£1,783.24</w:t>
            </w:r>
          </w:p>
        </w:tc>
      </w:tr>
      <w:tr w:rsidR="00B70405" w:rsidRPr="00B70405" w14:paraId="01BBDA01" w14:textId="77777777" w:rsidTr="00B70405">
        <w:trPr>
          <w:trHeight w:val="285"/>
        </w:trPr>
        <w:tc>
          <w:tcPr>
            <w:tcW w:w="0" w:type="auto"/>
            <w:shd w:val="clear" w:color="auto" w:fill="auto"/>
            <w:noWrap/>
            <w:vAlign w:val="bottom"/>
            <w:hideMark/>
          </w:tcPr>
          <w:p w14:paraId="7466E57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88</w:t>
            </w:r>
          </w:p>
        </w:tc>
        <w:tc>
          <w:tcPr>
            <w:tcW w:w="0" w:type="auto"/>
            <w:shd w:val="clear" w:color="auto" w:fill="auto"/>
            <w:noWrap/>
            <w:vAlign w:val="bottom"/>
            <w:hideMark/>
          </w:tcPr>
          <w:p w14:paraId="2A7F1D6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Concrete repairs to bearing plinth / shelf</w:t>
            </w:r>
          </w:p>
        </w:tc>
        <w:tc>
          <w:tcPr>
            <w:tcW w:w="0" w:type="auto"/>
            <w:shd w:val="clear" w:color="auto" w:fill="auto"/>
            <w:noWrap/>
            <w:vAlign w:val="bottom"/>
            <w:hideMark/>
          </w:tcPr>
          <w:p w14:paraId="699760A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6F6443B4"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4864A7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EE2F39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43A7012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1.9</w:t>
            </w:r>
          </w:p>
        </w:tc>
        <w:tc>
          <w:tcPr>
            <w:tcW w:w="0" w:type="auto"/>
            <w:shd w:val="clear" w:color="auto" w:fill="auto"/>
            <w:noWrap/>
            <w:vAlign w:val="bottom"/>
            <w:hideMark/>
          </w:tcPr>
          <w:p w14:paraId="78E327B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3D7700A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ign w:val="center"/>
            <w:hideMark/>
          </w:tcPr>
          <w:p w14:paraId="195FEB0B"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0FC8D493"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268FBB22"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730AD5E0"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20645DF1" w14:textId="77777777" w:rsidTr="00B70405">
        <w:trPr>
          <w:trHeight w:val="285"/>
        </w:trPr>
        <w:tc>
          <w:tcPr>
            <w:tcW w:w="0" w:type="auto"/>
            <w:shd w:val="clear" w:color="auto" w:fill="auto"/>
            <w:noWrap/>
            <w:vAlign w:val="bottom"/>
            <w:hideMark/>
          </w:tcPr>
          <w:p w14:paraId="1EA713E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89</w:t>
            </w:r>
          </w:p>
        </w:tc>
        <w:tc>
          <w:tcPr>
            <w:tcW w:w="0" w:type="auto"/>
            <w:shd w:val="clear" w:color="auto" w:fill="auto"/>
            <w:noWrap/>
            <w:vAlign w:val="bottom"/>
            <w:hideMark/>
          </w:tcPr>
          <w:p w14:paraId="0AB47AD1"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8D856E0"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E89BCFF"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524528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D7E373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3E183748"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420D8EE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1D2F6A1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F06B79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7FBE32F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EB6D58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072B3A3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6AD0A7E0" w14:textId="77777777" w:rsidTr="00B70405">
        <w:trPr>
          <w:trHeight w:val="285"/>
        </w:trPr>
        <w:tc>
          <w:tcPr>
            <w:tcW w:w="0" w:type="auto"/>
            <w:shd w:val="clear" w:color="auto" w:fill="auto"/>
            <w:noWrap/>
            <w:vAlign w:val="bottom"/>
            <w:hideMark/>
          </w:tcPr>
          <w:p w14:paraId="4574AED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90</w:t>
            </w:r>
          </w:p>
        </w:tc>
        <w:tc>
          <w:tcPr>
            <w:tcW w:w="0" w:type="auto"/>
            <w:shd w:val="clear" w:color="auto" w:fill="auto"/>
            <w:noWrap/>
            <w:vAlign w:val="bottom"/>
            <w:hideMark/>
          </w:tcPr>
          <w:p w14:paraId="2864EC4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Metalwork repairs to deck bracing</w:t>
            </w:r>
          </w:p>
        </w:tc>
        <w:tc>
          <w:tcPr>
            <w:tcW w:w="0" w:type="auto"/>
            <w:shd w:val="clear" w:color="auto" w:fill="auto"/>
            <w:noWrap/>
            <w:vAlign w:val="bottom"/>
            <w:hideMark/>
          </w:tcPr>
          <w:p w14:paraId="42C8A4F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266DCE1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D88BFFE"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23A597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3876DD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0.74</w:t>
            </w:r>
          </w:p>
        </w:tc>
        <w:tc>
          <w:tcPr>
            <w:tcW w:w="0" w:type="auto"/>
            <w:shd w:val="clear" w:color="auto" w:fill="auto"/>
            <w:noWrap/>
            <w:vAlign w:val="bottom"/>
            <w:hideMark/>
          </w:tcPr>
          <w:p w14:paraId="2D8EC19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58A616C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76C47DF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6B22983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29359A0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£59,447</w:t>
            </w:r>
          </w:p>
        </w:tc>
        <w:tc>
          <w:tcPr>
            <w:tcW w:w="0" w:type="auto"/>
            <w:vMerge w:val="restart"/>
            <w:shd w:val="clear" w:color="auto" w:fill="auto"/>
            <w:noWrap/>
            <w:vAlign w:val="bottom"/>
            <w:hideMark/>
          </w:tcPr>
          <w:p w14:paraId="086376C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£6,441.48</w:t>
            </w:r>
          </w:p>
        </w:tc>
      </w:tr>
      <w:tr w:rsidR="00B70405" w:rsidRPr="00B70405" w14:paraId="51D6C6B1" w14:textId="77777777" w:rsidTr="00B70405">
        <w:trPr>
          <w:trHeight w:val="285"/>
        </w:trPr>
        <w:tc>
          <w:tcPr>
            <w:tcW w:w="0" w:type="auto"/>
            <w:shd w:val="clear" w:color="auto" w:fill="auto"/>
            <w:noWrap/>
            <w:vAlign w:val="bottom"/>
            <w:hideMark/>
          </w:tcPr>
          <w:p w14:paraId="61C538A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90</w:t>
            </w:r>
          </w:p>
        </w:tc>
        <w:tc>
          <w:tcPr>
            <w:tcW w:w="0" w:type="auto"/>
            <w:shd w:val="clear" w:color="auto" w:fill="auto"/>
            <w:noWrap/>
            <w:vAlign w:val="bottom"/>
            <w:hideMark/>
          </w:tcPr>
          <w:p w14:paraId="661C523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Renew waterproofing</w:t>
            </w:r>
          </w:p>
        </w:tc>
        <w:tc>
          <w:tcPr>
            <w:tcW w:w="0" w:type="auto"/>
            <w:shd w:val="clear" w:color="auto" w:fill="auto"/>
            <w:noWrap/>
            <w:vAlign w:val="bottom"/>
            <w:hideMark/>
          </w:tcPr>
          <w:p w14:paraId="678BBEA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Contraflow</w:t>
            </w:r>
          </w:p>
        </w:tc>
        <w:tc>
          <w:tcPr>
            <w:tcW w:w="0" w:type="auto"/>
            <w:shd w:val="clear" w:color="auto" w:fill="auto"/>
            <w:noWrap/>
            <w:vAlign w:val="bottom"/>
            <w:hideMark/>
          </w:tcPr>
          <w:p w14:paraId="771D29D6"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4DAE08B"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BE4FA4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2A616D9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6.2</w:t>
            </w:r>
          </w:p>
        </w:tc>
        <w:tc>
          <w:tcPr>
            <w:tcW w:w="0" w:type="auto"/>
            <w:shd w:val="clear" w:color="auto" w:fill="auto"/>
            <w:noWrap/>
            <w:vAlign w:val="bottom"/>
            <w:hideMark/>
          </w:tcPr>
          <w:p w14:paraId="76B571B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29D7BCF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ign w:val="center"/>
            <w:hideMark/>
          </w:tcPr>
          <w:p w14:paraId="54782604"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205757B3"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51CC2540"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1FBDDD12"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61B1A379" w14:textId="77777777" w:rsidTr="00B70405">
        <w:trPr>
          <w:trHeight w:val="285"/>
        </w:trPr>
        <w:tc>
          <w:tcPr>
            <w:tcW w:w="0" w:type="auto"/>
            <w:shd w:val="clear" w:color="auto" w:fill="auto"/>
            <w:noWrap/>
            <w:vAlign w:val="bottom"/>
            <w:hideMark/>
          </w:tcPr>
          <w:p w14:paraId="3791554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90</w:t>
            </w:r>
          </w:p>
        </w:tc>
        <w:tc>
          <w:tcPr>
            <w:tcW w:w="0" w:type="auto"/>
            <w:shd w:val="clear" w:color="auto" w:fill="auto"/>
            <w:noWrap/>
            <w:vAlign w:val="bottom"/>
            <w:hideMark/>
          </w:tcPr>
          <w:p w14:paraId="5D80A07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2A98C6C1"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420DA591"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095822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2AE907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1DE8387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70C9DE0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0B588FD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ign w:val="center"/>
            <w:hideMark/>
          </w:tcPr>
          <w:p w14:paraId="5F93BD91"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41DC4AED"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3B334B7A"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39E357F2"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4A41C274" w14:textId="77777777" w:rsidTr="00B70405">
        <w:trPr>
          <w:trHeight w:val="285"/>
        </w:trPr>
        <w:tc>
          <w:tcPr>
            <w:tcW w:w="0" w:type="auto"/>
            <w:shd w:val="clear" w:color="auto" w:fill="auto"/>
            <w:noWrap/>
            <w:vAlign w:val="bottom"/>
            <w:hideMark/>
          </w:tcPr>
          <w:p w14:paraId="76D93A8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91</w:t>
            </w:r>
          </w:p>
        </w:tc>
        <w:tc>
          <w:tcPr>
            <w:tcW w:w="0" w:type="auto"/>
            <w:shd w:val="clear" w:color="auto" w:fill="auto"/>
            <w:noWrap/>
            <w:vAlign w:val="bottom"/>
            <w:hideMark/>
          </w:tcPr>
          <w:p w14:paraId="06A6A07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Substructure drainage maintenance</w:t>
            </w:r>
          </w:p>
        </w:tc>
        <w:tc>
          <w:tcPr>
            <w:tcW w:w="0" w:type="auto"/>
            <w:shd w:val="clear" w:color="auto" w:fill="auto"/>
            <w:noWrap/>
            <w:vAlign w:val="bottom"/>
            <w:hideMark/>
          </w:tcPr>
          <w:p w14:paraId="4166A5D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19F5BE58"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393EC2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CD7076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4044E57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2E23222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14E10C0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1898342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221679F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5350D2F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£21,890</w:t>
            </w:r>
          </w:p>
        </w:tc>
        <w:tc>
          <w:tcPr>
            <w:tcW w:w="0" w:type="auto"/>
            <w:vMerge w:val="restart"/>
            <w:shd w:val="clear" w:color="auto" w:fill="auto"/>
            <w:noWrap/>
            <w:vAlign w:val="bottom"/>
            <w:hideMark/>
          </w:tcPr>
          <w:p w14:paraId="5EBB15D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£2,314.10</w:t>
            </w:r>
          </w:p>
        </w:tc>
      </w:tr>
      <w:tr w:rsidR="00B70405" w:rsidRPr="00B70405" w14:paraId="34C468CE" w14:textId="77777777" w:rsidTr="00B70405">
        <w:trPr>
          <w:trHeight w:val="285"/>
        </w:trPr>
        <w:tc>
          <w:tcPr>
            <w:tcW w:w="0" w:type="auto"/>
            <w:shd w:val="clear" w:color="auto" w:fill="auto"/>
            <w:noWrap/>
            <w:vAlign w:val="bottom"/>
            <w:hideMark/>
          </w:tcPr>
          <w:p w14:paraId="57CDC4D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91</w:t>
            </w:r>
          </w:p>
        </w:tc>
        <w:tc>
          <w:tcPr>
            <w:tcW w:w="0" w:type="auto"/>
            <w:shd w:val="clear" w:color="auto" w:fill="auto"/>
            <w:noWrap/>
            <w:vAlign w:val="bottom"/>
            <w:hideMark/>
          </w:tcPr>
          <w:p w14:paraId="0C04564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Expansion Joints</w:t>
            </w:r>
          </w:p>
        </w:tc>
        <w:tc>
          <w:tcPr>
            <w:tcW w:w="0" w:type="auto"/>
            <w:shd w:val="clear" w:color="auto" w:fill="auto"/>
            <w:noWrap/>
            <w:vAlign w:val="bottom"/>
            <w:hideMark/>
          </w:tcPr>
          <w:p w14:paraId="1D6DA44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Road Closure - Night</w:t>
            </w:r>
          </w:p>
        </w:tc>
        <w:tc>
          <w:tcPr>
            <w:tcW w:w="0" w:type="auto"/>
            <w:shd w:val="clear" w:color="auto" w:fill="auto"/>
            <w:noWrap/>
            <w:vAlign w:val="bottom"/>
            <w:hideMark/>
          </w:tcPr>
          <w:p w14:paraId="1244E9A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w:t>
            </w:r>
          </w:p>
        </w:tc>
        <w:tc>
          <w:tcPr>
            <w:tcW w:w="0" w:type="auto"/>
            <w:shd w:val="clear" w:color="auto" w:fill="auto"/>
            <w:noWrap/>
            <w:vAlign w:val="bottom"/>
            <w:hideMark/>
          </w:tcPr>
          <w:p w14:paraId="78C470A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232381D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24395C5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7.29</w:t>
            </w:r>
          </w:p>
        </w:tc>
        <w:tc>
          <w:tcPr>
            <w:tcW w:w="0" w:type="auto"/>
            <w:shd w:val="clear" w:color="auto" w:fill="auto"/>
            <w:noWrap/>
            <w:vAlign w:val="bottom"/>
            <w:hideMark/>
          </w:tcPr>
          <w:p w14:paraId="47984EC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3912BB4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ign w:val="center"/>
            <w:hideMark/>
          </w:tcPr>
          <w:p w14:paraId="1EA65E5E"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6F7F0700"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773C7672"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6598DF89"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548F16E4" w14:textId="77777777" w:rsidTr="00B70405">
        <w:trPr>
          <w:trHeight w:val="285"/>
        </w:trPr>
        <w:tc>
          <w:tcPr>
            <w:tcW w:w="0" w:type="auto"/>
            <w:shd w:val="clear" w:color="auto" w:fill="auto"/>
            <w:noWrap/>
            <w:vAlign w:val="bottom"/>
            <w:hideMark/>
          </w:tcPr>
          <w:p w14:paraId="6DF57F1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92</w:t>
            </w:r>
          </w:p>
        </w:tc>
        <w:tc>
          <w:tcPr>
            <w:tcW w:w="0" w:type="auto"/>
            <w:shd w:val="clear" w:color="auto" w:fill="auto"/>
            <w:noWrap/>
            <w:vAlign w:val="bottom"/>
            <w:hideMark/>
          </w:tcPr>
          <w:p w14:paraId="7E19E13B"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41E29E14"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DD732AB"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3BF95F3"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7E85E39"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8738D79"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407097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2D03D28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06B0883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3D678E6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48CE39F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2A9295F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4C818EB8" w14:textId="77777777" w:rsidTr="00B70405">
        <w:trPr>
          <w:trHeight w:val="285"/>
        </w:trPr>
        <w:tc>
          <w:tcPr>
            <w:tcW w:w="0" w:type="auto"/>
            <w:shd w:val="clear" w:color="auto" w:fill="auto"/>
            <w:noWrap/>
            <w:vAlign w:val="bottom"/>
            <w:hideMark/>
          </w:tcPr>
          <w:p w14:paraId="106E089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93</w:t>
            </w:r>
          </w:p>
        </w:tc>
        <w:tc>
          <w:tcPr>
            <w:tcW w:w="0" w:type="auto"/>
            <w:shd w:val="clear" w:color="auto" w:fill="auto"/>
            <w:noWrap/>
            <w:vAlign w:val="bottom"/>
            <w:hideMark/>
          </w:tcPr>
          <w:p w14:paraId="684C419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507C917F"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5E6A0F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BB9BF75"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6FF2A6E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4AFA872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081F875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3C98A3F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46D843B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71AB2B7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4EAF0F2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£457</w:t>
            </w:r>
          </w:p>
        </w:tc>
        <w:tc>
          <w:tcPr>
            <w:tcW w:w="0" w:type="auto"/>
            <w:shd w:val="clear" w:color="auto" w:fill="auto"/>
            <w:noWrap/>
            <w:vAlign w:val="bottom"/>
            <w:hideMark/>
          </w:tcPr>
          <w:p w14:paraId="2CE446E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£45.97</w:t>
            </w:r>
          </w:p>
        </w:tc>
      </w:tr>
      <w:tr w:rsidR="00B70405" w:rsidRPr="00B70405" w14:paraId="56F1816C" w14:textId="77777777" w:rsidTr="00B70405">
        <w:trPr>
          <w:trHeight w:val="285"/>
        </w:trPr>
        <w:tc>
          <w:tcPr>
            <w:tcW w:w="0" w:type="auto"/>
            <w:shd w:val="clear" w:color="auto" w:fill="auto"/>
            <w:noWrap/>
            <w:vAlign w:val="bottom"/>
            <w:hideMark/>
          </w:tcPr>
          <w:p w14:paraId="214D118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94</w:t>
            </w:r>
          </w:p>
        </w:tc>
        <w:tc>
          <w:tcPr>
            <w:tcW w:w="0" w:type="auto"/>
            <w:shd w:val="clear" w:color="auto" w:fill="auto"/>
            <w:noWrap/>
            <w:vAlign w:val="bottom"/>
            <w:hideMark/>
          </w:tcPr>
          <w:p w14:paraId="24A5EBA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Access/ Walkways/ Gantries</w:t>
            </w:r>
          </w:p>
        </w:tc>
        <w:tc>
          <w:tcPr>
            <w:tcW w:w="0" w:type="auto"/>
            <w:shd w:val="clear" w:color="auto" w:fill="auto"/>
            <w:noWrap/>
            <w:vAlign w:val="bottom"/>
            <w:hideMark/>
          </w:tcPr>
          <w:p w14:paraId="0C4DC1A2"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1E0A092B"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20E7BA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0A9B47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97E19E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0.6</w:t>
            </w:r>
          </w:p>
        </w:tc>
        <w:tc>
          <w:tcPr>
            <w:tcW w:w="0" w:type="auto"/>
            <w:shd w:val="clear" w:color="auto" w:fill="auto"/>
            <w:noWrap/>
            <w:vAlign w:val="bottom"/>
            <w:hideMark/>
          </w:tcPr>
          <w:p w14:paraId="45B53C8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54E0174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33E939E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1560627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2DAD29A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£167,154</w:t>
            </w:r>
          </w:p>
        </w:tc>
        <w:tc>
          <w:tcPr>
            <w:tcW w:w="0" w:type="auto"/>
            <w:vMerge w:val="restart"/>
            <w:shd w:val="clear" w:color="auto" w:fill="auto"/>
            <w:noWrap/>
            <w:vAlign w:val="bottom"/>
            <w:hideMark/>
          </w:tcPr>
          <w:p w14:paraId="6723794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£16,408.64</w:t>
            </w:r>
          </w:p>
        </w:tc>
      </w:tr>
      <w:tr w:rsidR="00B70405" w:rsidRPr="00B70405" w14:paraId="0C4AE875" w14:textId="77777777" w:rsidTr="00B70405">
        <w:trPr>
          <w:trHeight w:val="285"/>
        </w:trPr>
        <w:tc>
          <w:tcPr>
            <w:tcW w:w="0" w:type="auto"/>
            <w:shd w:val="clear" w:color="auto" w:fill="auto"/>
            <w:noWrap/>
            <w:vAlign w:val="bottom"/>
            <w:hideMark/>
          </w:tcPr>
          <w:p w14:paraId="09FEEF2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94</w:t>
            </w:r>
          </w:p>
        </w:tc>
        <w:tc>
          <w:tcPr>
            <w:tcW w:w="0" w:type="auto"/>
            <w:shd w:val="clear" w:color="auto" w:fill="auto"/>
            <w:noWrap/>
            <w:vAlign w:val="bottom"/>
            <w:hideMark/>
          </w:tcPr>
          <w:p w14:paraId="142908E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Bearings</w:t>
            </w:r>
          </w:p>
        </w:tc>
        <w:tc>
          <w:tcPr>
            <w:tcW w:w="0" w:type="auto"/>
            <w:shd w:val="clear" w:color="auto" w:fill="auto"/>
            <w:noWrap/>
            <w:vAlign w:val="bottom"/>
            <w:hideMark/>
          </w:tcPr>
          <w:p w14:paraId="0548459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Railway Possession</w:t>
            </w:r>
          </w:p>
        </w:tc>
        <w:tc>
          <w:tcPr>
            <w:tcW w:w="0" w:type="auto"/>
            <w:shd w:val="clear" w:color="auto" w:fill="auto"/>
            <w:noWrap/>
            <w:vAlign w:val="bottom"/>
            <w:hideMark/>
          </w:tcPr>
          <w:p w14:paraId="40A17A82"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0DE594DD"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B8C884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1954C2C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22.825</w:t>
            </w:r>
          </w:p>
        </w:tc>
        <w:tc>
          <w:tcPr>
            <w:tcW w:w="0" w:type="auto"/>
            <w:shd w:val="clear" w:color="auto" w:fill="auto"/>
            <w:noWrap/>
            <w:vAlign w:val="bottom"/>
            <w:hideMark/>
          </w:tcPr>
          <w:p w14:paraId="63C1A5A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16FD1BE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ign w:val="center"/>
            <w:hideMark/>
          </w:tcPr>
          <w:p w14:paraId="0724997B"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2220C360"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5DF3FC7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742A0D3E"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7A1C4663" w14:textId="77777777" w:rsidTr="00B70405">
        <w:trPr>
          <w:trHeight w:val="285"/>
        </w:trPr>
        <w:tc>
          <w:tcPr>
            <w:tcW w:w="0" w:type="auto"/>
            <w:shd w:val="clear" w:color="auto" w:fill="auto"/>
            <w:noWrap/>
            <w:vAlign w:val="bottom"/>
            <w:hideMark/>
          </w:tcPr>
          <w:p w14:paraId="30C4776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95</w:t>
            </w:r>
          </w:p>
        </w:tc>
        <w:tc>
          <w:tcPr>
            <w:tcW w:w="0" w:type="auto"/>
            <w:shd w:val="clear" w:color="auto" w:fill="auto"/>
            <w:noWrap/>
            <w:vAlign w:val="bottom"/>
            <w:hideMark/>
          </w:tcPr>
          <w:p w14:paraId="7C251B9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Repair Parapet Handrail/ Parapets/ Safety Fences</w:t>
            </w:r>
          </w:p>
        </w:tc>
        <w:tc>
          <w:tcPr>
            <w:tcW w:w="0" w:type="auto"/>
            <w:shd w:val="clear" w:color="auto" w:fill="auto"/>
            <w:noWrap/>
            <w:vAlign w:val="bottom"/>
            <w:hideMark/>
          </w:tcPr>
          <w:p w14:paraId="369FFE5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Footway Closure</w:t>
            </w:r>
          </w:p>
        </w:tc>
        <w:tc>
          <w:tcPr>
            <w:tcW w:w="0" w:type="auto"/>
            <w:shd w:val="clear" w:color="auto" w:fill="auto"/>
            <w:noWrap/>
            <w:vAlign w:val="bottom"/>
            <w:hideMark/>
          </w:tcPr>
          <w:p w14:paraId="32EC4584"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2D33957F"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EFAF9F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6D55120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3.74</w:t>
            </w:r>
          </w:p>
        </w:tc>
        <w:tc>
          <w:tcPr>
            <w:tcW w:w="0" w:type="auto"/>
            <w:shd w:val="clear" w:color="auto" w:fill="auto"/>
            <w:noWrap/>
            <w:vAlign w:val="bottom"/>
            <w:hideMark/>
          </w:tcPr>
          <w:p w14:paraId="73A0D24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7BB0023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2A523E7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30333B8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387EFA1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£35,780</w:t>
            </w:r>
          </w:p>
        </w:tc>
        <w:tc>
          <w:tcPr>
            <w:tcW w:w="0" w:type="auto"/>
            <w:vMerge w:val="restart"/>
            <w:shd w:val="clear" w:color="auto" w:fill="auto"/>
            <w:noWrap/>
            <w:vAlign w:val="bottom"/>
            <w:hideMark/>
          </w:tcPr>
          <w:p w14:paraId="7A4D149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£3,426.68</w:t>
            </w:r>
          </w:p>
        </w:tc>
      </w:tr>
      <w:tr w:rsidR="00B70405" w:rsidRPr="00B70405" w14:paraId="68975D6F" w14:textId="77777777" w:rsidTr="00B70405">
        <w:trPr>
          <w:trHeight w:val="285"/>
        </w:trPr>
        <w:tc>
          <w:tcPr>
            <w:tcW w:w="0" w:type="auto"/>
            <w:shd w:val="clear" w:color="auto" w:fill="auto"/>
            <w:noWrap/>
            <w:vAlign w:val="bottom"/>
            <w:hideMark/>
          </w:tcPr>
          <w:p w14:paraId="29C53A4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95</w:t>
            </w:r>
          </w:p>
        </w:tc>
        <w:tc>
          <w:tcPr>
            <w:tcW w:w="0" w:type="auto"/>
            <w:shd w:val="clear" w:color="auto" w:fill="auto"/>
            <w:noWrap/>
            <w:vAlign w:val="bottom"/>
            <w:hideMark/>
          </w:tcPr>
          <w:p w14:paraId="0E59887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Carriageway repairs</w:t>
            </w:r>
          </w:p>
        </w:tc>
        <w:tc>
          <w:tcPr>
            <w:tcW w:w="0" w:type="auto"/>
            <w:shd w:val="clear" w:color="auto" w:fill="auto"/>
            <w:noWrap/>
            <w:vAlign w:val="bottom"/>
            <w:hideMark/>
          </w:tcPr>
          <w:p w14:paraId="1BD417F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Lane Closures</w:t>
            </w:r>
          </w:p>
        </w:tc>
        <w:tc>
          <w:tcPr>
            <w:tcW w:w="0" w:type="auto"/>
            <w:shd w:val="clear" w:color="auto" w:fill="auto"/>
            <w:noWrap/>
            <w:vAlign w:val="bottom"/>
            <w:hideMark/>
          </w:tcPr>
          <w:p w14:paraId="32A7379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1</w:t>
            </w:r>
          </w:p>
        </w:tc>
        <w:tc>
          <w:tcPr>
            <w:tcW w:w="0" w:type="auto"/>
            <w:shd w:val="clear" w:color="auto" w:fill="auto"/>
            <w:noWrap/>
            <w:vAlign w:val="bottom"/>
            <w:hideMark/>
          </w:tcPr>
          <w:p w14:paraId="540B864C"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92BFC8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783CEF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0.70233</w:t>
            </w:r>
          </w:p>
        </w:tc>
        <w:tc>
          <w:tcPr>
            <w:tcW w:w="0" w:type="auto"/>
            <w:shd w:val="clear" w:color="auto" w:fill="auto"/>
            <w:noWrap/>
            <w:vAlign w:val="bottom"/>
            <w:hideMark/>
          </w:tcPr>
          <w:p w14:paraId="66A7A03C"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47BB1B1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ign w:val="center"/>
            <w:hideMark/>
          </w:tcPr>
          <w:p w14:paraId="700A9CB7"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622AF923"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25A499D8"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36AEBD0D"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2B552B6A" w14:textId="77777777" w:rsidTr="00B70405">
        <w:trPr>
          <w:trHeight w:val="285"/>
        </w:trPr>
        <w:tc>
          <w:tcPr>
            <w:tcW w:w="0" w:type="auto"/>
            <w:shd w:val="clear" w:color="auto" w:fill="auto"/>
            <w:noWrap/>
            <w:vAlign w:val="bottom"/>
            <w:hideMark/>
          </w:tcPr>
          <w:p w14:paraId="11E850A1"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96</w:t>
            </w:r>
          </w:p>
        </w:tc>
        <w:tc>
          <w:tcPr>
            <w:tcW w:w="0" w:type="auto"/>
            <w:shd w:val="clear" w:color="auto" w:fill="auto"/>
            <w:noWrap/>
            <w:vAlign w:val="bottom"/>
            <w:hideMark/>
          </w:tcPr>
          <w:p w14:paraId="1869FA2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34AE261F"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17F9547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53296371"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5D8D19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19ECC0F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2AB4293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5C9ECAA5"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52D112B4"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restart"/>
            <w:shd w:val="clear" w:color="auto" w:fill="auto"/>
            <w:noWrap/>
            <w:vAlign w:val="bottom"/>
            <w:hideMark/>
          </w:tcPr>
          <w:p w14:paraId="39C7596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vMerge w:val="restart"/>
            <w:shd w:val="clear" w:color="auto" w:fill="auto"/>
            <w:noWrap/>
            <w:vAlign w:val="bottom"/>
            <w:hideMark/>
          </w:tcPr>
          <w:p w14:paraId="2FBDD8B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£684</w:t>
            </w:r>
          </w:p>
        </w:tc>
        <w:tc>
          <w:tcPr>
            <w:tcW w:w="0" w:type="auto"/>
            <w:vMerge w:val="restart"/>
            <w:shd w:val="clear" w:color="auto" w:fill="auto"/>
            <w:noWrap/>
            <w:vAlign w:val="bottom"/>
            <w:hideMark/>
          </w:tcPr>
          <w:p w14:paraId="212F36C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£63.94</w:t>
            </w:r>
          </w:p>
        </w:tc>
      </w:tr>
      <w:tr w:rsidR="00B70405" w:rsidRPr="00B70405" w14:paraId="26456DD9" w14:textId="77777777" w:rsidTr="00B70405">
        <w:trPr>
          <w:trHeight w:val="285"/>
        </w:trPr>
        <w:tc>
          <w:tcPr>
            <w:tcW w:w="0" w:type="auto"/>
            <w:shd w:val="clear" w:color="auto" w:fill="auto"/>
            <w:noWrap/>
            <w:vAlign w:val="bottom"/>
            <w:hideMark/>
          </w:tcPr>
          <w:p w14:paraId="7D6F410B"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96</w:t>
            </w:r>
          </w:p>
        </w:tc>
        <w:tc>
          <w:tcPr>
            <w:tcW w:w="0" w:type="auto"/>
            <w:shd w:val="clear" w:color="auto" w:fill="auto"/>
            <w:noWrap/>
            <w:vAlign w:val="bottom"/>
            <w:hideMark/>
          </w:tcPr>
          <w:p w14:paraId="301F446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Substructure drainage maintenance</w:t>
            </w:r>
          </w:p>
        </w:tc>
        <w:tc>
          <w:tcPr>
            <w:tcW w:w="0" w:type="auto"/>
            <w:shd w:val="clear" w:color="auto" w:fill="auto"/>
            <w:noWrap/>
            <w:vAlign w:val="bottom"/>
            <w:hideMark/>
          </w:tcPr>
          <w:p w14:paraId="3A8FCB35"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3973750A"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D5DD0BC"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31D767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0C55A518"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4CAB4D9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62CCFC8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ign w:val="center"/>
            <w:hideMark/>
          </w:tcPr>
          <w:p w14:paraId="6D00192F"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37D319FC"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vMerge/>
            <w:vAlign w:val="center"/>
            <w:hideMark/>
          </w:tcPr>
          <w:p w14:paraId="3898A067"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524E70AD"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7427D987" w14:textId="77777777" w:rsidTr="00B70405">
        <w:trPr>
          <w:trHeight w:val="285"/>
        </w:trPr>
        <w:tc>
          <w:tcPr>
            <w:tcW w:w="0" w:type="auto"/>
            <w:shd w:val="clear" w:color="auto" w:fill="auto"/>
            <w:noWrap/>
            <w:vAlign w:val="bottom"/>
            <w:hideMark/>
          </w:tcPr>
          <w:p w14:paraId="5093DED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97</w:t>
            </w:r>
          </w:p>
        </w:tc>
        <w:tc>
          <w:tcPr>
            <w:tcW w:w="0" w:type="auto"/>
            <w:shd w:val="clear" w:color="auto" w:fill="auto"/>
            <w:noWrap/>
            <w:vAlign w:val="bottom"/>
            <w:hideMark/>
          </w:tcPr>
          <w:p w14:paraId="53D9DDF6"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6825151C"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71A7BED7"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B513EFB"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06EA0D36"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5C0984EA"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743CFCF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62C1888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59F024D"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30280F5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0BE1BF3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6E70B04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154CA5E8" w14:textId="77777777" w:rsidTr="00B70405">
        <w:trPr>
          <w:trHeight w:val="285"/>
        </w:trPr>
        <w:tc>
          <w:tcPr>
            <w:tcW w:w="0" w:type="auto"/>
            <w:shd w:val="clear" w:color="auto" w:fill="auto"/>
            <w:noWrap/>
            <w:vAlign w:val="bottom"/>
            <w:hideMark/>
          </w:tcPr>
          <w:p w14:paraId="37D0F75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98</w:t>
            </w:r>
          </w:p>
        </w:tc>
        <w:tc>
          <w:tcPr>
            <w:tcW w:w="0" w:type="auto"/>
            <w:shd w:val="clear" w:color="auto" w:fill="auto"/>
            <w:noWrap/>
            <w:vAlign w:val="bottom"/>
            <w:hideMark/>
          </w:tcPr>
          <w:p w14:paraId="66AEBD91"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58AB5D8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12F2B67"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9A0ECD4"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DAA55C3"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4AA8DE06"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4B5A7142"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67B7CC16"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111D636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2F7B201D"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218BCD22"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0B49479A"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r w:rsidR="00B70405" w:rsidRPr="00B70405" w14:paraId="5F98B929" w14:textId="77777777" w:rsidTr="00B70405">
        <w:trPr>
          <w:trHeight w:val="285"/>
        </w:trPr>
        <w:tc>
          <w:tcPr>
            <w:tcW w:w="0" w:type="auto"/>
            <w:shd w:val="clear" w:color="auto" w:fill="auto"/>
            <w:noWrap/>
            <w:vAlign w:val="bottom"/>
            <w:hideMark/>
          </w:tcPr>
          <w:p w14:paraId="3885694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99</w:t>
            </w:r>
          </w:p>
        </w:tc>
        <w:tc>
          <w:tcPr>
            <w:tcW w:w="0" w:type="auto"/>
            <w:shd w:val="clear" w:color="auto" w:fill="auto"/>
            <w:noWrap/>
            <w:vAlign w:val="bottom"/>
            <w:hideMark/>
          </w:tcPr>
          <w:p w14:paraId="7124CB3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Superstructure drainage maintenance</w:t>
            </w:r>
          </w:p>
        </w:tc>
        <w:tc>
          <w:tcPr>
            <w:tcW w:w="0" w:type="auto"/>
            <w:shd w:val="clear" w:color="auto" w:fill="auto"/>
            <w:noWrap/>
            <w:vAlign w:val="bottom"/>
            <w:hideMark/>
          </w:tcPr>
          <w:p w14:paraId="2B95EC6E"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319C08CF"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4A0AC6AA"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A743CF4"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78532445"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0.17</w:t>
            </w:r>
          </w:p>
        </w:tc>
        <w:tc>
          <w:tcPr>
            <w:tcW w:w="0" w:type="auto"/>
            <w:shd w:val="clear" w:color="auto" w:fill="auto"/>
            <w:noWrap/>
            <w:vAlign w:val="bottom"/>
            <w:hideMark/>
          </w:tcPr>
          <w:p w14:paraId="28A35DC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1E519F1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3C51229A"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vMerge w:val="restart"/>
            <w:shd w:val="clear" w:color="auto" w:fill="auto"/>
            <w:noWrap/>
            <w:vAlign w:val="bottom"/>
            <w:hideMark/>
          </w:tcPr>
          <w:p w14:paraId="0FA9415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restart"/>
            <w:shd w:val="clear" w:color="auto" w:fill="auto"/>
            <w:noWrap/>
            <w:vAlign w:val="bottom"/>
            <w:hideMark/>
          </w:tcPr>
          <w:p w14:paraId="6B3C86D0"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£21,854</w:t>
            </w:r>
          </w:p>
        </w:tc>
        <w:tc>
          <w:tcPr>
            <w:tcW w:w="0" w:type="auto"/>
            <w:vMerge w:val="restart"/>
            <w:shd w:val="clear" w:color="auto" w:fill="auto"/>
            <w:noWrap/>
            <w:vAlign w:val="bottom"/>
            <w:hideMark/>
          </w:tcPr>
          <w:p w14:paraId="0C0CBC19"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£1,896.17</w:t>
            </w:r>
          </w:p>
        </w:tc>
      </w:tr>
      <w:tr w:rsidR="00B70405" w:rsidRPr="00B70405" w14:paraId="4BDFB938" w14:textId="77777777" w:rsidTr="00B70405">
        <w:trPr>
          <w:trHeight w:val="285"/>
        </w:trPr>
        <w:tc>
          <w:tcPr>
            <w:tcW w:w="0" w:type="auto"/>
            <w:shd w:val="clear" w:color="auto" w:fill="auto"/>
            <w:noWrap/>
            <w:vAlign w:val="bottom"/>
            <w:hideMark/>
          </w:tcPr>
          <w:p w14:paraId="01044EF0"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99</w:t>
            </w:r>
          </w:p>
        </w:tc>
        <w:tc>
          <w:tcPr>
            <w:tcW w:w="0" w:type="auto"/>
            <w:shd w:val="clear" w:color="auto" w:fill="auto"/>
            <w:noWrap/>
            <w:vAlign w:val="bottom"/>
            <w:hideMark/>
          </w:tcPr>
          <w:p w14:paraId="1D54F607"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Replace Expansion Joints</w:t>
            </w:r>
          </w:p>
        </w:tc>
        <w:tc>
          <w:tcPr>
            <w:tcW w:w="0" w:type="auto"/>
            <w:shd w:val="clear" w:color="auto" w:fill="auto"/>
            <w:noWrap/>
            <w:vAlign w:val="bottom"/>
            <w:hideMark/>
          </w:tcPr>
          <w:p w14:paraId="5F6F1DCB"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Road Closure - Night</w:t>
            </w:r>
          </w:p>
        </w:tc>
        <w:tc>
          <w:tcPr>
            <w:tcW w:w="0" w:type="auto"/>
            <w:shd w:val="clear" w:color="auto" w:fill="auto"/>
            <w:noWrap/>
            <w:vAlign w:val="bottom"/>
            <w:hideMark/>
          </w:tcPr>
          <w:p w14:paraId="44D6E361"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3</w:t>
            </w:r>
          </w:p>
        </w:tc>
        <w:tc>
          <w:tcPr>
            <w:tcW w:w="0" w:type="auto"/>
            <w:shd w:val="clear" w:color="auto" w:fill="auto"/>
            <w:noWrap/>
            <w:vAlign w:val="bottom"/>
            <w:hideMark/>
          </w:tcPr>
          <w:p w14:paraId="02DDCE51"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1240B73F"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57C299B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7.29</w:t>
            </w:r>
          </w:p>
        </w:tc>
        <w:tc>
          <w:tcPr>
            <w:tcW w:w="0" w:type="auto"/>
            <w:shd w:val="clear" w:color="auto" w:fill="auto"/>
            <w:noWrap/>
            <w:vAlign w:val="bottom"/>
            <w:hideMark/>
          </w:tcPr>
          <w:p w14:paraId="5F910528"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597FC864"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vMerge/>
            <w:vAlign w:val="center"/>
            <w:hideMark/>
          </w:tcPr>
          <w:p w14:paraId="16377DA5"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69DBEA32"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vMerge/>
            <w:vAlign w:val="center"/>
            <w:hideMark/>
          </w:tcPr>
          <w:p w14:paraId="34B47667"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vMerge/>
            <w:vAlign w:val="center"/>
            <w:hideMark/>
          </w:tcPr>
          <w:p w14:paraId="0A2F1906"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r>
      <w:tr w:rsidR="00B70405" w:rsidRPr="00B70405" w14:paraId="36276288" w14:textId="77777777" w:rsidTr="00B70405">
        <w:trPr>
          <w:trHeight w:val="285"/>
        </w:trPr>
        <w:tc>
          <w:tcPr>
            <w:tcW w:w="0" w:type="auto"/>
            <w:shd w:val="clear" w:color="auto" w:fill="auto"/>
            <w:noWrap/>
            <w:vAlign w:val="bottom"/>
            <w:hideMark/>
          </w:tcPr>
          <w:p w14:paraId="60D18277"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100</w:t>
            </w:r>
          </w:p>
        </w:tc>
        <w:tc>
          <w:tcPr>
            <w:tcW w:w="0" w:type="auto"/>
            <w:shd w:val="clear" w:color="auto" w:fill="auto"/>
            <w:noWrap/>
            <w:vAlign w:val="bottom"/>
            <w:hideMark/>
          </w:tcPr>
          <w:p w14:paraId="6087095D" w14:textId="77777777" w:rsidR="00B70405" w:rsidRPr="00B70405" w:rsidRDefault="00B70405" w:rsidP="00B70405">
            <w:pPr>
              <w:spacing w:after="0" w:line="240" w:lineRule="auto"/>
              <w:rPr>
                <w:rFonts w:ascii="Arial" w:eastAsia="Times New Roman" w:hAnsi="Arial" w:cs="Arial"/>
                <w:color w:val="000000"/>
                <w:sz w:val="14"/>
                <w:szCs w:val="14"/>
                <w:lang w:eastAsia="en-GB"/>
              </w:rPr>
            </w:pPr>
          </w:p>
        </w:tc>
        <w:tc>
          <w:tcPr>
            <w:tcW w:w="0" w:type="auto"/>
            <w:shd w:val="clear" w:color="auto" w:fill="auto"/>
            <w:noWrap/>
            <w:vAlign w:val="bottom"/>
            <w:hideMark/>
          </w:tcPr>
          <w:p w14:paraId="377F117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20CE1CE2"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1E36E059" w14:textId="77777777" w:rsidR="00B70405" w:rsidRPr="00B70405" w:rsidRDefault="00B70405" w:rsidP="00B70405">
            <w:pPr>
              <w:spacing w:after="0" w:line="240" w:lineRule="auto"/>
              <w:rPr>
                <w:rFonts w:ascii="Times New Roman" w:eastAsia="Times New Roman" w:hAnsi="Times New Roman" w:cs="Times New Roman"/>
                <w:sz w:val="14"/>
                <w:szCs w:val="14"/>
                <w:lang w:eastAsia="en-GB"/>
              </w:rPr>
            </w:pPr>
          </w:p>
        </w:tc>
        <w:tc>
          <w:tcPr>
            <w:tcW w:w="0" w:type="auto"/>
            <w:shd w:val="clear" w:color="auto" w:fill="auto"/>
            <w:noWrap/>
            <w:vAlign w:val="bottom"/>
            <w:hideMark/>
          </w:tcPr>
          <w:p w14:paraId="3A496C6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£0.00</w:t>
            </w:r>
          </w:p>
        </w:tc>
        <w:tc>
          <w:tcPr>
            <w:tcW w:w="0" w:type="auto"/>
            <w:shd w:val="clear" w:color="auto" w:fill="auto"/>
            <w:noWrap/>
            <w:vAlign w:val="bottom"/>
            <w:hideMark/>
          </w:tcPr>
          <w:p w14:paraId="2DD19759" w14:textId="77777777" w:rsidR="00B70405" w:rsidRPr="00B70405" w:rsidRDefault="00B70405" w:rsidP="00B70405">
            <w:pPr>
              <w:spacing w:after="0" w:line="240" w:lineRule="auto"/>
              <w:rPr>
                <w:rFonts w:ascii="Arial" w:eastAsia="Times New Roman" w:hAnsi="Arial" w:cs="Arial"/>
                <w:sz w:val="14"/>
                <w:szCs w:val="14"/>
                <w:lang w:eastAsia="en-GB"/>
              </w:rPr>
            </w:pPr>
          </w:p>
        </w:tc>
        <w:tc>
          <w:tcPr>
            <w:tcW w:w="0" w:type="auto"/>
            <w:shd w:val="clear" w:color="auto" w:fill="auto"/>
            <w:noWrap/>
            <w:vAlign w:val="bottom"/>
            <w:hideMark/>
          </w:tcPr>
          <w:p w14:paraId="5CA7ED9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c>
          <w:tcPr>
            <w:tcW w:w="0" w:type="auto"/>
            <w:shd w:val="clear" w:color="auto" w:fill="auto"/>
            <w:noWrap/>
            <w:vAlign w:val="bottom"/>
            <w:hideMark/>
          </w:tcPr>
          <w:p w14:paraId="3151FBBE"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31336B9C"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 xml:space="preserve"> £             -   </w:t>
            </w:r>
          </w:p>
        </w:tc>
        <w:tc>
          <w:tcPr>
            <w:tcW w:w="0" w:type="auto"/>
            <w:shd w:val="clear" w:color="auto" w:fill="auto"/>
            <w:noWrap/>
            <w:vAlign w:val="bottom"/>
            <w:hideMark/>
          </w:tcPr>
          <w:p w14:paraId="1CB4135F"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 xml:space="preserve"> £                -   </w:t>
            </w:r>
          </w:p>
        </w:tc>
        <w:tc>
          <w:tcPr>
            <w:tcW w:w="0" w:type="auto"/>
            <w:shd w:val="clear" w:color="auto" w:fill="auto"/>
            <w:noWrap/>
            <w:vAlign w:val="bottom"/>
            <w:hideMark/>
          </w:tcPr>
          <w:p w14:paraId="4357D2DE" w14:textId="77777777" w:rsidR="00B70405" w:rsidRPr="00B70405" w:rsidRDefault="00B70405" w:rsidP="00B70405">
            <w:pPr>
              <w:spacing w:after="0" w:line="240" w:lineRule="auto"/>
              <w:rPr>
                <w:rFonts w:ascii="Arial" w:eastAsia="Times New Roman" w:hAnsi="Arial" w:cs="Arial"/>
                <w:sz w:val="14"/>
                <w:szCs w:val="14"/>
                <w:lang w:eastAsia="en-GB"/>
              </w:rPr>
            </w:pPr>
            <w:r w:rsidRPr="00B70405">
              <w:rPr>
                <w:rFonts w:ascii="Arial" w:eastAsia="Times New Roman" w:hAnsi="Arial" w:cs="Arial"/>
                <w:sz w:val="14"/>
                <w:szCs w:val="14"/>
                <w:lang w:eastAsia="en-GB"/>
              </w:rPr>
              <w:t>£0</w:t>
            </w:r>
          </w:p>
        </w:tc>
        <w:tc>
          <w:tcPr>
            <w:tcW w:w="0" w:type="auto"/>
            <w:shd w:val="clear" w:color="auto" w:fill="auto"/>
            <w:noWrap/>
            <w:vAlign w:val="bottom"/>
            <w:hideMark/>
          </w:tcPr>
          <w:p w14:paraId="1B4160B3" w14:textId="77777777" w:rsidR="00B70405" w:rsidRPr="00B70405" w:rsidRDefault="00B70405" w:rsidP="00B70405">
            <w:pPr>
              <w:spacing w:after="0" w:line="240" w:lineRule="auto"/>
              <w:rPr>
                <w:rFonts w:ascii="Arial" w:eastAsia="Times New Roman" w:hAnsi="Arial" w:cs="Arial"/>
                <w:color w:val="000000"/>
                <w:sz w:val="14"/>
                <w:szCs w:val="14"/>
                <w:lang w:eastAsia="en-GB"/>
              </w:rPr>
            </w:pPr>
            <w:r w:rsidRPr="00B70405">
              <w:rPr>
                <w:rFonts w:ascii="Arial" w:eastAsia="Times New Roman" w:hAnsi="Arial" w:cs="Arial"/>
                <w:color w:val="000000"/>
                <w:sz w:val="14"/>
                <w:szCs w:val="14"/>
                <w:lang w:eastAsia="en-GB"/>
              </w:rPr>
              <w:t>£0.00</w:t>
            </w:r>
          </w:p>
        </w:tc>
      </w:tr>
    </w:tbl>
    <w:p w14:paraId="39925830" w14:textId="77777777" w:rsidR="009F1259" w:rsidRDefault="009F1259" w:rsidP="00B923B0">
      <w:pPr>
        <w:rPr>
          <w:rFonts w:ascii="Arial" w:eastAsia="Times New Roman" w:hAnsi="Arial" w:cs="Arial"/>
          <w:b/>
          <w:bCs/>
          <w:sz w:val="32"/>
          <w:szCs w:val="32"/>
          <w:lang w:eastAsia="en-GB"/>
        </w:rPr>
      </w:pPr>
    </w:p>
    <w:p w14:paraId="07CFCFE7" w14:textId="77777777" w:rsidR="00AE1914" w:rsidRDefault="00AE1914" w:rsidP="00B923B0">
      <w:pPr>
        <w:rPr>
          <w:rFonts w:ascii="Arial" w:eastAsia="Times New Roman" w:hAnsi="Arial" w:cs="Arial"/>
          <w:b/>
          <w:bCs/>
          <w:sz w:val="32"/>
          <w:szCs w:val="32"/>
          <w:lang w:eastAsia="en-GB"/>
        </w:rPr>
      </w:pPr>
    </w:p>
    <w:p w14:paraId="587E585C" w14:textId="77777777" w:rsidR="00AE1914" w:rsidRPr="00AE1914" w:rsidRDefault="00AE1914" w:rsidP="00AE1914">
      <w:pPr>
        <w:rPr>
          <w:lang w:eastAsia="en-GB"/>
        </w:rPr>
      </w:pPr>
    </w:p>
    <w:p w14:paraId="5520A87B" w14:textId="77777777" w:rsidR="00AE1914" w:rsidRDefault="00AE1914" w:rsidP="00AE1914">
      <w:pPr>
        <w:rPr>
          <w:rFonts w:ascii="Arial" w:eastAsia="Times New Roman" w:hAnsi="Arial" w:cs="Arial"/>
          <w:b/>
          <w:bCs/>
          <w:sz w:val="32"/>
          <w:szCs w:val="32"/>
          <w:lang w:eastAsia="en-GB"/>
        </w:rPr>
      </w:pPr>
    </w:p>
    <w:p w14:paraId="669D590C" w14:textId="77777777" w:rsidR="00AE1914" w:rsidRDefault="00AE1914" w:rsidP="00AE1914">
      <w:pPr>
        <w:rPr>
          <w:rFonts w:ascii="Arial" w:eastAsia="Times New Roman" w:hAnsi="Arial" w:cs="Arial"/>
          <w:b/>
          <w:bCs/>
          <w:sz w:val="32"/>
          <w:szCs w:val="32"/>
          <w:lang w:eastAsia="en-GB"/>
        </w:rPr>
      </w:pPr>
    </w:p>
    <w:p w14:paraId="082625EA" w14:textId="60EC5C49" w:rsidR="00AE1914" w:rsidRPr="00AE1914" w:rsidRDefault="00AE1914" w:rsidP="00AE1914">
      <w:pPr>
        <w:rPr>
          <w:lang w:eastAsia="en-GB"/>
        </w:rPr>
        <w:sectPr w:rsidR="00AE1914" w:rsidRPr="00AE1914" w:rsidSect="009C5C56">
          <w:pgSz w:w="16838" w:h="11906" w:orient="landscape"/>
          <w:pgMar w:top="720" w:right="720" w:bottom="720" w:left="720" w:header="708" w:footer="708" w:gutter="0"/>
          <w:cols w:space="708"/>
          <w:titlePg/>
          <w:docGrid w:linePitch="360"/>
        </w:sectPr>
      </w:pPr>
    </w:p>
    <w:p w14:paraId="2CCF41C5" w14:textId="174D363B" w:rsidR="00B923B0" w:rsidRPr="00B923B0" w:rsidRDefault="00B923B0" w:rsidP="00B923B0">
      <w:pPr>
        <w:rPr>
          <w:lang w:eastAsia="en-GB"/>
        </w:rPr>
      </w:pPr>
    </w:p>
    <w:bookmarkStart w:id="210" w:name="_Toc66868952" w:displacedByCustomXml="next"/>
    <w:sdt>
      <w:sdtPr>
        <w:rPr>
          <w:rFonts w:ascii="Arial" w:eastAsiaTheme="minorHAnsi" w:hAnsi="Arial" w:cs="Arial"/>
          <w:color w:val="auto"/>
          <w:sz w:val="22"/>
          <w:szCs w:val="22"/>
        </w:rPr>
        <w:id w:val="29310776"/>
        <w:docPartObj>
          <w:docPartGallery w:val="Bibliographies"/>
          <w:docPartUnique/>
        </w:docPartObj>
      </w:sdtPr>
      <w:sdtContent>
        <w:p w14:paraId="63141245" w14:textId="6DB0B159" w:rsidR="000A655D" w:rsidRPr="00AF0B8D" w:rsidRDefault="000A655D" w:rsidP="00DB16BD">
          <w:pPr>
            <w:pStyle w:val="Heading1"/>
            <w:numPr>
              <w:ilvl w:val="0"/>
              <w:numId w:val="0"/>
            </w:numPr>
            <w:ind w:left="432" w:hanging="432"/>
            <w:rPr>
              <w:rFonts w:ascii="Arial" w:hAnsi="Arial" w:cs="Arial"/>
              <w:b/>
              <w:bCs/>
              <w:color w:val="auto"/>
              <w:sz w:val="28"/>
              <w:szCs w:val="28"/>
            </w:rPr>
          </w:pPr>
          <w:r w:rsidRPr="00AF0B8D">
            <w:rPr>
              <w:rFonts w:ascii="Arial" w:hAnsi="Arial" w:cs="Arial"/>
              <w:b/>
              <w:bCs/>
              <w:color w:val="auto"/>
              <w:sz w:val="28"/>
              <w:szCs w:val="28"/>
            </w:rPr>
            <w:t>Bibliography</w:t>
          </w:r>
          <w:bookmarkEnd w:id="210"/>
        </w:p>
        <w:p w14:paraId="2E909586" w14:textId="222389DE" w:rsidR="00E1602D" w:rsidRDefault="00E1602D" w:rsidP="00E1602D"/>
        <w:p w14:paraId="486CCF2F" w14:textId="684A37D7" w:rsidR="00C17A6F" w:rsidRDefault="00C17A6F" w:rsidP="00D8143A">
          <w:pPr>
            <w:jc w:val="both"/>
            <w:rPr>
              <w:rFonts w:ascii="Arial" w:hAnsi="Arial" w:cs="Arial"/>
            </w:rPr>
          </w:pPr>
          <w:r w:rsidRPr="002E7BB1">
            <w:rPr>
              <w:rFonts w:ascii="Arial" w:hAnsi="Arial" w:cs="Arial"/>
            </w:rPr>
            <w:t>Atkins</w:t>
          </w:r>
          <w:r>
            <w:rPr>
              <w:rFonts w:ascii="Arial" w:hAnsi="Arial" w:cs="Arial"/>
            </w:rPr>
            <w:t xml:space="preserve"> (2007) </w:t>
          </w:r>
          <w:r>
            <w:rPr>
              <w:rFonts w:ascii="Arial" w:hAnsi="Arial" w:cs="Arial"/>
              <w:i/>
              <w:iCs/>
            </w:rPr>
            <w:t>Performance Measurement of Highway Structures</w:t>
          </w:r>
          <w:r w:rsidR="00917A7B">
            <w:rPr>
              <w:rFonts w:ascii="Arial" w:hAnsi="Arial" w:cs="Arial"/>
              <w:i/>
              <w:iCs/>
            </w:rPr>
            <w:t xml:space="preserve">. </w:t>
          </w:r>
          <w:r w:rsidR="00917A7B">
            <w:rPr>
              <w:rFonts w:ascii="Arial" w:hAnsi="Arial" w:cs="Arial"/>
            </w:rPr>
            <w:t xml:space="preserve">Available at: </w:t>
          </w:r>
          <w:hyperlink r:id="rId30" w:history="1">
            <w:r w:rsidR="00917A7B" w:rsidRPr="004C00DF">
              <w:rPr>
                <w:rStyle w:val="Hyperlink"/>
                <w:rFonts w:ascii="Arial" w:hAnsi="Arial" w:cs="Arial"/>
              </w:rPr>
              <w:t>https://adeptnet.org.uk/system/files/documents/Guidance%20Document%20for%20Performance%20Measurement-%20Part%20B1%20Condition%20PI.pdf</w:t>
            </w:r>
          </w:hyperlink>
          <w:r w:rsidR="00917A7B">
            <w:rPr>
              <w:rFonts w:ascii="Arial" w:hAnsi="Arial" w:cs="Arial"/>
            </w:rPr>
            <w:t xml:space="preserve"> (Assessed</w:t>
          </w:r>
          <w:r w:rsidR="00BD667C">
            <w:rPr>
              <w:rFonts w:ascii="Arial" w:hAnsi="Arial" w:cs="Arial"/>
            </w:rPr>
            <w:t>: 6</w:t>
          </w:r>
          <w:r w:rsidR="00BD667C" w:rsidRPr="00BD667C">
            <w:rPr>
              <w:rFonts w:ascii="Arial" w:hAnsi="Arial" w:cs="Arial"/>
              <w:vertAlign w:val="superscript"/>
            </w:rPr>
            <w:t>th</w:t>
          </w:r>
          <w:r w:rsidR="00BD667C">
            <w:rPr>
              <w:rFonts w:ascii="Arial" w:hAnsi="Arial" w:cs="Arial"/>
            </w:rPr>
            <w:t xml:space="preserve"> February 2021)</w:t>
          </w:r>
        </w:p>
        <w:sdt>
          <w:sdtPr>
            <w:rPr>
              <w:rFonts w:ascii="Arial" w:hAnsi="Arial" w:cs="Arial"/>
              <w:sz w:val="22"/>
              <w:szCs w:val="22"/>
            </w:rPr>
            <w:id w:val="111145805"/>
            <w:bibliography/>
          </w:sdtPr>
          <w:sdtContent>
            <w:p w14:paraId="1F090862" w14:textId="77777777" w:rsidR="00D551FA" w:rsidRPr="002E7BB1" w:rsidRDefault="00D551FA" w:rsidP="00267B59">
              <w:pPr>
                <w:pStyle w:val="CommentText"/>
                <w:spacing w:line="360" w:lineRule="auto"/>
                <w:jc w:val="both"/>
                <w:rPr>
                  <w:rFonts w:ascii="Arial" w:hAnsi="Arial" w:cs="Arial"/>
                  <w:sz w:val="22"/>
                  <w:szCs w:val="22"/>
                </w:rPr>
              </w:pPr>
              <w:r w:rsidRPr="002E7BB1">
                <w:rPr>
                  <w:rFonts w:ascii="Arial" w:hAnsi="Arial" w:cs="Arial"/>
                  <w:sz w:val="22"/>
                  <w:szCs w:val="22"/>
                </w:rPr>
                <w:t xml:space="preserve">Atkins (2011) </w:t>
              </w:r>
              <w:r w:rsidRPr="002E7BB1">
                <w:rPr>
                  <w:rFonts w:ascii="Arial" w:hAnsi="Arial" w:cs="Arial"/>
                  <w:i/>
                  <w:iCs/>
                  <w:sz w:val="22"/>
                  <w:szCs w:val="22"/>
                </w:rPr>
                <w:t>Whole Life Costing for Option Appraisal of Maintenance Schemes for Local Highway Authorities</w:t>
              </w:r>
              <w:r w:rsidRPr="002E7BB1">
                <w:rPr>
                  <w:rFonts w:ascii="Arial" w:hAnsi="Arial" w:cs="Arial"/>
                  <w:sz w:val="22"/>
                  <w:szCs w:val="22"/>
                </w:rPr>
                <w:t xml:space="preserve">. Available at: </w:t>
              </w:r>
              <w:hyperlink r:id="rId31" w:history="1">
                <w:r w:rsidRPr="002E7BB1">
                  <w:rPr>
                    <w:rStyle w:val="Hyperlink"/>
                    <w:rFonts w:ascii="Arial" w:hAnsi="Arial" w:cs="Arial"/>
                    <w:sz w:val="22"/>
                    <w:szCs w:val="22"/>
                  </w:rPr>
                  <w:t>https://docplayer.net/19773268-Whole-life-costing-for-option-appraisal-of-maintenance-schemes-for-local-highway-authorities-june-2011.html</w:t>
                </w:r>
              </w:hyperlink>
              <w:r w:rsidRPr="002E7BB1">
                <w:rPr>
                  <w:rFonts w:ascii="Arial" w:hAnsi="Arial" w:cs="Arial"/>
                  <w:sz w:val="22"/>
                  <w:szCs w:val="22"/>
                </w:rPr>
                <w:t xml:space="preserve"> (Assessed: 21</w:t>
              </w:r>
              <w:r w:rsidRPr="002E7BB1">
                <w:rPr>
                  <w:rFonts w:ascii="Arial" w:hAnsi="Arial" w:cs="Arial"/>
                  <w:sz w:val="22"/>
                  <w:szCs w:val="22"/>
                  <w:vertAlign w:val="superscript"/>
                </w:rPr>
                <w:t>st</w:t>
              </w:r>
              <w:r w:rsidRPr="002E7BB1">
                <w:rPr>
                  <w:rFonts w:ascii="Arial" w:hAnsi="Arial" w:cs="Arial"/>
                  <w:sz w:val="22"/>
                  <w:szCs w:val="22"/>
                </w:rPr>
                <w:t xml:space="preserve"> October 2020)</w:t>
              </w:r>
            </w:p>
            <w:p w14:paraId="38936AED" w14:textId="77777777" w:rsidR="00D551FA" w:rsidRPr="002E7BB1" w:rsidRDefault="00D551FA" w:rsidP="00267B59">
              <w:pPr>
                <w:pStyle w:val="CommentText"/>
                <w:spacing w:line="360" w:lineRule="auto"/>
                <w:jc w:val="both"/>
                <w:rPr>
                  <w:rFonts w:ascii="Arial" w:hAnsi="Arial" w:cs="Arial"/>
                  <w:sz w:val="22"/>
                  <w:szCs w:val="22"/>
                </w:rPr>
              </w:pPr>
              <w:r w:rsidRPr="002E7BB1">
                <w:rPr>
                  <w:rFonts w:ascii="Arial" w:hAnsi="Arial" w:cs="Arial"/>
                  <w:sz w:val="22"/>
                  <w:szCs w:val="22"/>
                </w:rPr>
                <w:t xml:space="preserve">Balogun, T.B., et al., (2020) Life-cycle assessment environmental sustainability in bridge design and maintenance. </w:t>
              </w:r>
              <w:r w:rsidRPr="002E7BB1">
                <w:rPr>
                  <w:rFonts w:ascii="Arial" w:hAnsi="Arial" w:cs="Arial"/>
                  <w:i/>
                  <w:iCs/>
                  <w:sz w:val="22"/>
                  <w:szCs w:val="22"/>
                </w:rPr>
                <w:t>Proceedings of the Institution of Civil Engineers – Engineering Sustainability</w:t>
              </w:r>
              <w:r w:rsidRPr="002E7BB1">
                <w:rPr>
                  <w:rFonts w:ascii="Arial" w:hAnsi="Arial" w:cs="Arial"/>
                  <w:sz w:val="22"/>
                  <w:szCs w:val="22"/>
                </w:rPr>
                <w:t xml:space="preserve"> 173(7): pp. 365–375, doi: 10.1680/jensu.19.00042</w:t>
              </w:r>
            </w:p>
            <w:p w14:paraId="0A79CFFB" w14:textId="66684C68" w:rsidR="00D551FA" w:rsidRDefault="00D551FA" w:rsidP="00267B59">
              <w:pPr>
                <w:pStyle w:val="CommentText"/>
                <w:spacing w:line="360" w:lineRule="auto"/>
                <w:jc w:val="both"/>
                <w:rPr>
                  <w:rFonts w:ascii="Arial" w:hAnsi="Arial" w:cs="Arial"/>
                  <w:sz w:val="22"/>
                  <w:szCs w:val="22"/>
                </w:rPr>
              </w:pPr>
              <w:r w:rsidRPr="002E7BB1">
                <w:rPr>
                  <w:rFonts w:ascii="Arial" w:hAnsi="Arial" w:cs="Arial"/>
                  <w:sz w:val="22"/>
                  <w:szCs w:val="22"/>
                </w:rPr>
                <w:t xml:space="preserve">CIHT (2020) </w:t>
              </w:r>
              <w:r w:rsidRPr="002E7BB1">
                <w:rPr>
                  <w:rFonts w:ascii="Arial" w:hAnsi="Arial" w:cs="Arial"/>
                  <w:i/>
                  <w:iCs/>
                  <w:sz w:val="22"/>
                  <w:szCs w:val="22"/>
                </w:rPr>
                <w:t xml:space="preserve">Structures Asset Valuation and Investment Toolkit User Guide. </w:t>
              </w:r>
              <w:r w:rsidRPr="002E7BB1">
                <w:rPr>
                  <w:rFonts w:ascii="Arial" w:hAnsi="Arial" w:cs="Arial"/>
                  <w:sz w:val="22"/>
                  <w:szCs w:val="22"/>
                </w:rPr>
                <w:t xml:space="preserve">Available at: </w:t>
              </w:r>
              <w:hyperlink r:id="rId32" w:history="1">
                <w:r w:rsidRPr="002E7BB1">
                  <w:rPr>
                    <w:rStyle w:val="Hyperlink"/>
                    <w:rFonts w:ascii="Arial" w:hAnsi="Arial" w:cs="Arial"/>
                    <w:sz w:val="22"/>
                    <w:szCs w:val="22"/>
                  </w:rPr>
                  <w:t>https://www.ciht.org.uk/ukrlg-home/guidance/structures-asset-management-valuation-toolkit/</w:t>
                </w:r>
              </w:hyperlink>
              <w:r w:rsidRPr="002E7BB1">
                <w:rPr>
                  <w:rFonts w:ascii="Arial" w:hAnsi="Arial" w:cs="Arial"/>
                  <w:sz w:val="22"/>
                  <w:szCs w:val="22"/>
                </w:rPr>
                <w:t xml:space="preserve"> (Assessed: 9</w:t>
              </w:r>
              <w:r w:rsidRPr="002E7BB1">
                <w:rPr>
                  <w:rFonts w:ascii="Arial" w:hAnsi="Arial" w:cs="Arial"/>
                  <w:sz w:val="22"/>
                  <w:szCs w:val="22"/>
                  <w:vertAlign w:val="superscript"/>
                </w:rPr>
                <w:t>th</w:t>
              </w:r>
              <w:r w:rsidRPr="002E7BB1">
                <w:rPr>
                  <w:rFonts w:ascii="Arial" w:hAnsi="Arial" w:cs="Arial"/>
                  <w:sz w:val="22"/>
                  <w:szCs w:val="22"/>
                </w:rPr>
                <w:t xml:space="preserve"> November 2020)</w:t>
              </w:r>
            </w:p>
            <w:p w14:paraId="4A4818A8" w14:textId="3B53CAFE" w:rsidR="002D7377" w:rsidRDefault="002D7377" w:rsidP="00267B59">
              <w:pPr>
                <w:pStyle w:val="CommentText"/>
                <w:spacing w:line="360" w:lineRule="auto"/>
                <w:jc w:val="both"/>
                <w:rPr>
                  <w:rFonts w:ascii="Arial" w:hAnsi="Arial" w:cs="Arial"/>
                  <w:sz w:val="22"/>
                  <w:szCs w:val="22"/>
                </w:rPr>
              </w:pPr>
              <w:r>
                <w:rPr>
                  <w:rFonts w:ascii="Arial" w:hAnsi="Arial" w:cs="Arial"/>
                  <w:sz w:val="22"/>
                  <w:szCs w:val="22"/>
                </w:rPr>
                <w:t>DfT (2018)</w:t>
              </w:r>
              <w:r w:rsidR="009221B2">
                <w:rPr>
                  <w:rFonts w:ascii="Arial" w:hAnsi="Arial" w:cs="Arial"/>
                  <w:sz w:val="22"/>
                  <w:szCs w:val="22"/>
                </w:rPr>
                <w:t xml:space="preserve"> </w:t>
              </w:r>
              <w:r w:rsidR="009221B2">
                <w:rPr>
                  <w:rFonts w:ascii="Arial" w:hAnsi="Arial" w:cs="Arial"/>
                  <w:i/>
                  <w:iCs/>
                  <w:sz w:val="22"/>
                  <w:szCs w:val="22"/>
                </w:rPr>
                <w:t xml:space="preserve">Road Traffic Forecasts </w:t>
              </w:r>
              <w:r w:rsidR="0078472A">
                <w:rPr>
                  <w:rFonts w:ascii="Arial" w:hAnsi="Arial" w:cs="Arial"/>
                  <w:i/>
                  <w:iCs/>
                  <w:sz w:val="22"/>
                  <w:szCs w:val="22"/>
                </w:rPr>
                <w:t xml:space="preserve">2018. </w:t>
              </w:r>
              <w:r w:rsidR="0078472A">
                <w:rPr>
                  <w:rFonts w:ascii="Arial" w:hAnsi="Arial" w:cs="Arial"/>
                  <w:sz w:val="22"/>
                  <w:szCs w:val="22"/>
                </w:rPr>
                <w:t>Available at</w:t>
              </w:r>
              <w:r w:rsidR="001D78BF">
                <w:rPr>
                  <w:rFonts w:ascii="Arial" w:hAnsi="Arial" w:cs="Arial"/>
                  <w:sz w:val="22"/>
                  <w:szCs w:val="22"/>
                </w:rPr>
                <w:t xml:space="preserve">: </w:t>
              </w:r>
              <w:hyperlink r:id="rId33" w:history="1">
                <w:r w:rsidR="001D78BF" w:rsidRPr="004C00DF">
                  <w:rPr>
                    <w:rStyle w:val="Hyperlink"/>
                    <w:rFonts w:ascii="Arial" w:hAnsi="Arial" w:cs="Arial"/>
                    <w:sz w:val="22"/>
                    <w:szCs w:val="22"/>
                  </w:rPr>
                  <w:t>https://www.gov.uk/government/publications/road-traffic-forecasts-2018</w:t>
                </w:r>
              </w:hyperlink>
              <w:r w:rsidR="00F86B11">
                <w:rPr>
                  <w:rFonts w:ascii="Arial" w:hAnsi="Arial" w:cs="Arial"/>
                  <w:sz w:val="22"/>
                  <w:szCs w:val="22"/>
                </w:rPr>
                <w:t xml:space="preserve"> (Assessed: </w:t>
              </w:r>
              <w:r w:rsidR="0067556C">
                <w:rPr>
                  <w:rFonts w:ascii="Arial" w:hAnsi="Arial" w:cs="Arial"/>
                  <w:sz w:val="22"/>
                  <w:szCs w:val="22"/>
                </w:rPr>
                <w:t>1</w:t>
              </w:r>
              <w:r w:rsidR="0067556C" w:rsidRPr="0067556C">
                <w:rPr>
                  <w:rFonts w:ascii="Arial" w:hAnsi="Arial" w:cs="Arial"/>
                  <w:sz w:val="22"/>
                  <w:szCs w:val="22"/>
                  <w:vertAlign w:val="superscript"/>
                </w:rPr>
                <w:t>st</w:t>
              </w:r>
              <w:r w:rsidR="0067556C">
                <w:rPr>
                  <w:rFonts w:ascii="Arial" w:hAnsi="Arial" w:cs="Arial"/>
                  <w:sz w:val="22"/>
                  <w:szCs w:val="22"/>
                </w:rPr>
                <w:t xml:space="preserve"> December 2020)</w:t>
              </w:r>
            </w:p>
            <w:p w14:paraId="0F0E9CB3" w14:textId="4C26DEBE" w:rsidR="00163CC0" w:rsidRPr="00724F42" w:rsidRDefault="00163CC0" w:rsidP="00267B59">
              <w:pPr>
                <w:pStyle w:val="CommentText"/>
                <w:spacing w:line="360" w:lineRule="auto"/>
                <w:jc w:val="both"/>
                <w:rPr>
                  <w:rFonts w:ascii="Arial" w:hAnsi="Arial" w:cs="Arial"/>
                  <w:sz w:val="22"/>
                  <w:szCs w:val="22"/>
                </w:rPr>
              </w:pPr>
              <w:r w:rsidRPr="00724F42">
                <w:rPr>
                  <w:rFonts w:ascii="Arial" w:hAnsi="Arial" w:cs="Arial"/>
                  <w:sz w:val="22"/>
                  <w:szCs w:val="22"/>
                </w:rPr>
                <w:t>Department of Energy &amp; Climate Change (201</w:t>
              </w:r>
              <w:r w:rsidR="004C0A61">
                <w:rPr>
                  <w:rFonts w:ascii="Arial" w:hAnsi="Arial" w:cs="Arial"/>
                  <w:sz w:val="22"/>
                  <w:szCs w:val="22"/>
                </w:rPr>
                <w:t>3</w:t>
              </w:r>
              <w:r w:rsidRPr="00724F42">
                <w:rPr>
                  <w:rFonts w:ascii="Arial" w:hAnsi="Arial" w:cs="Arial"/>
                  <w:sz w:val="22"/>
                  <w:szCs w:val="22"/>
                </w:rPr>
                <w:t xml:space="preserve">) </w:t>
              </w:r>
              <w:r w:rsidR="004C0A61">
                <w:rPr>
                  <w:rFonts w:ascii="Arial" w:hAnsi="Arial" w:cs="Arial"/>
                  <w:i/>
                  <w:iCs/>
                  <w:sz w:val="22"/>
                  <w:szCs w:val="22"/>
                </w:rPr>
                <w:t>Carbon Valuation</w:t>
              </w:r>
              <w:r w:rsidRPr="00724F42">
                <w:rPr>
                  <w:rFonts w:ascii="Arial" w:hAnsi="Arial" w:cs="Arial"/>
                  <w:i/>
                  <w:iCs/>
                  <w:sz w:val="22"/>
                  <w:szCs w:val="22"/>
                </w:rPr>
                <w:t xml:space="preserve">. </w:t>
              </w:r>
              <w:r w:rsidRPr="00724F42">
                <w:rPr>
                  <w:rFonts w:ascii="Arial" w:hAnsi="Arial" w:cs="Arial"/>
                  <w:sz w:val="22"/>
                  <w:szCs w:val="22"/>
                </w:rPr>
                <w:t xml:space="preserve">Available at: </w:t>
              </w:r>
              <w:hyperlink r:id="rId34" w:anchor="carbon-valuation-in-policy-appraisal:-2009-review" w:history="1">
                <w:r w:rsidR="009D52A2" w:rsidRPr="00E137B0">
                  <w:rPr>
                    <w:rStyle w:val="Hyperlink"/>
                    <w:rFonts w:ascii="Arial" w:hAnsi="Arial" w:cs="Arial"/>
                    <w:sz w:val="22"/>
                    <w:szCs w:val="22"/>
                  </w:rPr>
                  <w:t>https://www.gov.uk/government/collections/carbon-valuation--2#carbon-valuation-in-policy-appraisal:-2009-review</w:t>
                </w:r>
              </w:hyperlink>
              <w:r w:rsidR="009D52A2">
                <w:rPr>
                  <w:rFonts w:ascii="Arial" w:hAnsi="Arial" w:cs="Arial"/>
                  <w:sz w:val="22"/>
                  <w:szCs w:val="22"/>
                </w:rPr>
                <w:t xml:space="preserve"> (</w:t>
              </w:r>
              <w:r w:rsidRPr="00724F42">
                <w:rPr>
                  <w:rFonts w:ascii="Arial" w:hAnsi="Arial" w:cs="Arial"/>
                  <w:sz w:val="22"/>
                  <w:szCs w:val="22"/>
                </w:rPr>
                <w:t>Assessed: 13</w:t>
              </w:r>
              <w:r w:rsidRPr="00724F42">
                <w:rPr>
                  <w:rFonts w:ascii="Arial" w:hAnsi="Arial" w:cs="Arial"/>
                  <w:sz w:val="22"/>
                  <w:szCs w:val="22"/>
                  <w:vertAlign w:val="superscript"/>
                </w:rPr>
                <w:t>th</w:t>
              </w:r>
              <w:r w:rsidRPr="00724F42">
                <w:rPr>
                  <w:rFonts w:ascii="Arial" w:hAnsi="Arial" w:cs="Arial"/>
                  <w:sz w:val="22"/>
                  <w:szCs w:val="22"/>
                </w:rPr>
                <w:t xml:space="preserve"> December 2020)</w:t>
              </w:r>
            </w:p>
            <w:p w14:paraId="33715EC5" w14:textId="27D9F0D8" w:rsidR="003273A5" w:rsidRPr="00724F42" w:rsidRDefault="003273A5" w:rsidP="00267B59">
              <w:pPr>
                <w:pStyle w:val="CommentText"/>
                <w:spacing w:line="360" w:lineRule="auto"/>
                <w:jc w:val="both"/>
                <w:rPr>
                  <w:rFonts w:ascii="Arial" w:hAnsi="Arial" w:cs="Arial"/>
                  <w:sz w:val="22"/>
                  <w:szCs w:val="22"/>
                </w:rPr>
              </w:pPr>
              <w:r w:rsidRPr="00724F42">
                <w:rPr>
                  <w:rFonts w:ascii="Arial" w:hAnsi="Arial" w:cs="Arial"/>
                  <w:sz w:val="22"/>
                  <w:szCs w:val="22"/>
                </w:rPr>
                <w:t xml:space="preserve">Department of Energy &amp; Climate Change (2011) </w:t>
              </w:r>
              <w:r w:rsidR="00EB63BE" w:rsidRPr="00724F42">
                <w:rPr>
                  <w:rFonts w:ascii="Arial" w:hAnsi="Arial" w:cs="Arial"/>
                  <w:i/>
                  <w:iCs/>
                  <w:sz w:val="22"/>
                  <w:szCs w:val="22"/>
                </w:rPr>
                <w:t xml:space="preserve">Guidance on estimating carbon values beyond 2050: an interim approach. </w:t>
              </w:r>
              <w:r w:rsidR="00EB63BE" w:rsidRPr="00724F42">
                <w:rPr>
                  <w:rFonts w:ascii="Arial" w:hAnsi="Arial" w:cs="Arial"/>
                  <w:sz w:val="22"/>
                  <w:szCs w:val="22"/>
                </w:rPr>
                <w:t>Available at:</w:t>
              </w:r>
              <w:r w:rsidR="00724F42" w:rsidRPr="00724F42">
                <w:rPr>
                  <w:rFonts w:ascii="Arial" w:hAnsi="Arial" w:cs="Arial"/>
                  <w:sz w:val="22"/>
                  <w:szCs w:val="22"/>
                </w:rPr>
                <w:t xml:space="preserve"> </w:t>
              </w:r>
              <w:hyperlink r:id="rId35" w:history="1">
                <w:r w:rsidR="00724F42" w:rsidRPr="00724F42">
                  <w:rPr>
                    <w:rStyle w:val="Hyperlink"/>
                    <w:rFonts w:ascii="Arial" w:hAnsi="Arial" w:cs="Arial"/>
                    <w:sz w:val="22"/>
                    <w:szCs w:val="22"/>
                  </w:rPr>
                  <w:t>https://www.gov.uk/government/publications/guidance-on-estimating-carbon-values-beyond-2050-an-interim-approach</w:t>
                </w:r>
              </w:hyperlink>
              <w:r w:rsidR="00724F42" w:rsidRPr="00724F42">
                <w:rPr>
                  <w:rFonts w:ascii="Arial" w:hAnsi="Arial" w:cs="Arial"/>
                  <w:sz w:val="22"/>
                  <w:szCs w:val="22"/>
                </w:rPr>
                <w:t xml:space="preserve"> (Assessed: 13</w:t>
              </w:r>
              <w:r w:rsidR="00724F42" w:rsidRPr="00724F42">
                <w:rPr>
                  <w:rFonts w:ascii="Arial" w:hAnsi="Arial" w:cs="Arial"/>
                  <w:sz w:val="22"/>
                  <w:szCs w:val="22"/>
                  <w:vertAlign w:val="superscript"/>
                </w:rPr>
                <w:t>th</w:t>
              </w:r>
              <w:r w:rsidR="00724F42" w:rsidRPr="00724F42">
                <w:rPr>
                  <w:rFonts w:ascii="Arial" w:hAnsi="Arial" w:cs="Arial"/>
                  <w:sz w:val="22"/>
                  <w:szCs w:val="22"/>
                </w:rPr>
                <w:t xml:space="preserve"> December 2020)</w:t>
              </w:r>
            </w:p>
            <w:p w14:paraId="0D53759A" w14:textId="6DB5A278" w:rsidR="00D551FA" w:rsidRPr="002E7BB1" w:rsidRDefault="00D551FA" w:rsidP="00267B59">
              <w:pPr>
                <w:pStyle w:val="CommentText"/>
                <w:spacing w:line="360" w:lineRule="auto"/>
                <w:jc w:val="both"/>
                <w:rPr>
                  <w:rFonts w:ascii="Arial" w:hAnsi="Arial" w:cs="Arial"/>
                  <w:sz w:val="22"/>
                  <w:szCs w:val="22"/>
                </w:rPr>
              </w:pPr>
              <w:r w:rsidRPr="002E7BB1">
                <w:rPr>
                  <w:rFonts w:ascii="Arial" w:hAnsi="Arial" w:cs="Arial"/>
                  <w:sz w:val="22"/>
                  <w:szCs w:val="22"/>
                  <w:shd w:val="clear" w:color="auto" w:fill="FFFFFF"/>
                </w:rPr>
                <w:t>Du, G., Pettersson, L., and Karoumi, R. (2018) Soil-steel Composite Bridge: An Alternative Design Solution for Short Spans considering LCA, </w:t>
              </w:r>
              <w:r w:rsidRPr="002E7BB1">
                <w:rPr>
                  <w:rFonts w:ascii="Arial" w:hAnsi="Arial" w:cs="Arial"/>
                  <w:i/>
                  <w:iCs/>
                  <w:sz w:val="22"/>
                  <w:szCs w:val="22"/>
                  <w:shd w:val="clear" w:color="auto" w:fill="FFFFFF"/>
                </w:rPr>
                <w:t>Journal of Cleaner Production</w:t>
              </w:r>
              <w:r w:rsidRPr="002E7BB1">
                <w:rPr>
                  <w:rFonts w:ascii="Arial" w:hAnsi="Arial" w:cs="Arial"/>
                  <w:sz w:val="22"/>
                  <w:szCs w:val="22"/>
                  <w:shd w:val="clear" w:color="auto" w:fill="FFFFFF"/>
                </w:rPr>
                <w:t> 189 (2018): pp. 647-</w:t>
              </w:r>
              <w:r w:rsidR="00412484">
                <w:rPr>
                  <w:rFonts w:ascii="Arial" w:hAnsi="Arial" w:cs="Arial"/>
                  <w:sz w:val="22"/>
                  <w:szCs w:val="22"/>
                  <w:shd w:val="clear" w:color="auto" w:fill="FFFFFF"/>
                </w:rPr>
                <w:t>6</w:t>
              </w:r>
              <w:r w:rsidRPr="002E7BB1">
                <w:rPr>
                  <w:rFonts w:ascii="Arial" w:hAnsi="Arial" w:cs="Arial"/>
                  <w:sz w:val="22"/>
                  <w:szCs w:val="22"/>
                  <w:shd w:val="clear" w:color="auto" w:fill="FFFFFF"/>
                </w:rPr>
                <w:t xml:space="preserve">61. doi: </w:t>
              </w:r>
              <w:hyperlink r:id="rId36" w:tgtFrame="_blank" w:tooltip="Persistent link using digital object identifier" w:history="1">
                <w:r w:rsidRPr="002E7BB1">
                  <w:rPr>
                    <w:rStyle w:val="Hyperlink"/>
                    <w:rFonts w:ascii="Arial" w:hAnsi="Arial" w:cs="Arial"/>
                    <w:color w:val="auto"/>
                    <w:sz w:val="22"/>
                    <w:szCs w:val="22"/>
                    <w:u w:val="none"/>
                  </w:rPr>
                  <w:t>10.1016/j.jclepro.2018.04.097</w:t>
                </w:r>
              </w:hyperlink>
            </w:p>
            <w:p w14:paraId="55D36019" w14:textId="77777777" w:rsidR="00D551FA" w:rsidRPr="002E7BB1" w:rsidRDefault="00D551FA" w:rsidP="00267B59">
              <w:pPr>
                <w:pStyle w:val="CommentText"/>
                <w:spacing w:line="360" w:lineRule="auto"/>
                <w:jc w:val="both"/>
                <w:rPr>
                  <w:rFonts w:ascii="Arial" w:hAnsi="Arial" w:cs="Arial"/>
                  <w:sz w:val="22"/>
                  <w:szCs w:val="22"/>
                </w:rPr>
              </w:pPr>
              <w:r w:rsidRPr="002E7BB1">
                <w:rPr>
                  <w:rFonts w:ascii="Arial" w:hAnsi="Arial" w:cs="Arial"/>
                  <w:sz w:val="22"/>
                  <w:szCs w:val="22"/>
                </w:rPr>
                <w:t xml:space="preserve">Du, G, &amp; Karoumi, R. (2012) Life cycle assessment framework for railway bridges: literature survey and critical issues, </w:t>
              </w:r>
              <w:r w:rsidRPr="002E7BB1">
                <w:rPr>
                  <w:rFonts w:ascii="Arial" w:hAnsi="Arial" w:cs="Arial"/>
                  <w:i/>
                  <w:iCs/>
                  <w:sz w:val="22"/>
                  <w:szCs w:val="22"/>
                </w:rPr>
                <w:t>Structure and Infrastructure Engineering.</w:t>
              </w:r>
              <w:r w:rsidRPr="002E7BB1">
                <w:rPr>
                  <w:rFonts w:ascii="Arial" w:hAnsi="Arial" w:cs="Arial"/>
                  <w:sz w:val="22"/>
                  <w:szCs w:val="22"/>
                </w:rPr>
                <w:t xml:space="preserve"> doi: 10.1080/15732479.2012.749289</w:t>
              </w:r>
            </w:p>
            <w:p w14:paraId="291A800A" w14:textId="4BD15A17" w:rsidR="00D551FA" w:rsidRPr="002E7BB1" w:rsidRDefault="00D551FA" w:rsidP="00267B59">
              <w:pPr>
                <w:pStyle w:val="CommentText"/>
                <w:spacing w:line="360" w:lineRule="auto"/>
                <w:jc w:val="both"/>
                <w:rPr>
                  <w:rFonts w:ascii="Arial" w:hAnsi="Arial" w:cs="Arial"/>
                  <w:sz w:val="22"/>
                  <w:szCs w:val="22"/>
                </w:rPr>
              </w:pPr>
              <w:r w:rsidRPr="002E7BB1">
                <w:rPr>
                  <w:rFonts w:ascii="Arial" w:hAnsi="Arial" w:cs="Arial"/>
                  <w:sz w:val="22"/>
                  <w:szCs w:val="22"/>
                </w:rPr>
                <w:t xml:space="preserve">Durão, V. et al. (2019) Economic valuation of life cycle environmental impacts of construction products  - A critical analysis, </w:t>
              </w:r>
              <w:r w:rsidRPr="002E7BB1">
                <w:rPr>
                  <w:rFonts w:ascii="Arial" w:hAnsi="Arial" w:cs="Arial"/>
                  <w:i/>
                  <w:iCs/>
                  <w:sz w:val="22"/>
                  <w:szCs w:val="22"/>
                </w:rPr>
                <w:t xml:space="preserve">Sustainable Built Environment Conference 2019. </w:t>
              </w:r>
              <w:r w:rsidRPr="002E7BB1">
                <w:rPr>
                  <w:rFonts w:ascii="Arial" w:hAnsi="Arial" w:cs="Arial"/>
                  <w:sz w:val="22"/>
                  <w:szCs w:val="22"/>
                </w:rPr>
                <w:t>323. doi:10.1088/1755-1315/323/1/012147</w:t>
              </w:r>
            </w:p>
            <w:p w14:paraId="595FA3DB" w14:textId="77777777" w:rsidR="00C3293B" w:rsidRPr="002E7BB1" w:rsidRDefault="00C3293B" w:rsidP="00267B59">
              <w:pPr>
                <w:pStyle w:val="CommentText"/>
                <w:spacing w:line="360" w:lineRule="auto"/>
                <w:jc w:val="both"/>
                <w:rPr>
                  <w:rFonts w:ascii="Arial" w:hAnsi="Arial" w:cs="Arial"/>
                  <w:sz w:val="22"/>
                  <w:szCs w:val="22"/>
                </w:rPr>
              </w:pPr>
              <w:r w:rsidRPr="002E7BB1">
                <w:rPr>
                  <w:rFonts w:ascii="Arial" w:hAnsi="Arial" w:cs="Arial"/>
                  <w:sz w:val="22"/>
                  <w:szCs w:val="22"/>
                </w:rPr>
                <w:t>Frangopol, D. &amp; Kim, S. (2014) ‘</w:t>
              </w:r>
              <w:r>
                <w:rPr>
                  <w:rFonts w:ascii="Arial" w:hAnsi="Arial" w:cs="Arial"/>
                  <w:sz w:val="22"/>
                  <w:szCs w:val="22"/>
                </w:rPr>
                <w:t>Bridge Health Monitoring</w:t>
              </w:r>
              <w:r w:rsidRPr="002E7BB1">
                <w:rPr>
                  <w:rFonts w:ascii="Arial" w:hAnsi="Arial" w:cs="Arial"/>
                  <w:sz w:val="22"/>
                  <w:szCs w:val="22"/>
                </w:rPr>
                <w:t xml:space="preserve">’ in Wai-Fah Chen &amp; Lian Duan (ed.) </w:t>
              </w:r>
              <w:r w:rsidRPr="002E7BB1">
                <w:rPr>
                  <w:rFonts w:ascii="Arial" w:hAnsi="Arial" w:cs="Arial"/>
                  <w:i/>
                  <w:iCs/>
                  <w:sz w:val="22"/>
                  <w:szCs w:val="22"/>
                </w:rPr>
                <w:t>Bridge Engineering Handbook: Construction and Maintenance</w:t>
              </w:r>
              <w:r w:rsidRPr="002E7BB1">
                <w:rPr>
                  <w:rFonts w:ascii="Arial" w:hAnsi="Arial" w:cs="Arial"/>
                  <w:sz w:val="22"/>
                  <w:szCs w:val="22"/>
                </w:rPr>
                <w:t xml:space="preserve">. Boca Raton: CRC Press, pp. </w:t>
              </w:r>
              <w:r>
                <w:rPr>
                  <w:rFonts w:ascii="Arial" w:hAnsi="Arial" w:cs="Arial"/>
                  <w:sz w:val="22"/>
                  <w:szCs w:val="22"/>
                </w:rPr>
                <w:t>24</w:t>
              </w:r>
              <w:r w:rsidRPr="002E7BB1">
                <w:rPr>
                  <w:rFonts w:ascii="Arial" w:hAnsi="Arial" w:cs="Arial"/>
                  <w:sz w:val="22"/>
                  <w:szCs w:val="22"/>
                </w:rPr>
                <w:t>7-</w:t>
              </w:r>
              <w:r>
                <w:rPr>
                  <w:rFonts w:ascii="Arial" w:hAnsi="Arial" w:cs="Arial"/>
                  <w:sz w:val="22"/>
                  <w:szCs w:val="22"/>
                </w:rPr>
                <w:t>268</w:t>
              </w:r>
              <w:r w:rsidRPr="002E7BB1">
                <w:rPr>
                  <w:rFonts w:ascii="Arial" w:hAnsi="Arial" w:cs="Arial"/>
                  <w:sz w:val="22"/>
                  <w:szCs w:val="22"/>
                </w:rPr>
                <w:t>.</w:t>
              </w:r>
            </w:p>
            <w:p w14:paraId="3979FC3F" w14:textId="189F4A8C" w:rsidR="00E43540" w:rsidRDefault="00E43540" w:rsidP="00267B59">
              <w:pPr>
                <w:pStyle w:val="CommentText"/>
                <w:spacing w:line="360" w:lineRule="auto"/>
                <w:jc w:val="both"/>
                <w:rPr>
                  <w:rFonts w:ascii="Arial" w:hAnsi="Arial" w:cs="Arial"/>
                  <w:sz w:val="22"/>
                  <w:szCs w:val="22"/>
                </w:rPr>
              </w:pPr>
              <w:r w:rsidRPr="002E7BB1">
                <w:rPr>
                  <w:rFonts w:ascii="Arial" w:hAnsi="Arial" w:cs="Arial"/>
                  <w:sz w:val="22"/>
                  <w:szCs w:val="22"/>
                </w:rPr>
                <w:t>Frangopol</w:t>
              </w:r>
              <w:r w:rsidR="00EE7917" w:rsidRPr="002E7BB1">
                <w:rPr>
                  <w:rFonts w:ascii="Arial" w:hAnsi="Arial" w:cs="Arial"/>
                  <w:sz w:val="22"/>
                  <w:szCs w:val="22"/>
                </w:rPr>
                <w:t xml:space="preserve">, D. &amp; Kim, S. (2014) </w:t>
              </w:r>
              <w:r w:rsidR="00CD370E" w:rsidRPr="002E7BB1">
                <w:rPr>
                  <w:rFonts w:ascii="Arial" w:hAnsi="Arial" w:cs="Arial"/>
                  <w:sz w:val="22"/>
                  <w:szCs w:val="22"/>
                </w:rPr>
                <w:t>‘</w:t>
              </w:r>
              <w:r w:rsidR="00DC4DE2" w:rsidRPr="002E7BB1">
                <w:rPr>
                  <w:rFonts w:ascii="Arial" w:hAnsi="Arial" w:cs="Arial"/>
                  <w:sz w:val="22"/>
                  <w:szCs w:val="22"/>
                </w:rPr>
                <w:t>Life-Cycle Performance Analysis and Optimization</w:t>
              </w:r>
              <w:r w:rsidR="00CD370E" w:rsidRPr="002E7BB1">
                <w:rPr>
                  <w:rFonts w:ascii="Arial" w:hAnsi="Arial" w:cs="Arial"/>
                  <w:sz w:val="22"/>
                  <w:szCs w:val="22"/>
                </w:rPr>
                <w:t xml:space="preserve">’ in </w:t>
              </w:r>
              <w:r w:rsidR="006A4972" w:rsidRPr="002E7BB1">
                <w:rPr>
                  <w:rFonts w:ascii="Arial" w:hAnsi="Arial" w:cs="Arial"/>
                  <w:sz w:val="22"/>
                  <w:szCs w:val="22"/>
                </w:rPr>
                <w:t xml:space="preserve">Wai-Fah Chen &amp; Lian Duan </w:t>
              </w:r>
              <w:r w:rsidR="001F27A7" w:rsidRPr="002E7BB1">
                <w:rPr>
                  <w:rFonts w:ascii="Arial" w:hAnsi="Arial" w:cs="Arial"/>
                  <w:sz w:val="22"/>
                  <w:szCs w:val="22"/>
                </w:rPr>
                <w:t xml:space="preserve">(ed.) </w:t>
              </w:r>
              <w:r w:rsidR="00CD370E" w:rsidRPr="002E7BB1">
                <w:rPr>
                  <w:rFonts w:ascii="Arial" w:hAnsi="Arial" w:cs="Arial"/>
                  <w:i/>
                  <w:iCs/>
                  <w:sz w:val="22"/>
                  <w:szCs w:val="22"/>
                </w:rPr>
                <w:t>Bridge Engineering Handbook</w:t>
              </w:r>
              <w:r w:rsidR="00666992" w:rsidRPr="002E7BB1">
                <w:rPr>
                  <w:rFonts w:ascii="Arial" w:hAnsi="Arial" w:cs="Arial"/>
                  <w:i/>
                  <w:iCs/>
                  <w:sz w:val="22"/>
                  <w:szCs w:val="22"/>
                </w:rPr>
                <w:t>: Construction and Maintenance</w:t>
              </w:r>
              <w:r w:rsidR="00FC2443" w:rsidRPr="002E7BB1">
                <w:rPr>
                  <w:rFonts w:ascii="Arial" w:hAnsi="Arial" w:cs="Arial"/>
                  <w:sz w:val="22"/>
                  <w:szCs w:val="22"/>
                </w:rPr>
                <w:t>. Boca Raton: CRC Press</w:t>
              </w:r>
              <w:r w:rsidR="00985BDB" w:rsidRPr="002E7BB1">
                <w:rPr>
                  <w:rFonts w:ascii="Arial" w:hAnsi="Arial" w:cs="Arial"/>
                  <w:sz w:val="22"/>
                  <w:szCs w:val="22"/>
                </w:rPr>
                <w:t>, pp.</w:t>
              </w:r>
              <w:r w:rsidR="006F220A" w:rsidRPr="002E7BB1">
                <w:rPr>
                  <w:rFonts w:ascii="Arial" w:hAnsi="Arial" w:cs="Arial"/>
                  <w:sz w:val="22"/>
                  <w:szCs w:val="22"/>
                </w:rPr>
                <w:t xml:space="preserve"> 537-561</w:t>
              </w:r>
              <w:r w:rsidR="0069492B" w:rsidRPr="002E7BB1">
                <w:rPr>
                  <w:rFonts w:ascii="Arial" w:hAnsi="Arial" w:cs="Arial"/>
                  <w:sz w:val="22"/>
                  <w:szCs w:val="22"/>
                </w:rPr>
                <w:t>.</w:t>
              </w:r>
            </w:p>
            <w:p w14:paraId="78AEDB1E" w14:textId="77777777" w:rsidR="00D551FA" w:rsidRPr="002E7BB1" w:rsidRDefault="00D551FA" w:rsidP="00267B59">
              <w:pPr>
                <w:pStyle w:val="CommentText"/>
                <w:spacing w:line="360" w:lineRule="auto"/>
                <w:jc w:val="both"/>
                <w:rPr>
                  <w:rFonts w:ascii="Arial" w:hAnsi="Arial" w:cs="Arial"/>
                  <w:sz w:val="22"/>
                  <w:szCs w:val="22"/>
                </w:rPr>
              </w:pPr>
              <w:r w:rsidRPr="002E7BB1">
                <w:rPr>
                  <w:rFonts w:ascii="Arial" w:hAnsi="Arial" w:cs="Arial"/>
                  <w:sz w:val="22"/>
                  <w:szCs w:val="22"/>
                </w:rPr>
                <w:t xml:space="preserve">Highways Agency (2007) </w:t>
              </w:r>
              <w:r w:rsidRPr="002E7BB1">
                <w:rPr>
                  <w:rFonts w:ascii="Arial" w:hAnsi="Arial" w:cs="Arial"/>
                  <w:i/>
                  <w:iCs/>
                  <w:sz w:val="22"/>
                  <w:szCs w:val="22"/>
                </w:rPr>
                <w:t xml:space="preserve">Inspection manual for Highway Structures. </w:t>
              </w:r>
              <w:r w:rsidRPr="002E7BB1">
                <w:rPr>
                  <w:rFonts w:ascii="Arial" w:hAnsi="Arial" w:cs="Arial"/>
                  <w:sz w:val="22"/>
                  <w:szCs w:val="22"/>
                </w:rPr>
                <w:t xml:space="preserve">Vol 1. Norwich: TSO (The Stationary Office) </w:t>
              </w:r>
            </w:p>
            <w:p w14:paraId="671905C8" w14:textId="64281AEF" w:rsidR="00D551FA" w:rsidRPr="002E7BB1" w:rsidRDefault="00D551FA" w:rsidP="00267B59">
              <w:pPr>
                <w:pStyle w:val="CommentText"/>
                <w:spacing w:line="360" w:lineRule="auto"/>
                <w:jc w:val="both"/>
                <w:rPr>
                  <w:rFonts w:ascii="Arial" w:hAnsi="Arial" w:cs="Arial"/>
                  <w:sz w:val="22"/>
                  <w:szCs w:val="22"/>
                </w:rPr>
              </w:pPr>
              <w:r w:rsidRPr="002E7BB1">
                <w:rPr>
                  <w:rFonts w:ascii="Arial" w:hAnsi="Arial" w:cs="Arial"/>
                  <w:sz w:val="22"/>
                  <w:szCs w:val="22"/>
                </w:rPr>
                <w:t xml:space="preserve">HM Treasury (2018) </w:t>
              </w:r>
              <w:r w:rsidRPr="002E7BB1">
                <w:rPr>
                  <w:rFonts w:ascii="Arial" w:hAnsi="Arial" w:cs="Arial"/>
                  <w:i/>
                  <w:iCs/>
                  <w:sz w:val="22"/>
                  <w:szCs w:val="22"/>
                </w:rPr>
                <w:t xml:space="preserve">The Green Book – Central Government Guidance on Appraisal and Evaluation. </w:t>
              </w:r>
              <w:r w:rsidR="001066DA">
                <w:rPr>
                  <w:rFonts w:ascii="Arial" w:hAnsi="Arial" w:cs="Arial"/>
                  <w:sz w:val="22"/>
                  <w:szCs w:val="22"/>
                </w:rPr>
                <w:t xml:space="preserve">p. 122. </w:t>
              </w:r>
              <w:r w:rsidRPr="002E7BB1">
                <w:rPr>
                  <w:rFonts w:ascii="Arial" w:hAnsi="Arial" w:cs="Arial"/>
                  <w:sz w:val="22"/>
                  <w:szCs w:val="22"/>
                </w:rPr>
                <w:t xml:space="preserve">Available at: </w:t>
              </w:r>
              <w:hyperlink r:id="rId37" w:history="1">
                <w:r w:rsidRPr="002E7BB1">
                  <w:rPr>
                    <w:rStyle w:val="Hyperlink"/>
                    <w:rFonts w:ascii="Arial" w:hAnsi="Arial" w:cs="Arial"/>
                    <w:sz w:val="22"/>
                    <w:szCs w:val="22"/>
                  </w:rPr>
                  <w:t>https://www.gov.uk/government/publications/the-green-book-appraisal-and-evaluation-in-central-governent</w:t>
                </w:r>
              </w:hyperlink>
              <w:r w:rsidRPr="002E7BB1">
                <w:rPr>
                  <w:rFonts w:ascii="Arial" w:hAnsi="Arial" w:cs="Arial"/>
                  <w:sz w:val="22"/>
                  <w:szCs w:val="22"/>
                </w:rPr>
                <w:t xml:space="preserve"> (Assessed: 15</w:t>
              </w:r>
              <w:r w:rsidRPr="002E7BB1">
                <w:rPr>
                  <w:rFonts w:ascii="Arial" w:hAnsi="Arial" w:cs="Arial"/>
                  <w:sz w:val="22"/>
                  <w:szCs w:val="22"/>
                  <w:vertAlign w:val="superscript"/>
                </w:rPr>
                <w:t>th</w:t>
              </w:r>
              <w:r w:rsidRPr="002E7BB1">
                <w:rPr>
                  <w:rFonts w:ascii="Arial" w:hAnsi="Arial" w:cs="Arial"/>
                  <w:sz w:val="22"/>
                  <w:szCs w:val="22"/>
                </w:rPr>
                <w:t xml:space="preserve"> November 2020)</w:t>
              </w:r>
            </w:p>
            <w:p w14:paraId="45FFBB79" w14:textId="77777777" w:rsidR="00D551FA" w:rsidRPr="002E7BB1" w:rsidRDefault="00D551FA" w:rsidP="00267B59">
              <w:pPr>
                <w:spacing w:line="360" w:lineRule="auto"/>
                <w:jc w:val="both"/>
                <w:rPr>
                  <w:rFonts w:ascii="Arial" w:eastAsiaTheme="minorEastAsia" w:hAnsi="Arial" w:cs="Arial"/>
                </w:rPr>
              </w:pPr>
              <w:r w:rsidRPr="002E7BB1">
                <w:rPr>
                  <w:rFonts w:ascii="Arial" w:hAnsi="Arial" w:cs="Arial"/>
                </w:rPr>
                <w:t>Itoh, Y. &amp; Kitagawa, T. (2003) Using CO</w:t>
              </w:r>
              <w:r w:rsidRPr="00FA3C81">
                <w:rPr>
                  <w:rFonts w:ascii="Arial" w:hAnsi="Arial" w:cs="Arial"/>
                  <w:vertAlign w:val="subscript"/>
                </w:rPr>
                <w:t>2</w:t>
              </w:r>
              <w:r w:rsidRPr="002E7BB1">
                <w:rPr>
                  <w:rFonts w:ascii="Arial" w:hAnsi="Arial" w:cs="Arial"/>
                </w:rPr>
                <w:t xml:space="preserve"> emission quantities in bridge lifecycle analysis</w:t>
              </w:r>
              <w:r w:rsidRPr="002E7BB1">
                <w:rPr>
                  <w:rFonts w:ascii="Arial" w:hAnsi="Arial" w:cs="Arial"/>
                  <w:i/>
                  <w:iCs/>
                </w:rPr>
                <w:t xml:space="preserve">, Engineering Structures. </w:t>
              </w:r>
              <w:r w:rsidRPr="002E7BB1">
                <w:rPr>
                  <w:rFonts w:ascii="Arial" w:hAnsi="Arial" w:cs="Arial"/>
                </w:rPr>
                <w:t>Vol 25 (5) pp565-57. doi:</w:t>
              </w:r>
              <w:r w:rsidRPr="002E7BB1">
                <w:rPr>
                  <w:rFonts w:ascii="Arial" w:hAnsi="Arial" w:cs="Arial"/>
                  <w:i/>
                  <w:iCs/>
                </w:rPr>
                <w:t xml:space="preserve">  </w:t>
              </w:r>
              <w:hyperlink r:id="rId38" w:tgtFrame="_blank" w:tooltip="Persistent link using digital object identifier" w:history="1">
                <w:r w:rsidRPr="002E7BB1">
                  <w:rPr>
                    <w:rStyle w:val="Hyperlink"/>
                    <w:rFonts w:ascii="Arial" w:hAnsi="Arial" w:cs="Arial"/>
                    <w:color w:val="0C7DBB"/>
                  </w:rPr>
                  <w:t>10.1016/S0141-0296(02)00167-0</w:t>
                </w:r>
              </w:hyperlink>
            </w:p>
            <w:p w14:paraId="7EC7E76C" w14:textId="10BE6B66" w:rsidR="00D551FA" w:rsidRPr="002E7BB1" w:rsidRDefault="00D551FA" w:rsidP="00267B59">
              <w:pPr>
                <w:pStyle w:val="nova-e-listitem"/>
                <w:shd w:val="clear" w:color="auto" w:fill="FFFFFF"/>
                <w:spacing w:before="0" w:after="0" w:line="360" w:lineRule="auto"/>
                <w:jc w:val="both"/>
                <w:rPr>
                  <w:rFonts w:ascii="Arial" w:hAnsi="Arial" w:cs="Arial"/>
                  <w:sz w:val="22"/>
                  <w:szCs w:val="22"/>
                </w:rPr>
              </w:pPr>
              <w:r w:rsidRPr="002E7BB1">
                <w:rPr>
                  <w:rFonts w:ascii="Arial" w:hAnsi="Arial" w:cs="Arial"/>
                  <w:sz w:val="22"/>
                  <w:szCs w:val="22"/>
                </w:rPr>
                <w:t xml:space="preserve">Kevin K. L. So, Moe M. S. Cheung, and Eric X. Q. Zhang (2012) Life cycle Management Strategy on Steel Girders in Bridges, </w:t>
              </w:r>
              <w:r w:rsidRPr="002E7BB1">
                <w:rPr>
                  <w:rFonts w:ascii="Arial" w:hAnsi="Arial" w:cs="Arial"/>
                  <w:i/>
                  <w:iCs/>
                  <w:sz w:val="22"/>
                  <w:szCs w:val="22"/>
                </w:rPr>
                <w:t>Advances in Civil Engineering</w:t>
              </w:r>
              <w:r w:rsidRPr="002E7BB1">
                <w:rPr>
                  <w:rFonts w:ascii="Arial" w:hAnsi="Arial" w:cs="Arial"/>
                  <w:sz w:val="22"/>
                  <w:szCs w:val="22"/>
                </w:rPr>
                <w:t>, vol. 2012</w:t>
              </w:r>
              <w:r w:rsidR="00FF1677">
                <w:rPr>
                  <w:rFonts w:ascii="Arial" w:hAnsi="Arial" w:cs="Arial"/>
                  <w:sz w:val="22"/>
                  <w:szCs w:val="22"/>
                </w:rPr>
                <w:t xml:space="preserve">. </w:t>
              </w:r>
              <w:r w:rsidRPr="002E7BB1">
                <w:rPr>
                  <w:rFonts w:ascii="Arial" w:hAnsi="Arial" w:cs="Arial"/>
                  <w:sz w:val="22"/>
                  <w:szCs w:val="22"/>
                </w:rPr>
                <w:t>doi: </w:t>
              </w:r>
              <w:hyperlink r:id="rId39" w:history="1">
                <w:r w:rsidRPr="002E7BB1">
                  <w:rPr>
                    <w:rFonts w:ascii="Arial" w:hAnsi="Arial" w:cs="Arial"/>
                    <w:sz w:val="22"/>
                    <w:szCs w:val="22"/>
                  </w:rPr>
                  <w:t>10.1155/2012/643543</w:t>
                </w:r>
              </w:hyperlink>
            </w:p>
            <w:p w14:paraId="56060B9A" w14:textId="64014A97" w:rsidR="00D551FA" w:rsidRPr="002E7BB1" w:rsidRDefault="00D551FA" w:rsidP="00267B59">
              <w:pPr>
                <w:pStyle w:val="nova-e-listitem"/>
                <w:shd w:val="clear" w:color="auto" w:fill="FFFFFF"/>
                <w:spacing w:before="0" w:after="0" w:line="360" w:lineRule="auto"/>
                <w:jc w:val="both"/>
                <w:rPr>
                  <w:rFonts w:ascii="Arial" w:hAnsi="Arial" w:cs="Arial"/>
                  <w:sz w:val="22"/>
                  <w:szCs w:val="22"/>
                </w:rPr>
              </w:pPr>
              <w:r w:rsidRPr="002E7BB1">
                <w:rPr>
                  <w:rFonts w:ascii="Arial" w:hAnsi="Arial" w:cs="Arial"/>
                  <w:sz w:val="22"/>
                  <w:szCs w:val="22"/>
                </w:rPr>
                <w:t xml:space="preserve">LoBEG (2011) </w:t>
              </w:r>
              <w:r w:rsidRPr="002E7BB1">
                <w:rPr>
                  <w:rFonts w:ascii="Arial" w:hAnsi="Arial" w:cs="Arial"/>
                  <w:i/>
                  <w:iCs/>
                  <w:sz w:val="22"/>
                  <w:szCs w:val="22"/>
                </w:rPr>
                <w:t xml:space="preserve">Good Practice Guide: Life Cycle Planning for Highway Structures. </w:t>
              </w:r>
              <w:r w:rsidRPr="002E7BB1">
                <w:rPr>
                  <w:rFonts w:ascii="Arial" w:hAnsi="Arial" w:cs="Arial"/>
                  <w:sz w:val="22"/>
                  <w:szCs w:val="22"/>
                </w:rPr>
                <w:t xml:space="preserve">Available at: </w:t>
              </w:r>
              <w:hyperlink r:id="rId40" w:history="1">
                <w:r w:rsidRPr="002E7BB1">
                  <w:rPr>
                    <w:rStyle w:val="Hyperlink"/>
                    <w:rFonts w:ascii="Arial" w:hAnsi="Arial" w:cs="Arial"/>
                    <w:sz w:val="22"/>
                    <w:szCs w:val="22"/>
                  </w:rPr>
                  <w:t>https://www.lobeg.com/technical-advice/</w:t>
                </w:r>
              </w:hyperlink>
              <w:r w:rsidRPr="002E7BB1">
                <w:rPr>
                  <w:rFonts w:ascii="Arial" w:hAnsi="Arial" w:cs="Arial"/>
                  <w:sz w:val="22"/>
                  <w:szCs w:val="22"/>
                </w:rPr>
                <w:t xml:space="preserve"> (Assessed: 1</w:t>
              </w:r>
              <w:r w:rsidR="004F5EC8" w:rsidRPr="004F5EC8">
                <w:rPr>
                  <w:rFonts w:ascii="Arial" w:hAnsi="Arial" w:cs="Arial"/>
                  <w:sz w:val="22"/>
                  <w:szCs w:val="22"/>
                  <w:vertAlign w:val="superscript"/>
                </w:rPr>
                <w:t>st</w:t>
              </w:r>
              <w:r w:rsidR="004F5EC8">
                <w:rPr>
                  <w:rFonts w:ascii="Arial" w:hAnsi="Arial" w:cs="Arial"/>
                  <w:sz w:val="22"/>
                  <w:szCs w:val="22"/>
                </w:rPr>
                <w:t xml:space="preserve"> </w:t>
              </w:r>
              <w:r w:rsidRPr="002E7BB1">
                <w:rPr>
                  <w:rFonts w:ascii="Arial" w:hAnsi="Arial" w:cs="Arial"/>
                  <w:sz w:val="22"/>
                  <w:szCs w:val="22"/>
                </w:rPr>
                <w:t>November 2020)</w:t>
              </w:r>
            </w:p>
            <w:p w14:paraId="40F7E60B" w14:textId="7587AABE" w:rsidR="00D551FA" w:rsidRPr="002E7BB1" w:rsidRDefault="00D551FA" w:rsidP="00267B59">
              <w:pPr>
                <w:pStyle w:val="CommentText"/>
                <w:spacing w:line="360" w:lineRule="auto"/>
                <w:jc w:val="both"/>
                <w:rPr>
                  <w:rFonts w:ascii="Arial" w:hAnsi="Arial" w:cs="Arial"/>
                  <w:sz w:val="22"/>
                  <w:szCs w:val="22"/>
                </w:rPr>
              </w:pPr>
              <w:r w:rsidRPr="002E7BB1">
                <w:rPr>
                  <w:rFonts w:ascii="Arial" w:hAnsi="Arial" w:cs="Arial"/>
                  <w:sz w:val="22"/>
                  <w:szCs w:val="22"/>
                </w:rPr>
                <w:t xml:space="preserve">Mckibbins, L., Spink, T. &amp; Power, C. (2019) </w:t>
              </w:r>
              <w:r w:rsidRPr="002E7BB1">
                <w:rPr>
                  <w:rFonts w:ascii="Arial" w:hAnsi="Arial" w:cs="Arial"/>
                  <w:i/>
                  <w:iCs/>
                  <w:sz w:val="22"/>
                  <w:szCs w:val="22"/>
                </w:rPr>
                <w:t>Deterioration modelling of civil engineering infrastructure assets</w:t>
              </w:r>
              <w:r w:rsidRPr="002E7BB1">
                <w:rPr>
                  <w:rFonts w:ascii="Arial" w:hAnsi="Arial" w:cs="Arial"/>
                  <w:sz w:val="22"/>
                  <w:szCs w:val="22"/>
                </w:rPr>
                <w:t>.</w:t>
              </w:r>
              <w:r w:rsidR="005F716C">
                <w:rPr>
                  <w:rFonts w:ascii="Arial" w:hAnsi="Arial" w:cs="Arial"/>
                  <w:sz w:val="22"/>
                  <w:szCs w:val="22"/>
                </w:rPr>
                <w:t xml:space="preserve"> </w:t>
              </w:r>
              <w:r w:rsidR="00394061">
                <w:rPr>
                  <w:rFonts w:ascii="Arial" w:hAnsi="Arial" w:cs="Arial"/>
                  <w:sz w:val="22"/>
                  <w:szCs w:val="22"/>
                </w:rPr>
                <w:t>pp. 36-39.</w:t>
              </w:r>
              <w:r w:rsidRPr="002E7BB1">
                <w:rPr>
                  <w:rFonts w:ascii="Arial" w:hAnsi="Arial" w:cs="Arial"/>
                  <w:sz w:val="22"/>
                  <w:szCs w:val="22"/>
                </w:rPr>
                <w:t xml:space="preserve"> CIRIA: UK</w:t>
              </w:r>
            </w:p>
            <w:p w14:paraId="0140F856" w14:textId="77777777" w:rsidR="00D551FA" w:rsidRPr="002E7BB1" w:rsidRDefault="00D551FA" w:rsidP="00267B59">
              <w:pPr>
                <w:pStyle w:val="CommentText"/>
                <w:spacing w:line="360" w:lineRule="auto"/>
                <w:jc w:val="both"/>
                <w:rPr>
                  <w:rFonts w:ascii="Arial" w:hAnsi="Arial" w:cs="Arial"/>
                  <w:sz w:val="22"/>
                  <w:szCs w:val="22"/>
                </w:rPr>
              </w:pPr>
              <w:r w:rsidRPr="002E7BB1">
                <w:rPr>
                  <w:rFonts w:ascii="Arial" w:hAnsi="Arial" w:cs="Arial"/>
                  <w:sz w:val="22"/>
                  <w:szCs w:val="22"/>
                </w:rPr>
                <w:t xml:space="preserve">Mott Macdonald (2012) Monetisation of Carbon in WLC in Construction. Available at: </w:t>
              </w:r>
              <w:hyperlink r:id="rId41" w:history="1">
                <w:r w:rsidRPr="002E7BB1">
                  <w:rPr>
                    <w:rStyle w:val="Hyperlink"/>
                    <w:rFonts w:ascii="Arial" w:hAnsi="Arial" w:cs="Arial"/>
                    <w:sz w:val="22"/>
                    <w:szCs w:val="22"/>
                  </w:rPr>
                  <w:t>https://sci-network.eu/fileadmin/templates/sci network/files/SCI_Monetised_Carbon_Final.pdf</w:t>
                </w:r>
              </w:hyperlink>
              <w:r w:rsidRPr="002E7BB1">
                <w:rPr>
                  <w:rFonts w:ascii="Arial" w:hAnsi="Arial" w:cs="Arial"/>
                  <w:sz w:val="22"/>
                  <w:szCs w:val="22"/>
                </w:rPr>
                <w:t xml:space="preserve"> (Assessed: 15</w:t>
              </w:r>
              <w:r w:rsidRPr="002E7BB1">
                <w:rPr>
                  <w:rFonts w:ascii="Arial" w:hAnsi="Arial" w:cs="Arial"/>
                  <w:sz w:val="22"/>
                  <w:szCs w:val="22"/>
                  <w:vertAlign w:val="superscript"/>
                </w:rPr>
                <w:t>th</w:t>
              </w:r>
              <w:r w:rsidRPr="002E7BB1">
                <w:rPr>
                  <w:rFonts w:ascii="Arial" w:hAnsi="Arial" w:cs="Arial"/>
                  <w:sz w:val="22"/>
                  <w:szCs w:val="22"/>
                </w:rPr>
                <w:t xml:space="preserve"> November  2020)</w:t>
              </w:r>
            </w:p>
            <w:p w14:paraId="3483A188" w14:textId="76C3FB54" w:rsidR="00D551FA" w:rsidRDefault="00D551FA" w:rsidP="00267B59">
              <w:pPr>
                <w:tabs>
                  <w:tab w:val="left" w:pos="2340"/>
                </w:tabs>
                <w:spacing w:line="360" w:lineRule="auto"/>
                <w:jc w:val="both"/>
                <w:rPr>
                  <w:rFonts w:ascii="Arial" w:hAnsi="Arial" w:cs="Arial"/>
                </w:rPr>
              </w:pPr>
              <w:r w:rsidRPr="002E7BB1">
                <w:rPr>
                  <w:rFonts w:ascii="Arial" w:hAnsi="Arial" w:cs="Arial"/>
                </w:rPr>
                <w:t xml:space="preserve">RAC Foundation (2019) </w:t>
              </w:r>
              <w:r w:rsidRPr="002E7BB1">
                <w:rPr>
                  <w:rFonts w:ascii="Arial" w:hAnsi="Arial" w:cs="Arial"/>
                  <w:i/>
                  <w:iCs/>
                </w:rPr>
                <w:t>Council bridge maintenance backlog grows</w:t>
              </w:r>
              <w:r w:rsidRPr="002E7BB1">
                <w:rPr>
                  <w:rFonts w:ascii="Arial" w:hAnsi="Arial" w:cs="Arial"/>
                </w:rPr>
                <w:t xml:space="preserve">. Available at: </w:t>
              </w:r>
              <w:hyperlink r:id="rId42" w:history="1">
                <w:r w:rsidRPr="002E7BB1">
                  <w:rPr>
                    <w:rStyle w:val="Hyperlink"/>
                    <w:rFonts w:ascii="Arial" w:hAnsi="Arial" w:cs="Arial"/>
                  </w:rPr>
                  <w:t>https://www.racfoundation.org/research/economy/council-bridge-maintenance-backlog-grows</w:t>
                </w:r>
              </w:hyperlink>
              <w:r w:rsidRPr="002E7BB1">
                <w:rPr>
                  <w:rFonts w:ascii="Arial" w:hAnsi="Arial" w:cs="Arial"/>
                </w:rPr>
                <w:t xml:space="preserve"> (Assessed: 21</w:t>
              </w:r>
              <w:r w:rsidRPr="002E7BB1">
                <w:rPr>
                  <w:rFonts w:ascii="Arial" w:hAnsi="Arial" w:cs="Arial"/>
                  <w:vertAlign w:val="superscript"/>
                </w:rPr>
                <w:t>st</w:t>
              </w:r>
              <w:r w:rsidRPr="002E7BB1">
                <w:rPr>
                  <w:rFonts w:ascii="Arial" w:hAnsi="Arial" w:cs="Arial"/>
                </w:rPr>
                <w:t xml:space="preserve"> October 2020)</w:t>
              </w:r>
            </w:p>
            <w:p w14:paraId="72D8ED2E" w14:textId="14F37F39" w:rsidR="00A7211F" w:rsidRPr="00BF44A5" w:rsidRDefault="00A7211F" w:rsidP="00267B59">
              <w:pPr>
                <w:pStyle w:val="CommentText"/>
                <w:spacing w:line="360" w:lineRule="auto"/>
                <w:jc w:val="both"/>
                <w:rPr>
                  <w:rFonts w:ascii="Arial" w:eastAsiaTheme="minorEastAsia" w:hAnsi="Arial" w:cs="Arial"/>
                  <w:sz w:val="22"/>
                  <w:szCs w:val="22"/>
                </w:rPr>
              </w:pPr>
              <w:r w:rsidRPr="00BF44A5">
                <w:rPr>
                  <w:rFonts w:ascii="Arial" w:eastAsiaTheme="minorEastAsia" w:hAnsi="Arial" w:cs="Arial"/>
                  <w:sz w:val="22"/>
                  <w:szCs w:val="22"/>
                </w:rPr>
                <w:t>Rafiq, M., Chryssanthopoulos, M. &amp; Onoufriou, T</w:t>
              </w:r>
              <w:r w:rsidR="00536C7A" w:rsidRPr="00BF44A5">
                <w:rPr>
                  <w:rFonts w:ascii="Arial" w:eastAsiaTheme="minorEastAsia" w:hAnsi="Arial" w:cs="Arial"/>
                  <w:sz w:val="22"/>
                  <w:szCs w:val="22"/>
                </w:rPr>
                <w:t>.</w:t>
              </w:r>
              <w:r w:rsidRPr="00BF44A5">
                <w:rPr>
                  <w:rFonts w:ascii="Arial" w:eastAsiaTheme="minorEastAsia" w:hAnsi="Arial" w:cs="Arial"/>
                  <w:sz w:val="22"/>
                  <w:szCs w:val="22"/>
                </w:rPr>
                <w:t xml:space="preserve"> (2005) </w:t>
              </w:r>
              <w:r w:rsidR="000B354A" w:rsidRPr="00BF44A5">
                <w:rPr>
                  <w:rFonts w:ascii="Arial" w:eastAsiaTheme="minorEastAsia" w:hAnsi="Arial" w:cs="Arial"/>
                  <w:sz w:val="22"/>
                  <w:szCs w:val="22"/>
                </w:rPr>
                <w:t>‘</w:t>
              </w:r>
              <w:r w:rsidR="003036C4" w:rsidRPr="00BF44A5">
                <w:rPr>
                  <w:rFonts w:ascii="Arial" w:eastAsiaTheme="minorEastAsia" w:hAnsi="Arial" w:cs="Arial"/>
                  <w:sz w:val="22"/>
                  <w:szCs w:val="22"/>
                </w:rPr>
                <w:t>Comparison</w:t>
              </w:r>
              <w:r w:rsidR="000B354A" w:rsidRPr="00BF44A5">
                <w:rPr>
                  <w:rFonts w:ascii="Arial" w:eastAsiaTheme="minorEastAsia" w:hAnsi="Arial" w:cs="Arial"/>
                  <w:sz w:val="22"/>
                  <w:szCs w:val="22"/>
                </w:rPr>
                <w:t xml:space="preserve"> of Bridge Management Strategies using Life-Cycle Cost </w:t>
              </w:r>
              <w:r w:rsidR="003036C4" w:rsidRPr="00BF44A5">
                <w:rPr>
                  <w:rFonts w:ascii="Arial" w:eastAsiaTheme="minorEastAsia" w:hAnsi="Arial" w:cs="Arial"/>
                  <w:sz w:val="22"/>
                  <w:szCs w:val="22"/>
                </w:rPr>
                <w:t>Analysis’ in</w:t>
              </w:r>
              <w:r w:rsidR="00A873EB" w:rsidRPr="00BF44A5">
                <w:rPr>
                  <w:rFonts w:ascii="Arial" w:eastAsiaTheme="minorEastAsia" w:hAnsi="Arial" w:cs="Arial"/>
                  <w:sz w:val="22"/>
                  <w:szCs w:val="22"/>
                </w:rPr>
                <w:t xml:space="preserve"> </w:t>
              </w:r>
              <w:r w:rsidR="00F12599" w:rsidRPr="00BF44A5">
                <w:rPr>
                  <w:rFonts w:ascii="Arial" w:hAnsi="Arial" w:cs="Arial"/>
                  <w:sz w:val="22"/>
                  <w:szCs w:val="22"/>
                </w:rPr>
                <w:t>Disney, P., &amp; Parke, G.A.R</w:t>
              </w:r>
              <w:r w:rsidR="00F12599" w:rsidRPr="00BF44A5">
                <w:rPr>
                  <w:rFonts w:ascii="Arial" w:eastAsiaTheme="minorEastAsia" w:hAnsi="Arial" w:cs="Arial"/>
                  <w:sz w:val="22"/>
                  <w:szCs w:val="22"/>
                </w:rPr>
                <w:t xml:space="preserve"> </w:t>
              </w:r>
              <w:r w:rsidR="00A873EB" w:rsidRPr="00BF44A5">
                <w:rPr>
                  <w:rFonts w:ascii="Arial" w:eastAsiaTheme="minorEastAsia" w:hAnsi="Arial" w:cs="Arial"/>
                  <w:sz w:val="22"/>
                  <w:szCs w:val="22"/>
                </w:rPr>
                <w:t xml:space="preserve">(ed.) </w:t>
              </w:r>
              <w:r w:rsidR="00E23E9E" w:rsidRPr="00BF44A5">
                <w:rPr>
                  <w:rFonts w:ascii="Arial" w:eastAsiaTheme="minorEastAsia" w:hAnsi="Arial" w:cs="Arial"/>
                  <w:i/>
                  <w:iCs/>
                  <w:sz w:val="22"/>
                  <w:szCs w:val="22"/>
                </w:rPr>
                <w:t xml:space="preserve">Bridge Management Five. </w:t>
              </w:r>
              <w:r w:rsidRPr="00BF44A5">
                <w:rPr>
                  <w:rFonts w:ascii="Arial" w:hAnsi="Arial" w:cs="Arial"/>
                  <w:sz w:val="22"/>
                  <w:szCs w:val="22"/>
                </w:rPr>
                <w:t>London: Thomas Telford</w:t>
              </w:r>
              <w:r w:rsidR="00C21C07" w:rsidRPr="00BF44A5">
                <w:rPr>
                  <w:rFonts w:ascii="Arial" w:hAnsi="Arial" w:cs="Arial"/>
                  <w:sz w:val="22"/>
                  <w:szCs w:val="22"/>
                </w:rPr>
                <w:t>,</w:t>
              </w:r>
              <w:r w:rsidR="003036C4" w:rsidRPr="00BF44A5">
                <w:rPr>
                  <w:rFonts w:ascii="Arial" w:eastAsiaTheme="minorEastAsia" w:hAnsi="Arial" w:cs="Arial"/>
                  <w:sz w:val="22"/>
                  <w:szCs w:val="22"/>
                </w:rPr>
                <w:t xml:space="preserve"> p. 579</w:t>
              </w:r>
              <w:r w:rsidR="00C21C07" w:rsidRPr="00BF44A5">
                <w:rPr>
                  <w:rFonts w:ascii="Arial" w:eastAsiaTheme="minorEastAsia" w:hAnsi="Arial" w:cs="Arial"/>
                  <w:sz w:val="22"/>
                  <w:szCs w:val="22"/>
                </w:rPr>
                <w:t>.</w:t>
              </w:r>
            </w:p>
            <w:p w14:paraId="38D8B147" w14:textId="1597592D" w:rsidR="00D551FA" w:rsidRPr="00C566CD" w:rsidRDefault="00D551FA" w:rsidP="00267B59">
              <w:pPr>
                <w:pStyle w:val="CommentText"/>
                <w:spacing w:line="360" w:lineRule="auto"/>
                <w:jc w:val="both"/>
                <w:rPr>
                  <w:rFonts w:ascii="Arial" w:hAnsi="Arial" w:cs="Arial"/>
                  <w:sz w:val="22"/>
                  <w:szCs w:val="22"/>
                </w:rPr>
              </w:pPr>
              <w:r w:rsidRPr="00C566CD">
                <w:rPr>
                  <w:rFonts w:ascii="Arial" w:hAnsi="Arial" w:cs="Arial"/>
                  <w:sz w:val="22"/>
                  <w:szCs w:val="22"/>
                </w:rPr>
                <w:t xml:space="preserve">Roger Harrabin (2020) </w:t>
              </w:r>
              <w:r w:rsidRPr="00C566CD">
                <w:rPr>
                  <w:rFonts w:ascii="Arial" w:hAnsi="Arial" w:cs="Arial"/>
                  <w:i/>
                  <w:iCs/>
                  <w:sz w:val="22"/>
                  <w:szCs w:val="22"/>
                </w:rPr>
                <w:t xml:space="preserve">Ban on new petrol and diesel cars in UK from 2030 under PM’s green plan. </w:t>
              </w:r>
              <w:r w:rsidRPr="00C566CD">
                <w:rPr>
                  <w:rFonts w:ascii="Arial" w:hAnsi="Arial" w:cs="Arial"/>
                  <w:sz w:val="22"/>
                  <w:szCs w:val="22"/>
                </w:rPr>
                <w:t>BBC. (assessed 18</w:t>
              </w:r>
              <w:r w:rsidRPr="00C566CD">
                <w:rPr>
                  <w:rFonts w:ascii="Arial" w:hAnsi="Arial" w:cs="Arial"/>
                  <w:sz w:val="22"/>
                  <w:szCs w:val="22"/>
                  <w:vertAlign w:val="superscript"/>
                </w:rPr>
                <w:t>th</w:t>
              </w:r>
              <w:r w:rsidRPr="00C566CD">
                <w:rPr>
                  <w:rFonts w:ascii="Arial" w:hAnsi="Arial" w:cs="Arial"/>
                  <w:sz w:val="22"/>
                  <w:szCs w:val="22"/>
                </w:rPr>
                <w:t xml:space="preserve"> November 2020)</w:t>
              </w:r>
            </w:p>
            <w:p w14:paraId="6C15D216" w14:textId="671B18B0" w:rsidR="00D551FA" w:rsidRPr="002E7BB1" w:rsidRDefault="00D551FA" w:rsidP="00267B59">
              <w:pPr>
                <w:tabs>
                  <w:tab w:val="left" w:pos="2340"/>
                </w:tabs>
                <w:spacing w:line="360" w:lineRule="auto"/>
                <w:jc w:val="both"/>
                <w:rPr>
                  <w:rFonts w:ascii="Arial" w:hAnsi="Arial" w:cs="Arial"/>
                </w:rPr>
              </w:pPr>
              <w:r w:rsidRPr="002E7BB1">
                <w:rPr>
                  <w:rFonts w:ascii="Arial" w:hAnsi="Arial" w:cs="Arial"/>
                </w:rPr>
                <w:t xml:space="preserve">Smith, et al. (2014) Carbon Calculator design tool for bridges, </w:t>
              </w:r>
              <w:r w:rsidRPr="002E7BB1">
                <w:rPr>
                  <w:rFonts w:ascii="Arial" w:hAnsi="Arial" w:cs="Arial"/>
                  <w:i/>
                  <w:iCs/>
                </w:rPr>
                <w:t>Proceedings of the Institution of Civil Engineers - Bridge Engineering.</w:t>
              </w:r>
              <w:r w:rsidRPr="002E7BB1">
                <w:rPr>
                  <w:rFonts w:ascii="Arial" w:hAnsi="Arial" w:cs="Arial"/>
                </w:rPr>
                <w:t xml:space="preserve"> 168 (3). pp. 232–244. doi: 10.1680/bren.13.00025</w:t>
              </w:r>
            </w:p>
            <w:p w14:paraId="158F06FC" w14:textId="725D24A9" w:rsidR="00AF05D5" w:rsidRPr="002E7BB1" w:rsidRDefault="00AF05D5" w:rsidP="00267B59">
              <w:pPr>
                <w:tabs>
                  <w:tab w:val="left" w:pos="2340"/>
                </w:tabs>
                <w:spacing w:line="360" w:lineRule="auto"/>
                <w:jc w:val="both"/>
                <w:rPr>
                  <w:rFonts w:ascii="Arial" w:hAnsi="Arial" w:cs="Arial"/>
                </w:rPr>
              </w:pPr>
              <w:r w:rsidRPr="002E7BB1">
                <w:rPr>
                  <w:rFonts w:ascii="Arial" w:hAnsi="Arial" w:cs="Arial"/>
                </w:rPr>
                <w:t xml:space="preserve">Tantele, </w:t>
              </w:r>
              <w:r w:rsidR="00BD4C78" w:rsidRPr="002E7BB1">
                <w:rPr>
                  <w:rFonts w:ascii="Arial" w:hAnsi="Arial" w:cs="Arial"/>
                </w:rPr>
                <w:t xml:space="preserve">E., </w:t>
              </w:r>
              <w:r w:rsidRPr="002E7BB1">
                <w:rPr>
                  <w:rFonts w:ascii="Arial" w:hAnsi="Arial" w:cs="Arial"/>
                </w:rPr>
                <w:t>Onoufriou</w:t>
              </w:r>
              <w:r w:rsidR="00BD4C78" w:rsidRPr="002E7BB1">
                <w:rPr>
                  <w:rFonts w:ascii="Arial" w:hAnsi="Arial" w:cs="Arial"/>
                </w:rPr>
                <w:t>,</w:t>
              </w:r>
              <w:r w:rsidRPr="002E7BB1">
                <w:rPr>
                  <w:rFonts w:ascii="Arial" w:hAnsi="Arial" w:cs="Arial"/>
                </w:rPr>
                <w:t xml:space="preserve"> </w:t>
              </w:r>
              <w:r w:rsidR="00BD4C78" w:rsidRPr="002E7BB1">
                <w:rPr>
                  <w:rFonts w:ascii="Arial" w:hAnsi="Arial" w:cs="Arial"/>
                </w:rPr>
                <w:t xml:space="preserve">T. </w:t>
              </w:r>
              <w:r w:rsidRPr="002E7BB1">
                <w:rPr>
                  <w:rFonts w:ascii="Arial" w:hAnsi="Arial" w:cs="Arial"/>
                </w:rPr>
                <w:t>&amp; Mulheron</w:t>
              </w:r>
              <w:r w:rsidR="00BD4C78" w:rsidRPr="002E7BB1">
                <w:rPr>
                  <w:rFonts w:ascii="Arial" w:hAnsi="Arial" w:cs="Arial"/>
                </w:rPr>
                <w:t>, M</w:t>
              </w:r>
              <w:r w:rsidRPr="002E7BB1">
                <w:rPr>
                  <w:rFonts w:ascii="Arial" w:hAnsi="Arial" w:cs="Arial"/>
                </w:rPr>
                <w:t xml:space="preserve"> (2005) </w:t>
              </w:r>
              <w:r w:rsidR="006467CA" w:rsidRPr="002E7BB1">
                <w:rPr>
                  <w:rFonts w:ascii="Arial" w:hAnsi="Arial" w:cs="Arial"/>
                </w:rPr>
                <w:t>‘Effectiveness of preventative maintenance for reinforced concrete bridges</w:t>
              </w:r>
              <w:r w:rsidR="002E7BB1" w:rsidRPr="002E7BB1">
                <w:rPr>
                  <w:rFonts w:ascii="Arial" w:hAnsi="Arial" w:cs="Arial"/>
                </w:rPr>
                <w:t>’</w:t>
              </w:r>
              <w:r w:rsidR="006467CA" w:rsidRPr="002E7BB1">
                <w:rPr>
                  <w:rFonts w:ascii="Arial" w:hAnsi="Arial" w:cs="Arial"/>
                </w:rPr>
                <w:t xml:space="preserve"> – a stochastic approach</w:t>
              </w:r>
              <w:r w:rsidR="00BD4C78" w:rsidRPr="002E7BB1">
                <w:rPr>
                  <w:rFonts w:ascii="Arial" w:hAnsi="Arial" w:cs="Arial"/>
                </w:rPr>
                <w:t xml:space="preserve">’ in </w:t>
              </w:r>
              <w:r w:rsidR="00377C91" w:rsidRPr="002E7BB1">
                <w:rPr>
                  <w:rFonts w:ascii="Arial" w:hAnsi="Arial" w:cs="Arial"/>
                </w:rPr>
                <w:t>Disney, P., &amp; Parke, G.A.R (</w:t>
              </w:r>
              <w:r w:rsidR="00DF6A42" w:rsidRPr="002E7BB1">
                <w:rPr>
                  <w:rFonts w:ascii="Arial" w:hAnsi="Arial" w:cs="Arial"/>
                </w:rPr>
                <w:t>ed.)</w:t>
              </w:r>
              <w:r w:rsidR="00104719" w:rsidRPr="002E7BB1">
                <w:rPr>
                  <w:rFonts w:ascii="Arial" w:hAnsi="Arial" w:cs="Arial"/>
                </w:rPr>
                <w:t xml:space="preserve"> </w:t>
              </w:r>
              <w:r w:rsidR="00104719" w:rsidRPr="002E7BB1">
                <w:rPr>
                  <w:rFonts w:ascii="Arial" w:hAnsi="Arial" w:cs="Arial"/>
                  <w:i/>
                  <w:iCs/>
                </w:rPr>
                <w:t xml:space="preserve">Bridge Management </w:t>
              </w:r>
              <w:r w:rsidR="00B4744A">
                <w:rPr>
                  <w:rFonts w:ascii="Arial" w:hAnsi="Arial" w:cs="Arial"/>
                  <w:i/>
                  <w:iCs/>
                </w:rPr>
                <w:t>Five</w:t>
              </w:r>
              <w:r w:rsidR="00104719" w:rsidRPr="002E7BB1">
                <w:rPr>
                  <w:rFonts w:ascii="Arial" w:hAnsi="Arial" w:cs="Arial"/>
                  <w:i/>
                  <w:iCs/>
                </w:rPr>
                <w:t xml:space="preserve">. </w:t>
              </w:r>
              <w:r w:rsidR="002467FE" w:rsidRPr="002E7BB1">
                <w:rPr>
                  <w:rFonts w:ascii="Arial" w:hAnsi="Arial" w:cs="Arial"/>
                </w:rPr>
                <w:t>London: Thomas Telford. pp.</w:t>
              </w:r>
              <w:r w:rsidR="002E7BB1" w:rsidRPr="002E7BB1">
                <w:rPr>
                  <w:rFonts w:ascii="Arial" w:hAnsi="Arial" w:cs="Arial"/>
                </w:rPr>
                <w:t>443-452.</w:t>
              </w:r>
            </w:p>
            <w:p w14:paraId="1C297DB2" w14:textId="77777777" w:rsidR="00D551FA" w:rsidRPr="002E7BB1" w:rsidRDefault="00D551FA" w:rsidP="00267B59">
              <w:pPr>
                <w:tabs>
                  <w:tab w:val="left" w:pos="2340"/>
                </w:tabs>
                <w:spacing w:line="360" w:lineRule="auto"/>
                <w:jc w:val="both"/>
                <w:rPr>
                  <w:rFonts w:ascii="Arial" w:hAnsi="Arial" w:cs="Arial"/>
                </w:rPr>
              </w:pPr>
              <w:r w:rsidRPr="002E7BB1">
                <w:rPr>
                  <w:rFonts w:ascii="Arial" w:hAnsi="Arial" w:cs="Arial"/>
                </w:rPr>
                <w:t xml:space="preserve">Teslim, B., et al (2019) Sustainability of Bridge Maintenance, </w:t>
              </w:r>
              <w:r w:rsidRPr="002E7BB1">
                <w:rPr>
                  <w:rFonts w:ascii="Arial" w:hAnsi="Arial" w:cs="Arial"/>
                  <w:i/>
                  <w:iCs/>
                </w:rPr>
                <w:t xml:space="preserve">Proceedings of the Institute of Civil Engineers, </w:t>
              </w:r>
              <w:r w:rsidRPr="002E7BB1">
                <w:rPr>
                  <w:rFonts w:ascii="Arial" w:hAnsi="Arial" w:cs="Arial"/>
                </w:rPr>
                <w:t xml:space="preserve">172, pp. 54-64. doi: </w:t>
              </w:r>
              <w:hyperlink r:id="rId43" w:history="1">
                <w:r w:rsidRPr="002E7BB1">
                  <w:rPr>
                    <w:rFonts w:ascii="Arial" w:hAnsi="Arial" w:cs="Arial"/>
                  </w:rPr>
                  <w:t>10.1680/jbren.15.00027</w:t>
                </w:r>
              </w:hyperlink>
            </w:p>
            <w:p w14:paraId="7EC7D81F" w14:textId="023C9A69" w:rsidR="00D551FA" w:rsidRPr="002E7BB1" w:rsidRDefault="00D551FA" w:rsidP="00267B59">
              <w:pPr>
                <w:pStyle w:val="CommentText"/>
                <w:spacing w:line="360" w:lineRule="auto"/>
                <w:jc w:val="both"/>
                <w:rPr>
                  <w:rStyle w:val="Hyperlink"/>
                  <w:rFonts w:ascii="Arial" w:hAnsi="Arial" w:cs="Arial"/>
                  <w:color w:val="auto"/>
                  <w:sz w:val="22"/>
                  <w:szCs w:val="22"/>
                  <w:u w:val="none"/>
                  <w:shd w:val="clear" w:color="auto" w:fill="FFFFFF"/>
                </w:rPr>
              </w:pPr>
              <w:r w:rsidRPr="002E7BB1">
                <w:rPr>
                  <w:rFonts w:ascii="Arial" w:hAnsi="Arial" w:cs="Arial"/>
                  <w:sz w:val="22"/>
                  <w:szCs w:val="22"/>
                </w:rPr>
                <w:t xml:space="preserve">Tiseo, I. (2020) </w:t>
              </w:r>
              <w:r w:rsidRPr="002E7BB1">
                <w:rPr>
                  <w:rFonts w:ascii="Arial" w:hAnsi="Arial" w:cs="Arial"/>
                  <w:i/>
                  <w:iCs/>
                  <w:sz w:val="22"/>
                  <w:szCs w:val="22"/>
                </w:rPr>
                <w:t>CO</w:t>
              </w:r>
              <w:r w:rsidRPr="00FA3C81">
                <w:rPr>
                  <w:rFonts w:ascii="Arial" w:hAnsi="Arial" w:cs="Arial"/>
                  <w:i/>
                  <w:iCs/>
                  <w:sz w:val="22"/>
                  <w:szCs w:val="22"/>
                  <w:vertAlign w:val="subscript"/>
                </w:rPr>
                <w:t>2</w:t>
              </w:r>
              <w:r w:rsidRPr="002E7BB1">
                <w:rPr>
                  <w:rFonts w:ascii="Arial" w:hAnsi="Arial" w:cs="Arial"/>
                  <w:i/>
                  <w:iCs/>
                  <w:sz w:val="22"/>
                  <w:szCs w:val="22"/>
                </w:rPr>
                <w:t xml:space="preserve"> emissions from the construction industry in the United Kingdom (UK) 1990-2018. </w:t>
              </w:r>
              <w:r w:rsidRPr="002E7BB1">
                <w:rPr>
                  <w:rFonts w:ascii="Arial" w:hAnsi="Arial" w:cs="Arial"/>
                  <w:sz w:val="22"/>
                  <w:szCs w:val="22"/>
                </w:rPr>
                <w:t xml:space="preserve">Available at: </w:t>
              </w:r>
              <w:hyperlink r:id="rId44" w:history="1">
                <w:r w:rsidRPr="002E7BB1">
                  <w:rPr>
                    <w:rStyle w:val="Hyperlink"/>
                    <w:rFonts w:ascii="Arial" w:hAnsi="Arial" w:cs="Arial"/>
                    <w:sz w:val="22"/>
                    <w:szCs w:val="22"/>
                    <w:shd w:val="clear" w:color="auto" w:fill="FFFFFF"/>
                  </w:rPr>
                  <w:t>https://www.statista.com/statistics/486106/co2-emission-from-the-construction-industry-uk/</w:t>
                </w:r>
              </w:hyperlink>
              <w:r w:rsidRPr="002E7BB1">
                <w:rPr>
                  <w:rStyle w:val="Hyperlink"/>
                  <w:rFonts w:ascii="Arial" w:hAnsi="Arial" w:cs="Arial"/>
                  <w:sz w:val="22"/>
                  <w:szCs w:val="22"/>
                  <w:shd w:val="clear" w:color="auto" w:fill="FFFFFF"/>
                </w:rPr>
                <w:t xml:space="preserve"> </w:t>
              </w:r>
              <w:r w:rsidRPr="002E7BB1">
                <w:rPr>
                  <w:rStyle w:val="Hyperlink"/>
                  <w:rFonts w:ascii="Arial" w:hAnsi="Arial" w:cs="Arial"/>
                  <w:color w:val="auto"/>
                  <w:sz w:val="22"/>
                  <w:szCs w:val="22"/>
                  <w:u w:val="none"/>
                  <w:shd w:val="clear" w:color="auto" w:fill="FFFFFF"/>
                </w:rPr>
                <w:t>(Assessed: 21</w:t>
              </w:r>
              <w:r w:rsidRPr="002E7BB1">
                <w:rPr>
                  <w:rStyle w:val="Hyperlink"/>
                  <w:rFonts w:ascii="Arial" w:hAnsi="Arial" w:cs="Arial"/>
                  <w:color w:val="auto"/>
                  <w:sz w:val="22"/>
                  <w:szCs w:val="22"/>
                  <w:u w:val="none"/>
                  <w:shd w:val="clear" w:color="auto" w:fill="FFFFFF"/>
                  <w:vertAlign w:val="superscript"/>
                </w:rPr>
                <w:t>st</w:t>
              </w:r>
              <w:r w:rsidRPr="002E7BB1">
                <w:rPr>
                  <w:rStyle w:val="Hyperlink"/>
                  <w:rFonts w:ascii="Arial" w:hAnsi="Arial" w:cs="Arial"/>
                  <w:color w:val="auto"/>
                  <w:sz w:val="22"/>
                  <w:szCs w:val="22"/>
                  <w:u w:val="none"/>
                  <w:shd w:val="clear" w:color="auto" w:fill="FFFFFF"/>
                </w:rPr>
                <w:t xml:space="preserve"> October 2020)</w:t>
              </w:r>
            </w:p>
            <w:p w14:paraId="69FC52A2" w14:textId="7678AB6B" w:rsidR="00C524FA" w:rsidRPr="002E7BB1" w:rsidRDefault="00C524FA" w:rsidP="00267B59">
              <w:pPr>
                <w:pStyle w:val="CommentText"/>
                <w:spacing w:line="360" w:lineRule="auto"/>
                <w:jc w:val="both"/>
                <w:rPr>
                  <w:rStyle w:val="Hyperlink"/>
                  <w:rFonts w:ascii="Arial" w:hAnsi="Arial" w:cs="Arial"/>
                  <w:color w:val="auto"/>
                  <w:sz w:val="22"/>
                  <w:szCs w:val="22"/>
                  <w:u w:val="none"/>
                  <w:shd w:val="clear" w:color="auto" w:fill="FFFFFF"/>
                </w:rPr>
              </w:pPr>
              <w:r w:rsidRPr="002E7BB1">
                <w:rPr>
                  <w:rStyle w:val="Hyperlink"/>
                  <w:rFonts w:ascii="Arial" w:hAnsi="Arial" w:cs="Arial"/>
                  <w:color w:val="auto"/>
                  <w:sz w:val="22"/>
                  <w:szCs w:val="22"/>
                  <w:u w:val="none"/>
                  <w:shd w:val="clear" w:color="auto" w:fill="FFFFFF"/>
                </w:rPr>
                <w:t>Transportation Committee (2019)</w:t>
              </w:r>
              <w:r w:rsidR="007437FB" w:rsidRPr="002E7BB1">
                <w:rPr>
                  <w:rStyle w:val="Hyperlink"/>
                  <w:rFonts w:ascii="Arial" w:hAnsi="Arial" w:cs="Arial"/>
                  <w:color w:val="auto"/>
                  <w:sz w:val="22"/>
                  <w:szCs w:val="22"/>
                  <w:u w:val="none"/>
                  <w:shd w:val="clear" w:color="auto" w:fill="FFFFFF"/>
                </w:rPr>
                <w:t xml:space="preserve"> </w:t>
              </w:r>
              <w:r w:rsidR="007437FB" w:rsidRPr="002E7BB1">
                <w:rPr>
                  <w:rStyle w:val="Hyperlink"/>
                  <w:rFonts w:ascii="Arial" w:hAnsi="Arial" w:cs="Arial"/>
                  <w:i/>
                  <w:iCs/>
                  <w:color w:val="auto"/>
                  <w:sz w:val="22"/>
                  <w:szCs w:val="22"/>
                  <w:u w:val="none"/>
                  <w:shd w:val="clear" w:color="auto" w:fill="FFFFFF"/>
                </w:rPr>
                <w:t xml:space="preserve">Local Roads Funding and Maintenance : </w:t>
              </w:r>
              <w:r w:rsidR="005651D4" w:rsidRPr="002E7BB1">
                <w:rPr>
                  <w:rStyle w:val="Hyperlink"/>
                  <w:rFonts w:ascii="Arial" w:hAnsi="Arial" w:cs="Arial"/>
                  <w:i/>
                  <w:iCs/>
                  <w:color w:val="auto"/>
                  <w:sz w:val="22"/>
                  <w:szCs w:val="22"/>
                  <w:u w:val="none"/>
                  <w:shd w:val="clear" w:color="auto" w:fill="FFFFFF"/>
                </w:rPr>
                <w:t>F</w:t>
              </w:r>
              <w:r w:rsidR="007437FB" w:rsidRPr="002E7BB1">
                <w:rPr>
                  <w:rStyle w:val="Hyperlink"/>
                  <w:rFonts w:ascii="Arial" w:hAnsi="Arial" w:cs="Arial"/>
                  <w:i/>
                  <w:iCs/>
                  <w:color w:val="auto"/>
                  <w:sz w:val="22"/>
                  <w:szCs w:val="22"/>
                  <w:u w:val="none"/>
                  <w:shd w:val="clear" w:color="auto" w:fill="FFFFFF"/>
                </w:rPr>
                <w:t xml:space="preserve">illing the </w:t>
              </w:r>
              <w:r w:rsidR="005651D4" w:rsidRPr="002E7BB1">
                <w:rPr>
                  <w:rStyle w:val="Hyperlink"/>
                  <w:rFonts w:ascii="Arial" w:hAnsi="Arial" w:cs="Arial"/>
                  <w:i/>
                  <w:iCs/>
                  <w:color w:val="auto"/>
                  <w:sz w:val="22"/>
                  <w:szCs w:val="22"/>
                  <w:u w:val="none"/>
                  <w:shd w:val="clear" w:color="auto" w:fill="FFFFFF"/>
                </w:rPr>
                <w:t>G</w:t>
              </w:r>
              <w:r w:rsidR="007437FB" w:rsidRPr="002E7BB1">
                <w:rPr>
                  <w:rStyle w:val="Hyperlink"/>
                  <w:rFonts w:ascii="Arial" w:hAnsi="Arial" w:cs="Arial"/>
                  <w:i/>
                  <w:iCs/>
                  <w:color w:val="auto"/>
                  <w:sz w:val="22"/>
                  <w:szCs w:val="22"/>
                  <w:u w:val="none"/>
                  <w:shd w:val="clear" w:color="auto" w:fill="FFFFFF"/>
                </w:rPr>
                <w:t>ap</w:t>
              </w:r>
              <w:r w:rsidR="005651D4" w:rsidRPr="002E7BB1">
                <w:rPr>
                  <w:rStyle w:val="Hyperlink"/>
                  <w:rFonts w:ascii="Arial" w:hAnsi="Arial" w:cs="Arial"/>
                  <w:i/>
                  <w:iCs/>
                  <w:color w:val="auto"/>
                  <w:sz w:val="22"/>
                  <w:szCs w:val="22"/>
                  <w:u w:val="none"/>
                  <w:shd w:val="clear" w:color="auto" w:fill="FFFFFF"/>
                </w:rPr>
                <w:t>.</w:t>
              </w:r>
              <w:r w:rsidR="00A73453">
                <w:rPr>
                  <w:rStyle w:val="Hyperlink"/>
                  <w:rFonts w:ascii="Arial" w:hAnsi="Arial" w:cs="Arial"/>
                  <w:color w:val="auto"/>
                  <w:sz w:val="22"/>
                  <w:szCs w:val="22"/>
                  <w:u w:val="none"/>
                  <w:shd w:val="clear" w:color="auto" w:fill="FFFFFF"/>
                </w:rPr>
                <w:t xml:space="preserve"> p.</w:t>
              </w:r>
              <w:r w:rsidR="00B14CD2">
                <w:rPr>
                  <w:rStyle w:val="Hyperlink"/>
                  <w:rFonts w:ascii="Arial" w:hAnsi="Arial" w:cs="Arial"/>
                  <w:color w:val="auto"/>
                  <w:sz w:val="22"/>
                  <w:szCs w:val="22"/>
                  <w:u w:val="none"/>
                  <w:shd w:val="clear" w:color="auto" w:fill="FFFFFF"/>
                </w:rPr>
                <w:t xml:space="preserve"> </w:t>
              </w:r>
              <w:r w:rsidR="00A73453">
                <w:rPr>
                  <w:rStyle w:val="Hyperlink"/>
                  <w:rFonts w:ascii="Arial" w:hAnsi="Arial" w:cs="Arial"/>
                  <w:color w:val="auto"/>
                  <w:sz w:val="22"/>
                  <w:szCs w:val="22"/>
                  <w:u w:val="none"/>
                  <w:shd w:val="clear" w:color="auto" w:fill="FFFFFF"/>
                </w:rPr>
                <w:t>3.</w:t>
              </w:r>
              <w:r w:rsidR="005651D4" w:rsidRPr="002E7BB1">
                <w:rPr>
                  <w:rStyle w:val="Hyperlink"/>
                  <w:rFonts w:ascii="Arial" w:hAnsi="Arial" w:cs="Arial"/>
                  <w:i/>
                  <w:iCs/>
                  <w:color w:val="auto"/>
                  <w:sz w:val="22"/>
                  <w:szCs w:val="22"/>
                  <w:u w:val="none"/>
                  <w:shd w:val="clear" w:color="auto" w:fill="FFFFFF"/>
                </w:rPr>
                <w:t xml:space="preserve"> </w:t>
              </w:r>
              <w:r w:rsidR="005C0EDC" w:rsidRPr="002E7BB1">
                <w:rPr>
                  <w:rStyle w:val="Hyperlink"/>
                  <w:rFonts w:ascii="Arial" w:hAnsi="Arial" w:cs="Arial"/>
                  <w:color w:val="auto"/>
                  <w:sz w:val="22"/>
                  <w:szCs w:val="22"/>
                  <w:u w:val="none"/>
                  <w:shd w:val="clear" w:color="auto" w:fill="FFFFFF"/>
                </w:rPr>
                <w:t xml:space="preserve">Available at: </w:t>
              </w:r>
              <w:hyperlink r:id="rId45" w:anchor="heading-0" w:history="1">
                <w:r w:rsidR="005C0EDC" w:rsidRPr="002E7BB1">
                  <w:rPr>
                    <w:rStyle w:val="Hyperlink"/>
                    <w:rFonts w:ascii="Arial" w:hAnsi="Arial" w:cs="Arial"/>
                    <w:sz w:val="22"/>
                    <w:szCs w:val="22"/>
                    <w:shd w:val="clear" w:color="auto" w:fill="FFFFFF"/>
                  </w:rPr>
                  <w:t>https://publications.parliament.uk/pa/cm201719/cmselect/cmtrans/1486/full-report.html#heading-0</w:t>
                </w:r>
              </w:hyperlink>
              <w:r w:rsidR="005C0EDC" w:rsidRPr="002E7BB1">
                <w:rPr>
                  <w:rStyle w:val="Hyperlink"/>
                  <w:rFonts w:ascii="Arial" w:hAnsi="Arial" w:cs="Arial"/>
                  <w:color w:val="auto"/>
                  <w:sz w:val="22"/>
                  <w:szCs w:val="22"/>
                  <w:u w:val="none"/>
                  <w:shd w:val="clear" w:color="auto" w:fill="FFFFFF"/>
                </w:rPr>
                <w:t xml:space="preserve"> (Assessed:</w:t>
              </w:r>
              <w:r w:rsidR="003D7F1A" w:rsidRPr="002E7BB1">
                <w:rPr>
                  <w:rStyle w:val="Hyperlink"/>
                  <w:rFonts w:ascii="Arial" w:hAnsi="Arial" w:cs="Arial"/>
                  <w:color w:val="auto"/>
                  <w:sz w:val="22"/>
                  <w:szCs w:val="22"/>
                  <w:u w:val="none"/>
                  <w:shd w:val="clear" w:color="auto" w:fill="FFFFFF"/>
                </w:rPr>
                <w:t xml:space="preserve"> </w:t>
              </w:r>
              <w:r w:rsidR="00282384" w:rsidRPr="002E7BB1">
                <w:rPr>
                  <w:rStyle w:val="Hyperlink"/>
                  <w:rFonts w:ascii="Arial" w:hAnsi="Arial" w:cs="Arial"/>
                  <w:color w:val="auto"/>
                  <w:sz w:val="22"/>
                  <w:szCs w:val="22"/>
                  <w:u w:val="none"/>
                  <w:shd w:val="clear" w:color="auto" w:fill="FFFFFF"/>
                </w:rPr>
                <w:t>15</w:t>
              </w:r>
              <w:r w:rsidR="00282384" w:rsidRPr="002E7BB1">
                <w:rPr>
                  <w:rStyle w:val="Hyperlink"/>
                  <w:rFonts w:ascii="Arial" w:hAnsi="Arial" w:cs="Arial"/>
                  <w:color w:val="auto"/>
                  <w:sz w:val="22"/>
                  <w:szCs w:val="22"/>
                  <w:u w:val="none"/>
                  <w:shd w:val="clear" w:color="auto" w:fill="FFFFFF"/>
                  <w:vertAlign w:val="superscript"/>
                </w:rPr>
                <w:t>th</w:t>
              </w:r>
              <w:r w:rsidR="00282384" w:rsidRPr="002E7BB1">
                <w:rPr>
                  <w:rStyle w:val="Hyperlink"/>
                  <w:rFonts w:ascii="Arial" w:hAnsi="Arial" w:cs="Arial"/>
                  <w:color w:val="auto"/>
                  <w:sz w:val="22"/>
                  <w:szCs w:val="22"/>
                  <w:u w:val="none"/>
                  <w:shd w:val="clear" w:color="auto" w:fill="FFFFFF"/>
                </w:rPr>
                <w:t xml:space="preserve"> November 2020</w:t>
              </w:r>
              <w:r w:rsidR="003D7F1A" w:rsidRPr="002E7BB1">
                <w:rPr>
                  <w:rStyle w:val="Hyperlink"/>
                  <w:rFonts w:ascii="Arial" w:hAnsi="Arial" w:cs="Arial"/>
                  <w:color w:val="auto"/>
                  <w:sz w:val="22"/>
                  <w:szCs w:val="22"/>
                  <w:u w:val="none"/>
                  <w:shd w:val="clear" w:color="auto" w:fill="FFFFFF"/>
                </w:rPr>
                <w:t>)</w:t>
              </w:r>
            </w:p>
            <w:p w14:paraId="383BA620" w14:textId="1283BD66" w:rsidR="00264254" w:rsidRPr="00696FDB" w:rsidRDefault="00264254" w:rsidP="00267B59">
              <w:pPr>
                <w:pStyle w:val="Caption"/>
                <w:spacing w:line="360" w:lineRule="auto"/>
                <w:jc w:val="both"/>
                <w:rPr>
                  <w:rFonts w:ascii="Arial" w:hAnsi="Arial" w:cs="Arial"/>
                  <w:i w:val="0"/>
                  <w:iCs w:val="0"/>
                  <w:color w:val="auto"/>
                  <w:sz w:val="22"/>
                  <w:szCs w:val="22"/>
                </w:rPr>
              </w:pPr>
              <w:r w:rsidRPr="00264254">
                <w:rPr>
                  <w:rFonts w:ascii="Arial" w:hAnsi="Arial" w:cs="Arial"/>
                  <w:i w:val="0"/>
                  <w:iCs w:val="0"/>
                  <w:sz w:val="22"/>
                  <w:szCs w:val="22"/>
                </w:rPr>
                <w:t xml:space="preserve">Valatin, </w:t>
              </w:r>
              <w:r>
                <w:rPr>
                  <w:rFonts w:ascii="Arial" w:hAnsi="Arial" w:cs="Arial"/>
                  <w:i w:val="0"/>
                  <w:iCs w:val="0"/>
                  <w:sz w:val="22"/>
                  <w:szCs w:val="22"/>
                </w:rPr>
                <w:t>G. (</w:t>
              </w:r>
              <w:r w:rsidRPr="00264254">
                <w:rPr>
                  <w:rFonts w:ascii="Arial" w:hAnsi="Arial" w:cs="Arial"/>
                  <w:i w:val="0"/>
                  <w:iCs w:val="0"/>
                  <w:sz w:val="22"/>
                  <w:szCs w:val="22"/>
                </w:rPr>
                <w:t xml:space="preserve">2011) </w:t>
              </w:r>
              <w:r w:rsidRPr="009D21E6">
                <w:rPr>
                  <w:rFonts w:ascii="Arial" w:hAnsi="Arial" w:cs="Arial"/>
                  <w:color w:val="auto"/>
                  <w:sz w:val="22"/>
                  <w:szCs w:val="22"/>
                </w:rPr>
                <w:t>Forests and carbon valuation, discounting and risk management</w:t>
              </w:r>
              <w:r w:rsidR="00196AD1" w:rsidRPr="009D21E6">
                <w:rPr>
                  <w:rFonts w:ascii="Arial" w:hAnsi="Arial" w:cs="Arial"/>
                  <w:color w:val="auto"/>
                  <w:sz w:val="22"/>
                  <w:szCs w:val="22"/>
                </w:rPr>
                <w:t xml:space="preserve">. </w:t>
              </w:r>
              <w:r w:rsidR="00696FDB">
                <w:rPr>
                  <w:rFonts w:ascii="Arial" w:hAnsi="Arial" w:cs="Arial"/>
                  <w:i w:val="0"/>
                  <w:iCs w:val="0"/>
                  <w:color w:val="auto"/>
                  <w:sz w:val="22"/>
                  <w:szCs w:val="22"/>
                </w:rPr>
                <w:t>Forestry Commission: Edinburgh</w:t>
              </w:r>
            </w:p>
            <w:p w14:paraId="53BB21E2" w14:textId="6EAF817B" w:rsidR="00D551FA" w:rsidRDefault="00D551FA" w:rsidP="00267B59">
              <w:pPr>
                <w:tabs>
                  <w:tab w:val="left" w:pos="2340"/>
                </w:tabs>
                <w:spacing w:line="360" w:lineRule="auto"/>
                <w:jc w:val="both"/>
                <w:rPr>
                  <w:rFonts w:ascii="Arial" w:hAnsi="Arial" w:cs="Arial"/>
                </w:rPr>
              </w:pPr>
              <w:r w:rsidRPr="002E7BB1">
                <w:rPr>
                  <w:rFonts w:ascii="Arial" w:hAnsi="Arial" w:cs="Arial"/>
                </w:rPr>
                <w:t xml:space="preserve">Vassie, P. &amp; Arya, C. (2008) Bridge Management, </w:t>
              </w:r>
              <w:r w:rsidRPr="002E7BB1">
                <w:rPr>
                  <w:rFonts w:ascii="Arial" w:hAnsi="Arial" w:cs="Arial"/>
                  <w:i/>
                  <w:iCs/>
                </w:rPr>
                <w:t xml:space="preserve">ICE Manual of Bridge Engineering. </w:t>
              </w:r>
              <w:r w:rsidRPr="002E7BB1">
                <w:rPr>
                  <w:rFonts w:ascii="Arial" w:hAnsi="Arial" w:cs="Arial"/>
                </w:rPr>
                <w:t>pp. 591-613. doi: 10.1680/mobe.34525.059</w:t>
              </w:r>
            </w:p>
            <w:p w14:paraId="7188B198" w14:textId="77777777" w:rsidR="00D551FA" w:rsidRPr="005876ED" w:rsidRDefault="00D551FA" w:rsidP="00267B59">
              <w:pPr>
                <w:pStyle w:val="CommentText"/>
                <w:spacing w:line="360" w:lineRule="auto"/>
                <w:jc w:val="both"/>
                <w:rPr>
                  <w:rFonts w:ascii="Arial" w:hAnsi="Arial" w:cs="Arial"/>
                  <w:sz w:val="22"/>
                  <w:szCs w:val="22"/>
                </w:rPr>
              </w:pPr>
              <w:r w:rsidRPr="002E7BB1">
                <w:rPr>
                  <w:rFonts w:ascii="Arial" w:hAnsi="Arial" w:cs="Arial"/>
                  <w:sz w:val="22"/>
                  <w:szCs w:val="22"/>
                </w:rPr>
                <w:t xml:space="preserve">Zhang, C. (2010) Delivering sustainable bridges to help tackle climate change, </w:t>
              </w:r>
              <w:r w:rsidRPr="002E7BB1">
                <w:rPr>
                  <w:rFonts w:ascii="Arial" w:hAnsi="Arial" w:cs="Arial"/>
                  <w:i/>
                  <w:iCs/>
                  <w:sz w:val="22"/>
                  <w:szCs w:val="22"/>
                </w:rPr>
                <w:t xml:space="preserve">Proceedings of the Institution of Civil Engineers - Engineering Sustainability </w:t>
              </w:r>
              <w:r w:rsidRPr="002E7BB1">
                <w:rPr>
                  <w:rFonts w:ascii="Arial" w:hAnsi="Arial" w:cs="Arial"/>
                  <w:sz w:val="22"/>
                  <w:szCs w:val="22"/>
                </w:rPr>
                <w:t xml:space="preserve">163. pp. 89–95 doi: </w:t>
              </w:r>
              <w:r w:rsidRPr="005876ED">
                <w:rPr>
                  <w:rFonts w:ascii="Arial" w:hAnsi="Arial" w:cs="Arial"/>
                  <w:sz w:val="22"/>
                  <w:szCs w:val="22"/>
                </w:rPr>
                <w:t>10.1680/ensu.2010.163.2.89</w:t>
              </w:r>
            </w:p>
            <w:p w14:paraId="140DBD75" w14:textId="241216AC" w:rsidR="000A655D" w:rsidRPr="002E7BB1" w:rsidRDefault="00000000">
              <w:pPr>
                <w:rPr>
                  <w:rFonts w:ascii="Arial" w:hAnsi="Arial" w:cs="Arial"/>
                </w:rPr>
              </w:pPr>
            </w:p>
          </w:sdtContent>
        </w:sdt>
      </w:sdtContent>
    </w:sdt>
    <w:p w14:paraId="697C7FDD" w14:textId="2EEE5C26" w:rsidR="00810B1C" w:rsidRDefault="00810B1C" w:rsidP="000F61F1">
      <w:pPr>
        <w:pStyle w:val="CommentText"/>
        <w:rPr>
          <w:rFonts w:ascii="Arial" w:hAnsi="Arial" w:cs="Arial"/>
          <w:sz w:val="24"/>
          <w:szCs w:val="24"/>
        </w:rPr>
      </w:pPr>
    </w:p>
    <w:p w14:paraId="0951D987" w14:textId="2412BA9B" w:rsidR="000E5755" w:rsidRDefault="000E5755" w:rsidP="000F61F1">
      <w:pPr>
        <w:pStyle w:val="CommentText"/>
        <w:rPr>
          <w:rFonts w:ascii="Arial" w:hAnsi="Arial" w:cs="Arial"/>
          <w:sz w:val="24"/>
          <w:szCs w:val="24"/>
        </w:rPr>
      </w:pPr>
    </w:p>
    <w:p w14:paraId="7D8D8660" w14:textId="39690850" w:rsidR="000E5755" w:rsidRDefault="000E5755" w:rsidP="000F61F1">
      <w:pPr>
        <w:pStyle w:val="CommentText"/>
        <w:rPr>
          <w:rFonts w:ascii="Arial" w:hAnsi="Arial" w:cs="Arial"/>
          <w:sz w:val="24"/>
          <w:szCs w:val="24"/>
        </w:rPr>
      </w:pPr>
    </w:p>
    <w:p w14:paraId="0D70AD39" w14:textId="36B2141D" w:rsidR="000E5755" w:rsidRDefault="000E5755" w:rsidP="000F61F1">
      <w:pPr>
        <w:pStyle w:val="CommentText"/>
        <w:rPr>
          <w:rFonts w:ascii="Arial" w:hAnsi="Arial" w:cs="Arial"/>
          <w:sz w:val="24"/>
          <w:szCs w:val="24"/>
        </w:rPr>
      </w:pPr>
    </w:p>
    <w:p w14:paraId="68BA5D0C" w14:textId="50907E42" w:rsidR="000E5755" w:rsidRDefault="000E5755" w:rsidP="000F61F1">
      <w:pPr>
        <w:pStyle w:val="CommentText"/>
        <w:rPr>
          <w:rFonts w:ascii="Arial" w:hAnsi="Arial" w:cs="Arial"/>
          <w:sz w:val="24"/>
          <w:szCs w:val="24"/>
        </w:rPr>
      </w:pPr>
    </w:p>
    <w:p w14:paraId="52488F34" w14:textId="44AAA6F1" w:rsidR="000E5755" w:rsidRDefault="000E5755" w:rsidP="000F61F1">
      <w:pPr>
        <w:pStyle w:val="CommentText"/>
        <w:rPr>
          <w:rFonts w:ascii="Arial" w:hAnsi="Arial" w:cs="Arial"/>
          <w:sz w:val="24"/>
          <w:szCs w:val="24"/>
        </w:rPr>
      </w:pPr>
    </w:p>
    <w:p w14:paraId="61D3385A" w14:textId="7F25B580" w:rsidR="000E5755" w:rsidRDefault="000E5755" w:rsidP="000F61F1">
      <w:pPr>
        <w:pStyle w:val="CommentText"/>
        <w:rPr>
          <w:rFonts w:ascii="Arial" w:hAnsi="Arial" w:cs="Arial"/>
          <w:sz w:val="24"/>
          <w:szCs w:val="24"/>
        </w:rPr>
      </w:pPr>
    </w:p>
    <w:p w14:paraId="64B0E36A" w14:textId="71113358" w:rsidR="000E5755" w:rsidRDefault="000E5755" w:rsidP="000F61F1">
      <w:pPr>
        <w:pStyle w:val="CommentText"/>
        <w:rPr>
          <w:rFonts w:ascii="Arial" w:hAnsi="Arial" w:cs="Arial"/>
          <w:sz w:val="24"/>
          <w:szCs w:val="24"/>
        </w:rPr>
      </w:pPr>
    </w:p>
    <w:p w14:paraId="3BEBAF01" w14:textId="5BA592E7" w:rsidR="000E5755" w:rsidRDefault="000E5755" w:rsidP="000F61F1">
      <w:pPr>
        <w:pStyle w:val="CommentText"/>
        <w:rPr>
          <w:rFonts w:ascii="Arial" w:hAnsi="Arial" w:cs="Arial"/>
          <w:sz w:val="24"/>
          <w:szCs w:val="24"/>
        </w:rPr>
      </w:pPr>
    </w:p>
    <w:p w14:paraId="7A018414" w14:textId="2734DD24" w:rsidR="000E5755" w:rsidRDefault="000E5755" w:rsidP="000F61F1">
      <w:pPr>
        <w:pStyle w:val="CommentText"/>
        <w:rPr>
          <w:rFonts w:ascii="Arial" w:hAnsi="Arial" w:cs="Arial"/>
          <w:sz w:val="24"/>
          <w:szCs w:val="24"/>
        </w:rPr>
      </w:pPr>
    </w:p>
    <w:sectPr w:rsidR="000E5755" w:rsidSect="00FE38F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D8A6" w14:textId="77777777" w:rsidR="00615281" w:rsidRDefault="00615281" w:rsidP="00CD3F34">
      <w:pPr>
        <w:spacing w:after="0" w:line="240" w:lineRule="auto"/>
      </w:pPr>
      <w:r>
        <w:separator/>
      </w:r>
    </w:p>
  </w:endnote>
  <w:endnote w:type="continuationSeparator" w:id="0">
    <w:p w14:paraId="391BD9D7" w14:textId="77777777" w:rsidR="00615281" w:rsidRDefault="00615281" w:rsidP="00CD3F34">
      <w:pPr>
        <w:spacing w:after="0" w:line="240" w:lineRule="auto"/>
      </w:pPr>
      <w:r>
        <w:continuationSeparator/>
      </w:r>
    </w:p>
  </w:endnote>
  <w:endnote w:type="continuationNotice" w:id="1">
    <w:p w14:paraId="7870805A" w14:textId="77777777" w:rsidR="00615281" w:rsidRDefault="006152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acobs Chronos">
    <w:altName w:val="Calibri"/>
    <w:charset w:val="00"/>
    <w:family w:val="swiss"/>
    <w:pitch w:val="variable"/>
    <w:sig w:usb0="A00000EF" w:usb1="0000E0EB" w:usb2="00000008" w:usb3="00000000" w:csb0="00000001" w:csb1="00000000"/>
  </w:font>
  <w:font w:name="Segoe UI">
    <w:panose1 w:val="020B0502040204020203"/>
    <w:charset w:val="00"/>
    <w:family w:val="swiss"/>
    <w:pitch w:val="variable"/>
    <w:sig w:usb0="E4002EFF" w:usb1="C000E47F" w:usb2="00000009" w:usb3="00000000" w:csb0="000001FF" w:csb1="00000000"/>
  </w:font>
  <w:font w:name="JCFDE K+ Gulliver">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70874312"/>
      <w:docPartObj>
        <w:docPartGallery w:val="Page Numbers (Bottom of Page)"/>
        <w:docPartUnique/>
      </w:docPartObj>
    </w:sdtPr>
    <w:sdtEndPr>
      <w:rPr>
        <w:noProof/>
      </w:rPr>
    </w:sdtEndPr>
    <w:sdtContent>
      <w:p w14:paraId="57E2A61B" w14:textId="21A0FACA" w:rsidR="005F3D8F" w:rsidRPr="009C5C56" w:rsidRDefault="005F3D8F">
        <w:pPr>
          <w:pStyle w:val="Footer"/>
          <w:jc w:val="center"/>
          <w:rPr>
            <w:rFonts w:ascii="Arial" w:hAnsi="Arial" w:cs="Arial"/>
          </w:rPr>
        </w:pPr>
        <w:r w:rsidRPr="009C5C56">
          <w:rPr>
            <w:rFonts w:ascii="Arial" w:hAnsi="Arial" w:cs="Arial"/>
          </w:rPr>
          <w:fldChar w:fldCharType="begin"/>
        </w:r>
        <w:r w:rsidRPr="009C5C56">
          <w:rPr>
            <w:rFonts w:ascii="Arial" w:hAnsi="Arial" w:cs="Arial"/>
          </w:rPr>
          <w:instrText xml:space="preserve"> PAGE   \* MERGEFORMAT </w:instrText>
        </w:r>
        <w:r w:rsidRPr="009C5C56">
          <w:rPr>
            <w:rFonts w:ascii="Arial" w:hAnsi="Arial" w:cs="Arial"/>
          </w:rPr>
          <w:fldChar w:fldCharType="separate"/>
        </w:r>
        <w:r w:rsidRPr="009C5C56">
          <w:rPr>
            <w:rFonts w:ascii="Arial" w:hAnsi="Arial" w:cs="Arial"/>
            <w:noProof/>
          </w:rPr>
          <w:t>2</w:t>
        </w:r>
        <w:r w:rsidRPr="009C5C56">
          <w:rPr>
            <w:rFonts w:ascii="Arial" w:hAnsi="Arial" w:cs="Arial"/>
            <w:noProof/>
          </w:rPr>
          <w:fldChar w:fldCharType="end"/>
        </w:r>
      </w:p>
    </w:sdtContent>
  </w:sdt>
  <w:p w14:paraId="3C8B4103" w14:textId="77777777" w:rsidR="005F3D8F" w:rsidRDefault="005F3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137898"/>
      <w:docPartObj>
        <w:docPartGallery w:val="Page Numbers (Bottom of Page)"/>
        <w:docPartUnique/>
      </w:docPartObj>
    </w:sdtPr>
    <w:sdtEndPr>
      <w:rPr>
        <w:rFonts w:ascii="Arial" w:hAnsi="Arial" w:cs="Arial"/>
        <w:noProof/>
      </w:rPr>
    </w:sdtEndPr>
    <w:sdtContent>
      <w:p w14:paraId="0A1381A6" w14:textId="1B27AF35" w:rsidR="005F3D8F" w:rsidRPr="009C5C56" w:rsidRDefault="005F3D8F">
        <w:pPr>
          <w:pStyle w:val="Footer"/>
          <w:jc w:val="center"/>
          <w:rPr>
            <w:rFonts w:ascii="Arial" w:hAnsi="Arial" w:cs="Arial"/>
          </w:rPr>
        </w:pPr>
        <w:r w:rsidRPr="009C5C56">
          <w:rPr>
            <w:rFonts w:ascii="Arial" w:hAnsi="Arial" w:cs="Arial"/>
          </w:rPr>
          <w:fldChar w:fldCharType="begin"/>
        </w:r>
        <w:r w:rsidRPr="009C5C56">
          <w:rPr>
            <w:rFonts w:ascii="Arial" w:hAnsi="Arial" w:cs="Arial"/>
          </w:rPr>
          <w:instrText xml:space="preserve"> PAGE   \* MERGEFORMAT </w:instrText>
        </w:r>
        <w:r w:rsidRPr="009C5C56">
          <w:rPr>
            <w:rFonts w:ascii="Arial" w:hAnsi="Arial" w:cs="Arial"/>
          </w:rPr>
          <w:fldChar w:fldCharType="separate"/>
        </w:r>
        <w:r w:rsidRPr="009C5C56">
          <w:rPr>
            <w:rFonts w:ascii="Arial" w:hAnsi="Arial" w:cs="Arial"/>
            <w:noProof/>
          </w:rPr>
          <w:t>2</w:t>
        </w:r>
        <w:r w:rsidRPr="009C5C56">
          <w:rPr>
            <w:rFonts w:ascii="Arial" w:hAnsi="Arial" w:cs="Arial"/>
            <w:noProof/>
          </w:rPr>
          <w:fldChar w:fldCharType="end"/>
        </w:r>
      </w:p>
    </w:sdtContent>
  </w:sdt>
  <w:p w14:paraId="12B9524D" w14:textId="77777777" w:rsidR="005F3D8F" w:rsidRDefault="005F3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011E" w14:textId="77777777" w:rsidR="00615281" w:rsidRDefault="00615281" w:rsidP="00CD3F34">
      <w:pPr>
        <w:spacing w:after="0" w:line="240" w:lineRule="auto"/>
      </w:pPr>
      <w:r>
        <w:separator/>
      </w:r>
    </w:p>
  </w:footnote>
  <w:footnote w:type="continuationSeparator" w:id="0">
    <w:p w14:paraId="6DE57895" w14:textId="77777777" w:rsidR="00615281" w:rsidRDefault="00615281" w:rsidP="00CD3F34">
      <w:pPr>
        <w:spacing w:after="0" w:line="240" w:lineRule="auto"/>
      </w:pPr>
      <w:r>
        <w:continuationSeparator/>
      </w:r>
    </w:p>
  </w:footnote>
  <w:footnote w:type="continuationNotice" w:id="1">
    <w:p w14:paraId="6F21D685" w14:textId="77777777" w:rsidR="00615281" w:rsidRDefault="006152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D3BE" w14:textId="1464234D" w:rsidR="005F3D8F" w:rsidRPr="00502BBD" w:rsidRDefault="00000000" w:rsidP="005E3CBF">
    <w:pPr>
      <w:pStyle w:val="Header"/>
      <w:jc w:val="right"/>
      <w:rPr>
        <w:rFonts w:ascii="Arial" w:hAnsi="Arial" w:cs="Arial"/>
      </w:rPr>
    </w:pPr>
    <w:sdt>
      <w:sdtPr>
        <w:rPr>
          <w:rFonts w:ascii="Arial" w:hAnsi="Arial" w:cs="Arial"/>
        </w:rPr>
        <w:alias w:val="Title"/>
        <w:tag w:val=""/>
        <w:id w:val="1873728017"/>
        <w:placeholder>
          <w:docPart w:val="B3C684112FE24A6EA3B7AAAA9BA0C4ED"/>
        </w:placeholder>
        <w:dataBinding w:prefixMappings="xmlns:ns0='http://purl.org/dc/elements/1.1/' xmlns:ns1='http://schemas.openxmlformats.org/package/2006/metadata/core-properties' " w:xpath="/ns1:coreProperties[1]/ns0:title[1]" w:storeItemID="{6C3C8BC8-F283-45AE-878A-BAB7291924A1}"/>
        <w:text/>
      </w:sdtPr>
      <w:sdtContent>
        <w:r w:rsidR="005F3D8F" w:rsidRPr="00502BBD">
          <w:rPr>
            <w:rFonts w:ascii="Arial" w:hAnsi="Arial" w:cs="Arial"/>
          </w:rPr>
          <w:t>Sam Freeman</w:t>
        </w:r>
      </w:sdtContent>
    </w:sdt>
    <w:r w:rsidR="005F3D8F" w:rsidRPr="00502BBD">
      <w:rPr>
        <w:rFonts w:ascii="Arial" w:hAnsi="Arial" w:cs="Arial"/>
      </w:rPr>
      <w:t xml:space="preserve"> | </w:t>
    </w:r>
    <w:sdt>
      <w:sdtPr>
        <w:rPr>
          <w:rFonts w:ascii="Arial" w:hAnsi="Arial" w:cs="Arial"/>
        </w:rPr>
        <w:alias w:val="Author"/>
        <w:tag w:val=""/>
        <w:id w:val="858478379"/>
        <w:placeholder>
          <w:docPart w:val="E06AE22E8A7442E6812811538647CABA"/>
        </w:placeholder>
        <w:dataBinding w:prefixMappings="xmlns:ns0='http://purl.org/dc/elements/1.1/' xmlns:ns1='http://schemas.openxmlformats.org/package/2006/metadata/core-properties' " w:xpath="/ns1:coreProperties[1]/ns0:creator[1]" w:storeItemID="{6C3C8BC8-F283-45AE-878A-BAB7291924A1}"/>
        <w:text/>
      </w:sdtPr>
      <w:sdtContent>
        <w:r w:rsidR="005F3D8F" w:rsidRPr="00502BBD">
          <w:rPr>
            <w:rFonts w:ascii="Arial" w:hAnsi="Arial" w:cs="Arial"/>
          </w:rPr>
          <w:t>K1742054</w:t>
        </w:r>
      </w:sdtContent>
    </w:sdt>
  </w:p>
  <w:p w14:paraId="7AFC5915" w14:textId="77777777" w:rsidR="005F3D8F" w:rsidRDefault="005F3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BE5F" w14:textId="1693B4D4" w:rsidR="005F3D8F" w:rsidRPr="00502BBD" w:rsidRDefault="00000000">
    <w:pPr>
      <w:pStyle w:val="Header"/>
      <w:jc w:val="right"/>
      <w:rPr>
        <w:rFonts w:ascii="Arial" w:hAnsi="Arial" w:cs="Arial"/>
      </w:rPr>
    </w:pPr>
    <w:sdt>
      <w:sdtPr>
        <w:rPr>
          <w:rFonts w:ascii="Arial" w:hAnsi="Arial" w:cs="Arial"/>
        </w:rPr>
        <w:alias w:val="Title"/>
        <w:tag w:val=""/>
        <w:id w:val="664756013"/>
        <w:placeholder>
          <w:docPart w:val="72EA734A35AA4EBC96EA513BC359447E"/>
        </w:placeholder>
        <w:dataBinding w:prefixMappings="xmlns:ns0='http://purl.org/dc/elements/1.1/' xmlns:ns1='http://schemas.openxmlformats.org/package/2006/metadata/core-properties' " w:xpath="/ns1:coreProperties[1]/ns0:title[1]" w:storeItemID="{6C3C8BC8-F283-45AE-878A-BAB7291924A1}"/>
        <w:text/>
      </w:sdtPr>
      <w:sdtContent>
        <w:r w:rsidR="005F3D8F" w:rsidRPr="00502BBD">
          <w:rPr>
            <w:rFonts w:ascii="Arial" w:hAnsi="Arial" w:cs="Arial"/>
          </w:rPr>
          <w:t>Sam Freeman</w:t>
        </w:r>
      </w:sdtContent>
    </w:sdt>
    <w:r w:rsidR="005F3D8F" w:rsidRPr="00502BBD">
      <w:rPr>
        <w:rFonts w:ascii="Arial" w:hAnsi="Arial" w:cs="Arial"/>
      </w:rPr>
      <w:t xml:space="preserve"> | </w:t>
    </w:r>
    <w:sdt>
      <w:sdtPr>
        <w:rPr>
          <w:rFonts w:ascii="Arial" w:hAnsi="Arial" w:cs="Arial"/>
        </w:rPr>
        <w:alias w:val="Author"/>
        <w:tag w:val=""/>
        <w:id w:val="-1677181147"/>
        <w:placeholder>
          <w:docPart w:val="9219F0D0EE094E77AFEDD9E1094D82A9"/>
        </w:placeholder>
        <w:dataBinding w:prefixMappings="xmlns:ns0='http://purl.org/dc/elements/1.1/' xmlns:ns1='http://schemas.openxmlformats.org/package/2006/metadata/core-properties' " w:xpath="/ns1:coreProperties[1]/ns0:creator[1]" w:storeItemID="{6C3C8BC8-F283-45AE-878A-BAB7291924A1}"/>
        <w:text/>
      </w:sdtPr>
      <w:sdtContent>
        <w:r w:rsidR="005F3D8F" w:rsidRPr="00502BBD">
          <w:rPr>
            <w:rFonts w:ascii="Arial" w:hAnsi="Arial" w:cs="Arial"/>
          </w:rPr>
          <w:t>K1742054</w:t>
        </w:r>
      </w:sdtContent>
    </w:sdt>
  </w:p>
  <w:p w14:paraId="10802015" w14:textId="77777777" w:rsidR="005F3D8F" w:rsidRDefault="005F3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5C33"/>
    <w:multiLevelType w:val="hybridMultilevel"/>
    <w:tmpl w:val="8EB06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92063"/>
    <w:multiLevelType w:val="hybridMultilevel"/>
    <w:tmpl w:val="4BF8E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45B38"/>
    <w:multiLevelType w:val="multilevel"/>
    <w:tmpl w:val="7E2AA080"/>
    <w:lvl w:ilvl="0">
      <w:start w:val="1"/>
      <w:numFmt w:val="decimal"/>
      <w:pStyle w:val="Heading1"/>
      <w:lvlText w:val="%1"/>
      <w:lvlJc w:val="left"/>
      <w:pPr>
        <w:ind w:left="432" w:hanging="432"/>
      </w:pPr>
      <w:rPr>
        <w:color w:val="auto"/>
      </w:rPr>
    </w:lvl>
    <w:lvl w:ilvl="1">
      <w:start w:val="1"/>
      <w:numFmt w:val="decimal"/>
      <w:pStyle w:val="Heading2"/>
      <w:lvlText w:val="%1.%2"/>
      <w:lvlJc w:val="left"/>
      <w:pPr>
        <w:ind w:left="718" w:hanging="576"/>
      </w:pPr>
      <w:rPr>
        <w:rFonts w:ascii="Arial" w:hAnsi="Arial" w:cs="Arial" w:hint="default"/>
        <w:color w:val="auto"/>
      </w:rPr>
    </w:lvl>
    <w:lvl w:ilvl="2">
      <w:start w:val="1"/>
      <w:numFmt w:val="decimal"/>
      <w:pStyle w:val="Heading3"/>
      <w:lvlText w:val="%1.%2.%3"/>
      <w:lvlJc w:val="left"/>
      <w:pPr>
        <w:ind w:left="720" w:hanging="720"/>
      </w:pPr>
      <w:rPr>
        <w:rFonts w:ascii="Arial" w:hAnsi="Arial" w:cs="Arial" w:hint="default"/>
        <w:b/>
        <w:bCs/>
        <w:color w:val="auto"/>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44721A"/>
    <w:multiLevelType w:val="hybridMultilevel"/>
    <w:tmpl w:val="1D362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31D39"/>
    <w:multiLevelType w:val="hybridMultilevel"/>
    <w:tmpl w:val="A1C2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40499"/>
    <w:multiLevelType w:val="hybridMultilevel"/>
    <w:tmpl w:val="3112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05ACF"/>
    <w:multiLevelType w:val="hybridMultilevel"/>
    <w:tmpl w:val="096C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152983">
    <w:abstractNumId w:val="0"/>
  </w:num>
  <w:num w:numId="2" w16cid:durableId="1498882412">
    <w:abstractNumId w:val="5"/>
  </w:num>
  <w:num w:numId="3" w16cid:durableId="1400207265">
    <w:abstractNumId w:val="2"/>
  </w:num>
  <w:num w:numId="4" w16cid:durableId="1933312780">
    <w:abstractNumId w:val="4"/>
  </w:num>
  <w:num w:numId="5" w16cid:durableId="1391535134">
    <w:abstractNumId w:val="6"/>
  </w:num>
  <w:num w:numId="6" w16cid:durableId="112526786">
    <w:abstractNumId w:val="3"/>
  </w:num>
  <w:num w:numId="7" w16cid:durableId="1377243010">
    <w:abstractNumId w:val="2"/>
  </w:num>
  <w:num w:numId="8" w16cid:durableId="485249130">
    <w:abstractNumId w:val="2"/>
  </w:num>
  <w:num w:numId="9" w16cid:durableId="1441299969">
    <w:abstractNumId w:val="2"/>
  </w:num>
  <w:num w:numId="10" w16cid:durableId="877006043">
    <w:abstractNumId w:val="2"/>
  </w:num>
  <w:num w:numId="11" w16cid:durableId="52781967">
    <w:abstractNumId w:val="2"/>
  </w:num>
  <w:num w:numId="12" w16cid:durableId="911963262">
    <w:abstractNumId w:val="2"/>
  </w:num>
  <w:num w:numId="13" w16cid:durableId="350492196">
    <w:abstractNumId w:val="2"/>
  </w:num>
  <w:num w:numId="14" w16cid:durableId="723676357">
    <w:abstractNumId w:val="2"/>
  </w:num>
  <w:num w:numId="15" w16cid:durableId="386148223">
    <w:abstractNumId w:val="2"/>
  </w:num>
  <w:num w:numId="16" w16cid:durableId="1742436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8469868">
    <w:abstractNumId w:val="2"/>
  </w:num>
  <w:num w:numId="18" w16cid:durableId="296879284">
    <w:abstractNumId w:val="2"/>
  </w:num>
  <w:num w:numId="19" w16cid:durableId="869802295">
    <w:abstractNumId w:val="2"/>
  </w:num>
  <w:num w:numId="20" w16cid:durableId="661927770">
    <w:abstractNumId w:val="2"/>
  </w:num>
  <w:num w:numId="21" w16cid:durableId="2050645667">
    <w:abstractNumId w:val="2"/>
  </w:num>
  <w:num w:numId="22" w16cid:durableId="1331568284">
    <w:abstractNumId w:val="2"/>
  </w:num>
  <w:num w:numId="23" w16cid:durableId="77361989">
    <w:abstractNumId w:val="2"/>
  </w:num>
  <w:num w:numId="24" w16cid:durableId="853307584">
    <w:abstractNumId w:val="2"/>
  </w:num>
  <w:num w:numId="25" w16cid:durableId="216551829">
    <w:abstractNumId w:val="2"/>
  </w:num>
  <w:num w:numId="26" w16cid:durableId="1327436977">
    <w:abstractNumId w:val="2"/>
  </w:num>
  <w:num w:numId="27" w16cid:durableId="1081296193">
    <w:abstractNumId w:val="2"/>
  </w:num>
  <w:num w:numId="28" w16cid:durableId="1400900856">
    <w:abstractNumId w:val="2"/>
  </w:num>
  <w:num w:numId="29" w16cid:durableId="1061756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1637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89187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2587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3184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0051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9427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2907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328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54104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3390013">
    <w:abstractNumId w:val="2"/>
  </w:num>
  <w:num w:numId="40" w16cid:durableId="223683718">
    <w:abstractNumId w:val="2"/>
  </w:num>
  <w:num w:numId="41" w16cid:durableId="1974558382">
    <w:abstractNumId w:val="2"/>
  </w:num>
  <w:num w:numId="42" w16cid:durableId="870804137">
    <w:abstractNumId w:val="2"/>
  </w:num>
  <w:num w:numId="43" w16cid:durableId="1950501000">
    <w:abstractNumId w:val="2"/>
  </w:num>
  <w:num w:numId="44" w16cid:durableId="677122041">
    <w:abstractNumId w:val="2"/>
  </w:num>
  <w:num w:numId="45" w16cid:durableId="1976983880">
    <w:abstractNumId w:val="2"/>
  </w:num>
  <w:num w:numId="46" w16cid:durableId="232013771">
    <w:abstractNumId w:val="2"/>
  </w:num>
  <w:num w:numId="47" w16cid:durableId="496650122">
    <w:abstractNumId w:val="2"/>
  </w:num>
  <w:num w:numId="48" w16cid:durableId="2032491789">
    <w:abstractNumId w:val="2"/>
  </w:num>
  <w:num w:numId="49" w16cid:durableId="892422008">
    <w:abstractNumId w:val="2"/>
  </w:num>
  <w:num w:numId="50" w16cid:durableId="105972063">
    <w:abstractNumId w:val="2"/>
  </w:num>
  <w:num w:numId="51" w16cid:durableId="1732849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30631809">
    <w:abstractNumId w:val="2"/>
  </w:num>
  <w:num w:numId="53" w16cid:durableId="1810440589">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EF"/>
    <w:rsid w:val="000003F1"/>
    <w:rsid w:val="000005AC"/>
    <w:rsid w:val="000011BD"/>
    <w:rsid w:val="000011C3"/>
    <w:rsid w:val="000011FE"/>
    <w:rsid w:val="00001EB7"/>
    <w:rsid w:val="00002514"/>
    <w:rsid w:val="00003199"/>
    <w:rsid w:val="00003786"/>
    <w:rsid w:val="000037AB"/>
    <w:rsid w:val="00003BD3"/>
    <w:rsid w:val="00003E49"/>
    <w:rsid w:val="00003F0D"/>
    <w:rsid w:val="00003FFC"/>
    <w:rsid w:val="00004041"/>
    <w:rsid w:val="000040D4"/>
    <w:rsid w:val="00005002"/>
    <w:rsid w:val="00005425"/>
    <w:rsid w:val="00005739"/>
    <w:rsid w:val="00005856"/>
    <w:rsid w:val="000065E0"/>
    <w:rsid w:val="000066AF"/>
    <w:rsid w:val="00006EEF"/>
    <w:rsid w:val="00007064"/>
    <w:rsid w:val="00007368"/>
    <w:rsid w:val="000073F7"/>
    <w:rsid w:val="000074F6"/>
    <w:rsid w:val="00007B17"/>
    <w:rsid w:val="00010562"/>
    <w:rsid w:val="000107BB"/>
    <w:rsid w:val="00010C26"/>
    <w:rsid w:val="00011596"/>
    <w:rsid w:val="00011BE4"/>
    <w:rsid w:val="00011D24"/>
    <w:rsid w:val="00011EA9"/>
    <w:rsid w:val="00011F38"/>
    <w:rsid w:val="000123F5"/>
    <w:rsid w:val="000128EA"/>
    <w:rsid w:val="00012B4E"/>
    <w:rsid w:val="000132E9"/>
    <w:rsid w:val="00013571"/>
    <w:rsid w:val="00013B1E"/>
    <w:rsid w:val="00013D2A"/>
    <w:rsid w:val="0001423B"/>
    <w:rsid w:val="00014445"/>
    <w:rsid w:val="00014662"/>
    <w:rsid w:val="00015162"/>
    <w:rsid w:val="000154CF"/>
    <w:rsid w:val="000156E7"/>
    <w:rsid w:val="0001586B"/>
    <w:rsid w:val="00015D58"/>
    <w:rsid w:val="00015ED1"/>
    <w:rsid w:val="000170ED"/>
    <w:rsid w:val="00017558"/>
    <w:rsid w:val="000176B2"/>
    <w:rsid w:val="00017B32"/>
    <w:rsid w:val="00020119"/>
    <w:rsid w:val="0002013C"/>
    <w:rsid w:val="00020295"/>
    <w:rsid w:val="00020318"/>
    <w:rsid w:val="000209F9"/>
    <w:rsid w:val="00020C62"/>
    <w:rsid w:val="00020E88"/>
    <w:rsid w:val="00020F9B"/>
    <w:rsid w:val="0002178C"/>
    <w:rsid w:val="00021AF5"/>
    <w:rsid w:val="00021C70"/>
    <w:rsid w:val="00022112"/>
    <w:rsid w:val="0002217E"/>
    <w:rsid w:val="00023339"/>
    <w:rsid w:val="000233A6"/>
    <w:rsid w:val="00023691"/>
    <w:rsid w:val="00024136"/>
    <w:rsid w:val="000245C5"/>
    <w:rsid w:val="00024AE7"/>
    <w:rsid w:val="00024C42"/>
    <w:rsid w:val="000250C5"/>
    <w:rsid w:val="000252B3"/>
    <w:rsid w:val="0002533B"/>
    <w:rsid w:val="00025632"/>
    <w:rsid w:val="00025E2D"/>
    <w:rsid w:val="00026249"/>
    <w:rsid w:val="000268E3"/>
    <w:rsid w:val="00026959"/>
    <w:rsid w:val="00026D77"/>
    <w:rsid w:val="00026DB9"/>
    <w:rsid w:val="000278DF"/>
    <w:rsid w:val="00027C2C"/>
    <w:rsid w:val="00027DF4"/>
    <w:rsid w:val="00027F92"/>
    <w:rsid w:val="00030B47"/>
    <w:rsid w:val="00030C36"/>
    <w:rsid w:val="00032683"/>
    <w:rsid w:val="00032A82"/>
    <w:rsid w:val="00033100"/>
    <w:rsid w:val="000331E1"/>
    <w:rsid w:val="00034543"/>
    <w:rsid w:val="000350A9"/>
    <w:rsid w:val="000354A8"/>
    <w:rsid w:val="00035D15"/>
    <w:rsid w:val="00035E58"/>
    <w:rsid w:val="00036861"/>
    <w:rsid w:val="00036C89"/>
    <w:rsid w:val="00036F55"/>
    <w:rsid w:val="000373C6"/>
    <w:rsid w:val="00037626"/>
    <w:rsid w:val="000378DD"/>
    <w:rsid w:val="00037B1A"/>
    <w:rsid w:val="0004079E"/>
    <w:rsid w:val="00040C14"/>
    <w:rsid w:val="00040C9C"/>
    <w:rsid w:val="00040CEA"/>
    <w:rsid w:val="00040EB9"/>
    <w:rsid w:val="00041517"/>
    <w:rsid w:val="000415BF"/>
    <w:rsid w:val="00041AAD"/>
    <w:rsid w:val="000422D9"/>
    <w:rsid w:val="000427CB"/>
    <w:rsid w:val="00043A2C"/>
    <w:rsid w:val="00043EFB"/>
    <w:rsid w:val="00043FDE"/>
    <w:rsid w:val="000447C3"/>
    <w:rsid w:val="00044897"/>
    <w:rsid w:val="00044AE2"/>
    <w:rsid w:val="00044DFF"/>
    <w:rsid w:val="0004566D"/>
    <w:rsid w:val="00045671"/>
    <w:rsid w:val="0004593D"/>
    <w:rsid w:val="00045984"/>
    <w:rsid w:val="00045A88"/>
    <w:rsid w:val="000466EF"/>
    <w:rsid w:val="0004671D"/>
    <w:rsid w:val="00046A95"/>
    <w:rsid w:val="00047191"/>
    <w:rsid w:val="000472E8"/>
    <w:rsid w:val="00047436"/>
    <w:rsid w:val="0004755C"/>
    <w:rsid w:val="00047A2F"/>
    <w:rsid w:val="00047B08"/>
    <w:rsid w:val="00050124"/>
    <w:rsid w:val="000508A8"/>
    <w:rsid w:val="000509A1"/>
    <w:rsid w:val="00051FA1"/>
    <w:rsid w:val="00052813"/>
    <w:rsid w:val="0005285F"/>
    <w:rsid w:val="00052E33"/>
    <w:rsid w:val="000531B2"/>
    <w:rsid w:val="000533DB"/>
    <w:rsid w:val="00053EC1"/>
    <w:rsid w:val="0005407E"/>
    <w:rsid w:val="000542CA"/>
    <w:rsid w:val="000548F1"/>
    <w:rsid w:val="00054A20"/>
    <w:rsid w:val="00054AEB"/>
    <w:rsid w:val="00054B7C"/>
    <w:rsid w:val="00055892"/>
    <w:rsid w:val="00055F29"/>
    <w:rsid w:val="00056BA8"/>
    <w:rsid w:val="00056BE3"/>
    <w:rsid w:val="00056C90"/>
    <w:rsid w:val="00056F9B"/>
    <w:rsid w:val="00057565"/>
    <w:rsid w:val="00057C21"/>
    <w:rsid w:val="000601B0"/>
    <w:rsid w:val="00060498"/>
    <w:rsid w:val="00060809"/>
    <w:rsid w:val="00060F76"/>
    <w:rsid w:val="00061ED4"/>
    <w:rsid w:val="00061F37"/>
    <w:rsid w:val="00062031"/>
    <w:rsid w:val="00062393"/>
    <w:rsid w:val="00062A64"/>
    <w:rsid w:val="00062C3D"/>
    <w:rsid w:val="00063012"/>
    <w:rsid w:val="000634EA"/>
    <w:rsid w:val="000638B3"/>
    <w:rsid w:val="00063A6B"/>
    <w:rsid w:val="00063BD4"/>
    <w:rsid w:val="00063E90"/>
    <w:rsid w:val="00064247"/>
    <w:rsid w:val="000654E7"/>
    <w:rsid w:val="0006574F"/>
    <w:rsid w:val="00065F3B"/>
    <w:rsid w:val="00066BBA"/>
    <w:rsid w:val="00066E88"/>
    <w:rsid w:val="00067A36"/>
    <w:rsid w:val="00067B5D"/>
    <w:rsid w:val="0007047F"/>
    <w:rsid w:val="00070623"/>
    <w:rsid w:val="00070767"/>
    <w:rsid w:val="00071083"/>
    <w:rsid w:val="00071307"/>
    <w:rsid w:val="000715CF"/>
    <w:rsid w:val="0007168B"/>
    <w:rsid w:val="00071AEB"/>
    <w:rsid w:val="00071EA6"/>
    <w:rsid w:val="00072C5D"/>
    <w:rsid w:val="00072D79"/>
    <w:rsid w:val="0007342C"/>
    <w:rsid w:val="00073C33"/>
    <w:rsid w:val="00073FF2"/>
    <w:rsid w:val="0007402E"/>
    <w:rsid w:val="00074AF0"/>
    <w:rsid w:val="000755DD"/>
    <w:rsid w:val="00075C37"/>
    <w:rsid w:val="00075FAE"/>
    <w:rsid w:val="0007630E"/>
    <w:rsid w:val="00076A7F"/>
    <w:rsid w:val="0007706A"/>
    <w:rsid w:val="00077339"/>
    <w:rsid w:val="00077378"/>
    <w:rsid w:val="00080799"/>
    <w:rsid w:val="00080A4B"/>
    <w:rsid w:val="0008125E"/>
    <w:rsid w:val="0008126F"/>
    <w:rsid w:val="0008190F"/>
    <w:rsid w:val="00081DF3"/>
    <w:rsid w:val="000823C3"/>
    <w:rsid w:val="0008352E"/>
    <w:rsid w:val="00083E12"/>
    <w:rsid w:val="00084186"/>
    <w:rsid w:val="0008420E"/>
    <w:rsid w:val="000842BE"/>
    <w:rsid w:val="000843C1"/>
    <w:rsid w:val="0008451B"/>
    <w:rsid w:val="000847A2"/>
    <w:rsid w:val="00084821"/>
    <w:rsid w:val="00084AA0"/>
    <w:rsid w:val="00084B1C"/>
    <w:rsid w:val="00084BD1"/>
    <w:rsid w:val="00084E40"/>
    <w:rsid w:val="00084E8D"/>
    <w:rsid w:val="0008545D"/>
    <w:rsid w:val="00086A2D"/>
    <w:rsid w:val="00086C23"/>
    <w:rsid w:val="00086F6B"/>
    <w:rsid w:val="0008701B"/>
    <w:rsid w:val="000876E9"/>
    <w:rsid w:val="00087893"/>
    <w:rsid w:val="000906F8"/>
    <w:rsid w:val="00090FB3"/>
    <w:rsid w:val="0009265E"/>
    <w:rsid w:val="000926C6"/>
    <w:rsid w:val="00092B06"/>
    <w:rsid w:val="00092C74"/>
    <w:rsid w:val="00092D03"/>
    <w:rsid w:val="00092E64"/>
    <w:rsid w:val="00093328"/>
    <w:rsid w:val="00093F7E"/>
    <w:rsid w:val="000946F0"/>
    <w:rsid w:val="00094799"/>
    <w:rsid w:val="0009554D"/>
    <w:rsid w:val="0009561B"/>
    <w:rsid w:val="000956F5"/>
    <w:rsid w:val="000958DE"/>
    <w:rsid w:val="0009591C"/>
    <w:rsid w:val="00095C72"/>
    <w:rsid w:val="00095D2B"/>
    <w:rsid w:val="00096769"/>
    <w:rsid w:val="00096BDF"/>
    <w:rsid w:val="0009777B"/>
    <w:rsid w:val="00097914"/>
    <w:rsid w:val="00097D38"/>
    <w:rsid w:val="00097E33"/>
    <w:rsid w:val="000A0B9E"/>
    <w:rsid w:val="000A19B6"/>
    <w:rsid w:val="000A1D59"/>
    <w:rsid w:val="000A1FCA"/>
    <w:rsid w:val="000A2185"/>
    <w:rsid w:val="000A21BA"/>
    <w:rsid w:val="000A277A"/>
    <w:rsid w:val="000A291F"/>
    <w:rsid w:val="000A2EC5"/>
    <w:rsid w:val="000A2F5D"/>
    <w:rsid w:val="000A327B"/>
    <w:rsid w:val="000A3896"/>
    <w:rsid w:val="000A3908"/>
    <w:rsid w:val="000A4267"/>
    <w:rsid w:val="000A4882"/>
    <w:rsid w:val="000A5147"/>
    <w:rsid w:val="000A5433"/>
    <w:rsid w:val="000A5865"/>
    <w:rsid w:val="000A5F1B"/>
    <w:rsid w:val="000A600B"/>
    <w:rsid w:val="000A655D"/>
    <w:rsid w:val="000A6844"/>
    <w:rsid w:val="000A72C7"/>
    <w:rsid w:val="000A77AB"/>
    <w:rsid w:val="000A7E7C"/>
    <w:rsid w:val="000B02C0"/>
    <w:rsid w:val="000B16A4"/>
    <w:rsid w:val="000B1766"/>
    <w:rsid w:val="000B18AC"/>
    <w:rsid w:val="000B1E83"/>
    <w:rsid w:val="000B2404"/>
    <w:rsid w:val="000B24F0"/>
    <w:rsid w:val="000B354A"/>
    <w:rsid w:val="000B37BF"/>
    <w:rsid w:val="000B3835"/>
    <w:rsid w:val="000B4140"/>
    <w:rsid w:val="000B44F5"/>
    <w:rsid w:val="000B4533"/>
    <w:rsid w:val="000B4C7A"/>
    <w:rsid w:val="000B4D57"/>
    <w:rsid w:val="000B52E9"/>
    <w:rsid w:val="000B5547"/>
    <w:rsid w:val="000B5F32"/>
    <w:rsid w:val="000B6116"/>
    <w:rsid w:val="000B624C"/>
    <w:rsid w:val="000B65F8"/>
    <w:rsid w:val="000B6712"/>
    <w:rsid w:val="000B67FF"/>
    <w:rsid w:val="000B683D"/>
    <w:rsid w:val="000C032F"/>
    <w:rsid w:val="000C03F4"/>
    <w:rsid w:val="000C1191"/>
    <w:rsid w:val="000C1834"/>
    <w:rsid w:val="000C1C4B"/>
    <w:rsid w:val="000C1E30"/>
    <w:rsid w:val="000C2BAC"/>
    <w:rsid w:val="000C2FEA"/>
    <w:rsid w:val="000C4407"/>
    <w:rsid w:val="000C4A0D"/>
    <w:rsid w:val="000C4F2B"/>
    <w:rsid w:val="000C56F1"/>
    <w:rsid w:val="000C5FDB"/>
    <w:rsid w:val="000C607B"/>
    <w:rsid w:val="000C6BB5"/>
    <w:rsid w:val="000C70AD"/>
    <w:rsid w:val="000C75CB"/>
    <w:rsid w:val="000C7864"/>
    <w:rsid w:val="000C7AD5"/>
    <w:rsid w:val="000D00F5"/>
    <w:rsid w:val="000D1216"/>
    <w:rsid w:val="000D1400"/>
    <w:rsid w:val="000D1AEF"/>
    <w:rsid w:val="000D1EC8"/>
    <w:rsid w:val="000D25DB"/>
    <w:rsid w:val="000D2A14"/>
    <w:rsid w:val="000D2B17"/>
    <w:rsid w:val="000D2BE5"/>
    <w:rsid w:val="000D2CB7"/>
    <w:rsid w:val="000D3160"/>
    <w:rsid w:val="000D53EF"/>
    <w:rsid w:val="000D598C"/>
    <w:rsid w:val="000D6739"/>
    <w:rsid w:val="000D693E"/>
    <w:rsid w:val="000D6B3C"/>
    <w:rsid w:val="000D749D"/>
    <w:rsid w:val="000D7821"/>
    <w:rsid w:val="000E09BB"/>
    <w:rsid w:val="000E0BB8"/>
    <w:rsid w:val="000E0BDC"/>
    <w:rsid w:val="000E0F97"/>
    <w:rsid w:val="000E144E"/>
    <w:rsid w:val="000E14FE"/>
    <w:rsid w:val="000E174D"/>
    <w:rsid w:val="000E1BA1"/>
    <w:rsid w:val="000E1D9E"/>
    <w:rsid w:val="000E205E"/>
    <w:rsid w:val="000E2639"/>
    <w:rsid w:val="000E2967"/>
    <w:rsid w:val="000E301D"/>
    <w:rsid w:val="000E321A"/>
    <w:rsid w:val="000E358C"/>
    <w:rsid w:val="000E4471"/>
    <w:rsid w:val="000E4A81"/>
    <w:rsid w:val="000E51BC"/>
    <w:rsid w:val="000E51FE"/>
    <w:rsid w:val="000E55E5"/>
    <w:rsid w:val="000E5755"/>
    <w:rsid w:val="000E5C56"/>
    <w:rsid w:val="000E680D"/>
    <w:rsid w:val="000E7A29"/>
    <w:rsid w:val="000E7D0B"/>
    <w:rsid w:val="000E7D25"/>
    <w:rsid w:val="000F0288"/>
    <w:rsid w:val="000F0741"/>
    <w:rsid w:val="000F0B03"/>
    <w:rsid w:val="000F0B84"/>
    <w:rsid w:val="000F0BF6"/>
    <w:rsid w:val="000F123F"/>
    <w:rsid w:val="000F1E16"/>
    <w:rsid w:val="000F1EA3"/>
    <w:rsid w:val="000F2255"/>
    <w:rsid w:val="000F2842"/>
    <w:rsid w:val="000F2DBF"/>
    <w:rsid w:val="000F2E1B"/>
    <w:rsid w:val="000F2F7B"/>
    <w:rsid w:val="000F37CD"/>
    <w:rsid w:val="000F3FC5"/>
    <w:rsid w:val="000F4435"/>
    <w:rsid w:val="000F469F"/>
    <w:rsid w:val="000F4B5F"/>
    <w:rsid w:val="000F4CF4"/>
    <w:rsid w:val="000F5F33"/>
    <w:rsid w:val="000F61F1"/>
    <w:rsid w:val="000F69BD"/>
    <w:rsid w:val="000F6AB4"/>
    <w:rsid w:val="000F7368"/>
    <w:rsid w:val="000F7621"/>
    <w:rsid w:val="00100040"/>
    <w:rsid w:val="001002D9"/>
    <w:rsid w:val="001004D1"/>
    <w:rsid w:val="00100A5B"/>
    <w:rsid w:val="001021EF"/>
    <w:rsid w:val="0010251A"/>
    <w:rsid w:val="0010262D"/>
    <w:rsid w:val="001026E1"/>
    <w:rsid w:val="001028DA"/>
    <w:rsid w:val="001034C0"/>
    <w:rsid w:val="001039A1"/>
    <w:rsid w:val="00103AA1"/>
    <w:rsid w:val="001045C7"/>
    <w:rsid w:val="00104719"/>
    <w:rsid w:val="00104854"/>
    <w:rsid w:val="00104B39"/>
    <w:rsid w:val="00104BB2"/>
    <w:rsid w:val="00105743"/>
    <w:rsid w:val="001058EA"/>
    <w:rsid w:val="00105C19"/>
    <w:rsid w:val="00105C2C"/>
    <w:rsid w:val="00105CB6"/>
    <w:rsid w:val="00105EA4"/>
    <w:rsid w:val="001061A6"/>
    <w:rsid w:val="001066DA"/>
    <w:rsid w:val="001067F7"/>
    <w:rsid w:val="00106844"/>
    <w:rsid w:val="00106D93"/>
    <w:rsid w:val="00106EB5"/>
    <w:rsid w:val="00107684"/>
    <w:rsid w:val="00107751"/>
    <w:rsid w:val="00107C5F"/>
    <w:rsid w:val="00107D1A"/>
    <w:rsid w:val="001103A4"/>
    <w:rsid w:val="001105CB"/>
    <w:rsid w:val="001108CA"/>
    <w:rsid w:val="001109D2"/>
    <w:rsid w:val="00111432"/>
    <w:rsid w:val="00111592"/>
    <w:rsid w:val="001115C2"/>
    <w:rsid w:val="001118AE"/>
    <w:rsid w:val="001126C0"/>
    <w:rsid w:val="0011382C"/>
    <w:rsid w:val="0011397C"/>
    <w:rsid w:val="001139BC"/>
    <w:rsid w:val="0011405D"/>
    <w:rsid w:val="00114577"/>
    <w:rsid w:val="0011458A"/>
    <w:rsid w:val="0011479E"/>
    <w:rsid w:val="00114D9E"/>
    <w:rsid w:val="00114DE1"/>
    <w:rsid w:val="00115609"/>
    <w:rsid w:val="0011610F"/>
    <w:rsid w:val="001162AC"/>
    <w:rsid w:val="00116D42"/>
    <w:rsid w:val="0011756B"/>
    <w:rsid w:val="00117977"/>
    <w:rsid w:val="0012023D"/>
    <w:rsid w:val="00120B6E"/>
    <w:rsid w:val="001218D8"/>
    <w:rsid w:val="001223C3"/>
    <w:rsid w:val="00123019"/>
    <w:rsid w:val="0012311D"/>
    <w:rsid w:val="0012359E"/>
    <w:rsid w:val="00123718"/>
    <w:rsid w:val="00123772"/>
    <w:rsid w:val="00123B60"/>
    <w:rsid w:val="00123FFB"/>
    <w:rsid w:val="0012405E"/>
    <w:rsid w:val="00124559"/>
    <w:rsid w:val="00124700"/>
    <w:rsid w:val="00124A2C"/>
    <w:rsid w:val="00124AB7"/>
    <w:rsid w:val="001262A9"/>
    <w:rsid w:val="00126358"/>
    <w:rsid w:val="00126492"/>
    <w:rsid w:val="00126B04"/>
    <w:rsid w:val="001271C9"/>
    <w:rsid w:val="0012743B"/>
    <w:rsid w:val="00127455"/>
    <w:rsid w:val="00127469"/>
    <w:rsid w:val="00127558"/>
    <w:rsid w:val="00127964"/>
    <w:rsid w:val="00127A72"/>
    <w:rsid w:val="001302F2"/>
    <w:rsid w:val="00130555"/>
    <w:rsid w:val="00130856"/>
    <w:rsid w:val="00131BC7"/>
    <w:rsid w:val="0013331E"/>
    <w:rsid w:val="00133B78"/>
    <w:rsid w:val="00133CDC"/>
    <w:rsid w:val="00134341"/>
    <w:rsid w:val="001344BD"/>
    <w:rsid w:val="001345CB"/>
    <w:rsid w:val="0013506E"/>
    <w:rsid w:val="00135329"/>
    <w:rsid w:val="00135564"/>
    <w:rsid w:val="00136497"/>
    <w:rsid w:val="00136768"/>
    <w:rsid w:val="00136CE6"/>
    <w:rsid w:val="00136E06"/>
    <w:rsid w:val="00137560"/>
    <w:rsid w:val="001376BF"/>
    <w:rsid w:val="0013785E"/>
    <w:rsid w:val="00137EBA"/>
    <w:rsid w:val="00140584"/>
    <w:rsid w:val="00140E90"/>
    <w:rsid w:val="00141506"/>
    <w:rsid w:val="00141759"/>
    <w:rsid w:val="00141CC0"/>
    <w:rsid w:val="00142845"/>
    <w:rsid w:val="001437E5"/>
    <w:rsid w:val="0014380D"/>
    <w:rsid w:val="00143C8B"/>
    <w:rsid w:val="001444F2"/>
    <w:rsid w:val="0014453E"/>
    <w:rsid w:val="001446DB"/>
    <w:rsid w:val="001449B1"/>
    <w:rsid w:val="00144CEF"/>
    <w:rsid w:val="00145A5A"/>
    <w:rsid w:val="00146022"/>
    <w:rsid w:val="001462C2"/>
    <w:rsid w:val="001465C2"/>
    <w:rsid w:val="00146C8B"/>
    <w:rsid w:val="00146D11"/>
    <w:rsid w:val="0014765E"/>
    <w:rsid w:val="00147960"/>
    <w:rsid w:val="00150035"/>
    <w:rsid w:val="00150036"/>
    <w:rsid w:val="001505A7"/>
    <w:rsid w:val="00150C87"/>
    <w:rsid w:val="00150EB9"/>
    <w:rsid w:val="001510E9"/>
    <w:rsid w:val="0015172C"/>
    <w:rsid w:val="00151C5C"/>
    <w:rsid w:val="001526DA"/>
    <w:rsid w:val="0015273C"/>
    <w:rsid w:val="00152BBA"/>
    <w:rsid w:val="00152CD6"/>
    <w:rsid w:val="0015386A"/>
    <w:rsid w:val="00153EE4"/>
    <w:rsid w:val="001548BF"/>
    <w:rsid w:val="0015491A"/>
    <w:rsid w:val="001549F2"/>
    <w:rsid w:val="00154AB8"/>
    <w:rsid w:val="00154CB8"/>
    <w:rsid w:val="001550B6"/>
    <w:rsid w:val="00155462"/>
    <w:rsid w:val="00155778"/>
    <w:rsid w:val="001561B0"/>
    <w:rsid w:val="001568F6"/>
    <w:rsid w:val="00156F73"/>
    <w:rsid w:val="00157121"/>
    <w:rsid w:val="001574C5"/>
    <w:rsid w:val="001579F5"/>
    <w:rsid w:val="001601B4"/>
    <w:rsid w:val="00160AC0"/>
    <w:rsid w:val="00160E30"/>
    <w:rsid w:val="001614B4"/>
    <w:rsid w:val="001614E3"/>
    <w:rsid w:val="00161E68"/>
    <w:rsid w:val="001623D8"/>
    <w:rsid w:val="00162EBA"/>
    <w:rsid w:val="00163532"/>
    <w:rsid w:val="00163683"/>
    <w:rsid w:val="00163927"/>
    <w:rsid w:val="00163CBD"/>
    <w:rsid w:val="00163CC0"/>
    <w:rsid w:val="00165634"/>
    <w:rsid w:val="00165BBA"/>
    <w:rsid w:val="00165E71"/>
    <w:rsid w:val="00166770"/>
    <w:rsid w:val="0016714B"/>
    <w:rsid w:val="00167664"/>
    <w:rsid w:val="00167C58"/>
    <w:rsid w:val="00167F78"/>
    <w:rsid w:val="0017018A"/>
    <w:rsid w:val="00170774"/>
    <w:rsid w:val="00170C7E"/>
    <w:rsid w:val="0017124D"/>
    <w:rsid w:val="0017137D"/>
    <w:rsid w:val="00172B94"/>
    <w:rsid w:val="00173206"/>
    <w:rsid w:val="00173224"/>
    <w:rsid w:val="001732A8"/>
    <w:rsid w:val="00173315"/>
    <w:rsid w:val="001734FA"/>
    <w:rsid w:val="001735C8"/>
    <w:rsid w:val="00174B03"/>
    <w:rsid w:val="00174BD6"/>
    <w:rsid w:val="00174DB4"/>
    <w:rsid w:val="00174F30"/>
    <w:rsid w:val="001756CD"/>
    <w:rsid w:val="001764A4"/>
    <w:rsid w:val="00176526"/>
    <w:rsid w:val="00176AB7"/>
    <w:rsid w:val="00177426"/>
    <w:rsid w:val="0017761E"/>
    <w:rsid w:val="001778C8"/>
    <w:rsid w:val="00177A6C"/>
    <w:rsid w:val="00177C49"/>
    <w:rsid w:val="0018061F"/>
    <w:rsid w:val="001811B6"/>
    <w:rsid w:val="00181490"/>
    <w:rsid w:val="00181920"/>
    <w:rsid w:val="00181931"/>
    <w:rsid w:val="00181DEA"/>
    <w:rsid w:val="00182527"/>
    <w:rsid w:val="00182670"/>
    <w:rsid w:val="001839F2"/>
    <w:rsid w:val="001840AA"/>
    <w:rsid w:val="00184290"/>
    <w:rsid w:val="001842F2"/>
    <w:rsid w:val="001849B4"/>
    <w:rsid w:val="00184CD3"/>
    <w:rsid w:val="00185E57"/>
    <w:rsid w:val="001861E6"/>
    <w:rsid w:val="00186B09"/>
    <w:rsid w:val="001872E9"/>
    <w:rsid w:val="00187850"/>
    <w:rsid w:val="00187C56"/>
    <w:rsid w:val="00187C69"/>
    <w:rsid w:val="00187EA1"/>
    <w:rsid w:val="001900FA"/>
    <w:rsid w:val="001907A5"/>
    <w:rsid w:val="00192078"/>
    <w:rsid w:val="00192218"/>
    <w:rsid w:val="001924FD"/>
    <w:rsid w:val="0019257A"/>
    <w:rsid w:val="001930E0"/>
    <w:rsid w:val="001935DB"/>
    <w:rsid w:val="0019435E"/>
    <w:rsid w:val="00194509"/>
    <w:rsid w:val="00195542"/>
    <w:rsid w:val="001955BF"/>
    <w:rsid w:val="00195AD1"/>
    <w:rsid w:val="00195C90"/>
    <w:rsid w:val="00195F2F"/>
    <w:rsid w:val="00196023"/>
    <w:rsid w:val="001961DE"/>
    <w:rsid w:val="00196706"/>
    <w:rsid w:val="0019683A"/>
    <w:rsid w:val="00196AD1"/>
    <w:rsid w:val="00197527"/>
    <w:rsid w:val="00197A96"/>
    <w:rsid w:val="00197D16"/>
    <w:rsid w:val="001A03D9"/>
    <w:rsid w:val="001A0989"/>
    <w:rsid w:val="001A0C8D"/>
    <w:rsid w:val="001A0CE6"/>
    <w:rsid w:val="001A1C58"/>
    <w:rsid w:val="001A1D39"/>
    <w:rsid w:val="001A1FD3"/>
    <w:rsid w:val="001A243D"/>
    <w:rsid w:val="001A2BCF"/>
    <w:rsid w:val="001A2C03"/>
    <w:rsid w:val="001A3822"/>
    <w:rsid w:val="001A3CEF"/>
    <w:rsid w:val="001A3E88"/>
    <w:rsid w:val="001A441E"/>
    <w:rsid w:val="001A453B"/>
    <w:rsid w:val="001A49DF"/>
    <w:rsid w:val="001A4F9C"/>
    <w:rsid w:val="001A5694"/>
    <w:rsid w:val="001A5A43"/>
    <w:rsid w:val="001A5B0F"/>
    <w:rsid w:val="001A5DD0"/>
    <w:rsid w:val="001A68CF"/>
    <w:rsid w:val="001A6DB7"/>
    <w:rsid w:val="001A6DF6"/>
    <w:rsid w:val="001A70E0"/>
    <w:rsid w:val="001A72D9"/>
    <w:rsid w:val="001A74C6"/>
    <w:rsid w:val="001B01C3"/>
    <w:rsid w:val="001B024D"/>
    <w:rsid w:val="001B02EA"/>
    <w:rsid w:val="001B04C4"/>
    <w:rsid w:val="001B0DA6"/>
    <w:rsid w:val="001B203E"/>
    <w:rsid w:val="001B2070"/>
    <w:rsid w:val="001B24D7"/>
    <w:rsid w:val="001B2CF4"/>
    <w:rsid w:val="001B3B1C"/>
    <w:rsid w:val="001B410F"/>
    <w:rsid w:val="001B4211"/>
    <w:rsid w:val="001B4962"/>
    <w:rsid w:val="001B498F"/>
    <w:rsid w:val="001B4CAC"/>
    <w:rsid w:val="001B4FB3"/>
    <w:rsid w:val="001B54B4"/>
    <w:rsid w:val="001B5DED"/>
    <w:rsid w:val="001B6503"/>
    <w:rsid w:val="001B6594"/>
    <w:rsid w:val="001B6D16"/>
    <w:rsid w:val="001B6E66"/>
    <w:rsid w:val="001B700D"/>
    <w:rsid w:val="001B7801"/>
    <w:rsid w:val="001C034B"/>
    <w:rsid w:val="001C0F61"/>
    <w:rsid w:val="001C1659"/>
    <w:rsid w:val="001C1C5F"/>
    <w:rsid w:val="001C1F0C"/>
    <w:rsid w:val="001C2E4A"/>
    <w:rsid w:val="001C3357"/>
    <w:rsid w:val="001C3E13"/>
    <w:rsid w:val="001C3E5A"/>
    <w:rsid w:val="001C3FAD"/>
    <w:rsid w:val="001C42EE"/>
    <w:rsid w:val="001C44FE"/>
    <w:rsid w:val="001C477D"/>
    <w:rsid w:val="001C506E"/>
    <w:rsid w:val="001C54F6"/>
    <w:rsid w:val="001C5B8E"/>
    <w:rsid w:val="001C5C0A"/>
    <w:rsid w:val="001C5D47"/>
    <w:rsid w:val="001C5FE2"/>
    <w:rsid w:val="001C60D9"/>
    <w:rsid w:val="001C66C1"/>
    <w:rsid w:val="001C75DF"/>
    <w:rsid w:val="001C78E1"/>
    <w:rsid w:val="001C7921"/>
    <w:rsid w:val="001D028D"/>
    <w:rsid w:val="001D04B3"/>
    <w:rsid w:val="001D1102"/>
    <w:rsid w:val="001D11F4"/>
    <w:rsid w:val="001D14F1"/>
    <w:rsid w:val="001D14F6"/>
    <w:rsid w:val="001D1539"/>
    <w:rsid w:val="001D19E1"/>
    <w:rsid w:val="001D23C8"/>
    <w:rsid w:val="001D285A"/>
    <w:rsid w:val="001D2BB8"/>
    <w:rsid w:val="001D2C89"/>
    <w:rsid w:val="001D2E05"/>
    <w:rsid w:val="001D2ED4"/>
    <w:rsid w:val="001D37D7"/>
    <w:rsid w:val="001D3922"/>
    <w:rsid w:val="001D3944"/>
    <w:rsid w:val="001D4333"/>
    <w:rsid w:val="001D4357"/>
    <w:rsid w:val="001D456C"/>
    <w:rsid w:val="001D48D0"/>
    <w:rsid w:val="001D5D73"/>
    <w:rsid w:val="001D5FBC"/>
    <w:rsid w:val="001D6324"/>
    <w:rsid w:val="001D6B13"/>
    <w:rsid w:val="001D6D4D"/>
    <w:rsid w:val="001D73F0"/>
    <w:rsid w:val="001D755D"/>
    <w:rsid w:val="001D78BF"/>
    <w:rsid w:val="001E02A9"/>
    <w:rsid w:val="001E0395"/>
    <w:rsid w:val="001E1325"/>
    <w:rsid w:val="001E1B0F"/>
    <w:rsid w:val="001E2D26"/>
    <w:rsid w:val="001E38FF"/>
    <w:rsid w:val="001E41CF"/>
    <w:rsid w:val="001E420F"/>
    <w:rsid w:val="001E4935"/>
    <w:rsid w:val="001E4BF1"/>
    <w:rsid w:val="001E52EA"/>
    <w:rsid w:val="001E5B89"/>
    <w:rsid w:val="001E6C64"/>
    <w:rsid w:val="001E714D"/>
    <w:rsid w:val="001E755B"/>
    <w:rsid w:val="001E78E5"/>
    <w:rsid w:val="001E7CE8"/>
    <w:rsid w:val="001F1437"/>
    <w:rsid w:val="001F19E6"/>
    <w:rsid w:val="001F1F4B"/>
    <w:rsid w:val="001F20CC"/>
    <w:rsid w:val="001F2348"/>
    <w:rsid w:val="001F2379"/>
    <w:rsid w:val="001F27A7"/>
    <w:rsid w:val="001F28F1"/>
    <w:rsid w:val="001F294E"/>
    <w:rsid w:val="001F2BF7"/>
    <w:rsid w:val="001F2BFC"/>
    <w:rsid w:val="001F32D0"/>
    <w:rsid w:val="001F39B9"/>
    <w:rsid w:val="001F3EF3"/>
    <w:rsid w:val="001F401E"/>
    <w:rsid w:val="001F4164"/>
    <w:rsid w:val="001F44F8"/>
    <w:rsid w:val="001F4573"/>
    <w:rsid w:val="001F4A76"/>
    <w:rsid w:val="001F5E1C"/>
    <w:rsid w:val="001F5E1D"/>
    <w:rsid w:val="001F6365"/>
    <w:rsid w:val="001F69BF"/>
    <w:rsid w:val="001F69EC"/>
    <w:rsid w:val="001F7678"/>
    <w:rsid w:val="001F7867"/>
    <w:rsid w:val="002004BB"/>
    <w:rsid w:val="00200938"/>
    <w:rsid w:val="00200AAC"/>
    <w:rsid w:val="002018A6"/>
    <w:rsid w:val="00201EDE"/>
    <w:rsid w:val="00202595"/>
    <w:rsid w:val="00202ABE"/>
    <w:rsid w:val="00202CC3"/>
    <w:rsid w:val="00203A14"/>
    <w:rsid w:val="00203D1C"/>
    <w:rsid w:val="00203D8F"/>
    <w:rsid w:val="00203F8C"/>
    <w:rsid w:val="00204DB6"/>
    <w:rsid w:val="0020535A"/>
    <w:rsid w:val="0020540D"/>
    <w:rsid w:val="00205417"/>
    <w:rsid w:val="0020559E"/>
    <w:rsid w:val="002058A1"/>
    <w:rsid w:val="00205D47"/>
    <w:rsid w:val="002066A1"/>
    <w:rsid w:val="00206B8F"/>
    <w:rsid w:val="00206F8A"/>
    <w:rsid w:val="00207278"/>
    <w:rsid w:val="0021056E"/>
    <w:rsid w:val="00210795"/>
    <w:rsid w:val="00210C9C"/>
    <w:rsid w:val="00210EA8"/>
    <w:rsid w:val="002115A3"/>
    <w:rsid w:val="00211759"/>
    <w:rsid w:val="00211A5F"/>
    <w:rsid w:val="00211B81"/>
    <w:rsid w:val="00211BD2"/>
    <w:rsid w:val="002123D2"/>
    <w:rsid w:val="0021253B"/>
    <w:rsid w:val="00212A5B"/>
    <w:rsid w:val="00212CF9"/>
    <w:rsid w:val="00212DA0"/>
    <w:rsid w:val="00212E91"/>
    <w:rsid w:val="00213B76"/>
    <w:rsid w:val="00213D64"/>
    <w:rsid w:val="00214165"/>
    <w:rsid w:val="00214D0B"/>
    <w:rsid w:val="00214D75"/>
    <w:rsid w:val="002155D4"/>
    <w:rsid w:val="00215D36"/>
    <w:rsid w:val="00216D48"/>
    <w:rsid w:val="002171F8"/>
    <w:rsid w:val="00217439"/>
    <w:rsid w:val="00217543"/>
    <w:rsid w:val="00217D71"/>
    <w:rsid w:val="00217F6D"/>
    <w:rsid w:val="00220A71"/>
    <w:rsid w:val="00221C9C"/>
    <w:rsid w:val="002223EF"/>
    <w:rsid w:val="002228F3"/>
    <w:rsid w:val="00222E68"/>
    <w:rsid w:val="002233D4"/>
    <w:rsid w:val="002235AD"/>
    <w:rsid w:val="002236E8"/>
    <w:rsid w:val="00223700"/>
    <w:rsid w:val="00223A45"/>
    <w:rsid w:val="00223D02"/>
    <w:rsid w:val="002259CD"/>
    <w:rsid w:val="00225B54"/>
    <w:rsid w:val="00225CBC"/>
    <w:rsid w:val="00225E5F"/>
    <w:rsid w:val="00225E8C"/>
    <w:rsid w:val="00225ECF"/>
    <w:rsid w:val="00225EEE"/>
    <w:rsid w:val="00225EF4"/>
    <w:rsid w:val="00225F4C"/>
    <w:rsid w:val="00226065"/>
    <w:rsid w:val="002260F5"/>
    <w:rsid w:val="00226176"/>
    <w:rsid w:val="00227325"/>
    <w:rsid w:val="002276E3"/>
    <w:rsid w:val="00227B45"/>
    <w:rsid w:val="00227D72"/>
    <w:rsid w:val="00227E8C"/>
    <w:rsid w:val="00230549"/>
    <w:rsid w:val="00231060"/>
    <w:rsid w:val="00231457"/>
    <w:rsid w:val="002319ED"/>
    <w:rsid w:val="0023283E"/>
    <w:rsid w:val="00232F3D"/>
    <w:rsid w:val="00233247"/>
    <w:rsid w:val="002334AF"/>
    <w:rsid w:val="0023371B"/>
    <w:rsid w:val="002339DD"/>
    <w:rsid w:val="00233B7D"/>
    <w:rsid w:val="00233E55"/>
    <w:rsid w:val="00234009"/>
    <w:rsid w:val="002344F7"/>
    <w:rsid w:val="002349CC"/>
    <w:rsid w:val="0023516F"/>
    <w:rsid w:val="0023562D"/>
    <w:rsid w:val="002358C4"/>
    <w:rsid w:val="00235CB1"/>
    <w:rsid w:val="002362FF"/>
    <w:rsid w:val="00236768"/>
    <w:rsid w:val="00236C30"/>
    <w:rsid w:val="00236E40"/>
    <w:rsid w:val="00236F25"/>
    <w:rsid w:val="002400C5"/>
    <w:rsid w:val="0024047C"/>
    <w:rsid w:val="0024050D"/>
    <w:rsid w:val="002408C1"/>
    <w:rsid w:val="00240BD2"/>
    <w:rsid w:val="00240F15"/>
    <w:rsid w:val="00241266"/>
    <w:rsid w:val="0024199A"/>
    <w:rsid w:val="00241E3C"/>
    <w:rsid w:val="00242072"/>
    <w:rsid w:val="00242342"/>
    <w:rsid w:val="002435A3"/>
    <w:rsid w:val="00243A33"/>
    <w:rsid w:val="00243D37"/>
    <w:rsid w:val="00244E6B"/>
    <w:rsid w:val="00244F39"/>
    <w:rsid w:val="00245207"/>
    <w:rsid w:val="00245F70"/>
    <w:rsid w:val="002467FE"/>
    <w:rsid w:val="00246CD4"/>
    <w:rsid w:val="0024740A"/>
    <w:rsid w:val="0024761B"/>
    <w:rsid w:val="00247966"/>
    <w:rsid w:val="00247C52"/>
    <w:rsid w:val="00247DF9"/>
    <w:rsid w:val="00247E35"/>
    <w:rsid w:val="002502B6"/>
    <w:rsid w:val="00250338"/>
    <w:rsid w:val="0025039B"/>
    <w:rsid w:val="00250890"/>
    <w:rsid w:val="00250DBF"/>
    <w:rsid w:val="0025125A"/>
    <w:rsid w:val="002515EA"/>
    <w:rsid w:val="00253239"/>
    <w:rsid w:val="00253430"/>
    <w:rsid w:val="0025343A"/>
    <w:rsid w:val="00253943"/>
    <w:rsid w:val="002539AA"/>
    <w:rsid w:val="00253C5C"/>
    <w:rsid w:val="00253C8D"/>
    <w:rsid w:val="00253CB5"/>
    <w:rsid w:val="00253F0E"/>
    <w:rsid w:val="00254777"/>
    <w:rsid w:val="00255196"/>
    <w:rsid w:val="002554F1"/>
    <w:rsid w:val="0025555A"/>
    <w:rsid w:val="00255C00"/>
    <w:rsid w:val="00255C53"/>
    <w:rsid w:val="00256446"/>
    <w:rsid w:val="0025650B"/>
    <w:rsid w:val="002565AD"/>
    <w:rsid w:val="00256A6E"/>
    <w:rsid w:val="00256CC3"/>
    <w:rsid w:val="00256DB9"/>
    <w:rsid w:val="0025786F"/>
    <w:rsid w:val="002579CC"/>
    <w:rsid w:val="002605DE"/>
    <w:rsid w:val="002606DB"/>
    <w:rsid w:val="00260764"/>
    <w:rsid w:val="00261194"/>
    <w:rsid w:val="00261750"/>
    <w:rsid w:val="00261D33"/>
    <w:rsid w:val="00262739"/>
    <w:rsid w:val="002631E6"/>
    <w:rsid w:val="002636DD"/>
    <w:rsid w:val="00263F35"/>
    <w:rsid w:val="00264254"/>
    <w:rsid w:val="002642BF"/>
    <w:rsid w:val="002644EF"/>
    <w:rsid w:val="00264710"/>
    <w:rsid w:val="00265119"/>
    <w:rsid w:val="00265872"/>
    <w:rsid w:val="00265D4C"/>
    <w:rsid w:val="00265E90"/>
    <w:rsid w:val="0026647B"/>
    <w:rsid w:val="00266CCE"/>
    <w:rsid w:val="002677F5"/>
    <w:rsid w:val="0026782B"/>
    <w:rsid w:val="00267ADB"/>
    <w:rsid w:val="00267B59"/>
    <w:rsid w:val="00267E1B"/>
    <w:rsid w:val="002710E9"/>
    <w:rsid w:val="002714AB"/>
    <w:rsid w:val="002723F4"/>
    <w:rsid w:val="002729D5"/>
    <w:rsid w:val="002732FB"/>
    <w:rsid w:val="00273BB7"/>
    <w:rsid w:val="0027410A"/>
    <w:rsid w:val="002743FE"/>
    <w:rsid w:val="0027441E"/>
    <w:rsid w:val="00274ED1"/>
    <w:rsid w:val="00274ED2"/>
    <w:rsid w:val="00274FC5"/>
    <w:rsid w:val="00275325"/>
    <w:rsid w:val="00275351"/>
    <w:rsid w:val="00275612"/>
    <w:rsid w:val="00275B21"/>
    <w:rsid w:val="002764D1"/>
    <w:rsid w:val="002768C9"/>
    <w:rsid w:val="00276AB7"/>
    <w:rsid w:val="00276EC1"/>
    <w:rsid w:val="00277119"/>
    <w:rsid w:val="002805A3"/>
    <w:rsid w:val="00280A2A"/>
    <w:rsid w:val="00280B28"/>
    <w:rsid w:val="00280B90"/>
    <w:rsid w:val="00281A05"/>
    <w:rsid w:val="00281CAE"/>
    <w:rsid w:val="0028213B"/>
    <w:rsid w:val="00282384"/>
    <w:rsid w:val="00282B15"/>
    <w:rsid w:val="00282DC9"/>
    <w:rsid w:val="00282FB2"/>
    <w:rsid w:val="0028313A"/>
    <w:rsid w:val="002835D4"/>
    <w:rsid w:val="002836A7"/>
    <w:rsid w:val="0028396D"/>
    <w:rsid w:val="0028406A"/>
    <w:rsid w:val="0028419B"/>
    <w:rsid w:val="00284421"/>
    <w:rsid w:val="0028446B"/>
    <w:rsid w:val="00284E16"/>
    <w:rsid w:val="00285870"/>
    <w:rsid w:val="00285BCD"/>
    <w:rsid w:val="00285D29"/>
    <w:rsid w:val="00286FCA"/>
    <w:rsid w:val="002871BF"/>
    <w:rsid w:val="002873CE"/>
    <w:rsid w:val="002901C3"/>
    <w:rsid w:val="00290879"/>
    <w:rsid w:val="0029094C"/>
    <w:rsid w:val="0029116B"/>
    <w:rsid w:val="0029135C"/>
    <w:rsid w:val="002917C3"/>
    <w:rsid w:val="0029191C"/>
    <w:rsid w:val="00291BBA"/>
    <w:rsid w:val="00291C22"/>
    <w:rsid w:val="00291DCB"/>
    <w:rsid w:val="00291F0B"/>
    <w:rsid w:val="00292482"/>
    <w:rsid w:val="002924A5"/>
    <w:rsid w:val="00292793"/>
    <w:rsid w:val="002933A0"/>
    <w:rsid w:val="002933DE"/>
    <w:rsid w:val="00293A31"/>
    <w:rsid w:val="00294A2B"/>
    <w:rsid w:val="00294AF9"/>
    <w:rsid w:val="0029532C"/>
    <w:rsid w:val="002956E4"/>
    <w:rsid w:val="002958F1"/>
    <w:rsid w:val="00295C7D"/>
    <w:rsid w:val="002965A1"/>
    <w:rsid w:val="00296A8D"/>
    <w:rsid w:val="00296E51"/>
    <w:rsid w:val="00297201"/>
    <w:rsid w:val="00297392"/>
    <w:rsid w:val="002978E5"/>
    <w:rsid w:val="002A0E11"/>
    <w:rsid w:val="002A1214"/>
    <w:rsid w:val="002A14ED"/>
    <w:rsid w:val="002A1C62"/>
    <w:rsid w:val="002A1EE1"/>
    <w:rsid w:val="002A2802"/>
    <w:rsid w:val="002A2CD2"/>
    <w:rsid w:val="002A3A4C"/>
    <w:rsid w:val="002A3A7D"/>
    <w:rsid w:val="002A4998"/>
    <w:rsid w:val="002A4C73"/>
    <w:rsid w:val="002A520A"/>
    <w:rsid w:val="002A5B2C"/>
    <w:rsid w:val="002A61A5"/>
    <w:rsid w:val="002A6312"/>
    <w:rsid w:val="002A64B5"/>
    <w:rsid w:val="002A65B7"/>
    <w:rsid w:val="002A6DCB"/>
    <w:rsid w:val="002A75CC"/>
    <w:rsid w:val="002B0498"/>
    <w:rsid w:val="002B08D3"/>
    <w:rsid w:val="002B2102"/>
    <w:rsid w:val="002B2688"/>
    <w:rsid w:val="002B27C7"/>
    <w:rsid w:val="002B28D3"/>
    <w:rsid w:val="002B2B21"/>
    <w:rsid w:val="002B2BCA"/>
    <w:rsid w:val="002B3256"/>
    <w:rsid w:val="002B3546"/>
    <w:rsid w:val="002B3861"/>
    <w:rsid w:val="002B3CA4"/>
    <w:rsid w:val="002B3F52"/>
    <w:rsid w:val="002B40C1"/>
    <w:rsid w:val="002B4858"/>
    <w:rsid w:val="002B559A"/>
    <w:rsid w:val="002B55D9"/>
    <w:rsid w:val="002B5E28"/>
    <w:rsid w:val="002B78B1"/>
    <w:rsid w:val="002C0114"/>
    <w:rsid w:val="002C05E6"/>
    <w:rsid w:val="002C0899"/>
    <w:rsid w:val="002C0D15"/>
    <w:rsid w:val="002C15EC"/>
    <w:rsid w:val="002C166A"/>
    <w:rsid w:val="002C172A"/>
    <w:rsid w:val="002C1961"/>
    <w:rsid w:val="002C1A96"/>
    <w:rsid w:val="002C1E8F"/>
    <w:rsid w:val="002C1F3E"/>
    <w:rsid w:val="002C2A41"/>
    <w:rsid w:val="002C2AE9"/>
    <w:rsid w:val="002C2B45"/>
    <w:rsid w:val="002C2FDF"/>
    <w:rsid w:val="002C3234"/>
    <w:rsid w:val="002C3359"/>
    <w:rsid w:val="002C360E"/>
    <w:rsid w:val="002C4270"/>
    <w:rsid w:val="002C4CD9"/>
    <w:rsid w:val="002C5954"/>
    <w:rsid w:val="002C5F0A"/>
    <w:rsid w:val="002C64C5"/>
    <w:rsid w:val="002C70B5"/>
    <w:rsid w:val="002C7C5C"/>
    <w:rsid w:val="002C7C93"/>
    <w:rsid w:val="002C7DA2"/>
    <w:rsid w:val="002D0315"/>
    <w:rsid w:val="002D099C"/>
    <w:rsid w:val="002D0B18"/>
    <w:rsid w:val="002D11BC"/>
    <w:rsid w:val="002D128D"/>
    <w:rsid w:val="002D1640"/>
    <w:rsid w:val="002D34F1"/>
    <w:rsid w:val="002D3F27"/>
    <w:rsid w:val="002D4B51"/>
    <w:rsid w:val="002D5309"/>
    <w:rsid w:val="002D5DC2"/>
    <w:rsid w:val="002D5DCF"/>
    <w:rsid w:val="002D6A1F"/>
    <w:rsid w:val="002D6CE0"/>
    <w:rsid w:val="002D72AD"/>
    <w:rsid w:val="002D7377"/>
    <w:rsid w:val="002D7A69"/>
    <w:rsid w:val="002E0358"/>
    <w:rsid w:val="002E04CA"/>
    <w:rsid w:val="002E08E5"/>
    <w:rsid w:val="002E0942"/>
    <w:rsid w:val="002E1DB7"/>
    <w:rsid w:val="002E1EC3"/>
    <w:rsid w:val="002E2546"/>
    <w:rsid w:val="002E27A5"/>
    <w:rsid w:val="002E2D57"/>
    <w:rsid w:val="002E2F6E"/>
    <w:rsid w:val="002E390C"/>
    <w:rsid w:val="002E3965"/>
    <w:rsid w:val="002E3D1F"/>
    <w:rsid w:val="002E4059"/>
    <w:rsid w:val="002E425B"/>
    <w:rsid w:val="002E43ED"/>
    <w:rsid w:val="002E4475"/>
    <w:rsid w:val="002E4AAE"/>
    <w:rsid w:val="002E4D19"/>
    <w:rsid w:val="002E548F"/>
    <w:rsid w:val="002E59FB"/>
    <w:rsid w:val="002E5A8A"/>
    <w:rsid w:val="002E72E3"/>
    <w:rsid w:val="002E7355"/>
    <w:rsid w:val="002E7433"/>
    <w:rsid w:val="002E784E"/>
    <w:rsid w:val="002E79EB"/>
    <w:rsid w:val="002E7BB1"/>
    <w:rsid w:val="002F01CB"/>
    <w:rsid w:val="002F158C"/>
    <w:rsid w:val="002F16E9"/>
    <w:rsid w:val="002F1813"/>
    <w:rsid w:val="002F1E28"/>
    <w:rsid w:val="002F2710"/>
    <w:rsid w:val="002F289B"/>
    <w:rsid w:val="002F3761"/>
    <w:rsid w:val="002F3E06"/>
    <w:rsid w:val="002F4418"/>
    <w:rsid w:val="002F4723"/>
    <w:rsid w:val="002F4FC2"/>
    <w:rsid w:val="002F51C1"/>
    <w:rsid w:val="002F52A7"/>
    <w:rsid w:val="002F5530"/>
    <w:rsid w:val="002F603D"/>
    <w:rsid w:val="002F6152"/>
    <w:rsid w:val="002F678E"/>
    <w:rsid w:val="002F72DB"/>
    <w:rsid w:val="002F7544"/>
    <w:rsid w:val="002F76F1"/>
    <w:rsid w:val="0030077F"/>
    <w:rsid w:val="00300A8E"/>
    <w:rsid w:val="00300AEF"/>
    <w:rsid w:val="00300B48"/>
    <w:rsid w:val="00301F4B"/>
    <w:rsid w:val="00302221"/>
    <w:rsid w:val="00302931"/>
    <w:rsid w:val="003033F8"/>
    <w:rsid w:val="003036C4"/>
    <w:rsid w:val="00303C3A"/>
    <w:rsid w:val="00303E81"/>
    <w:rsid w:val="00303EBC"/>
    <w:rsid w:val="00304238"/>
    <w:rsid w:val="0030493E"/>
    <w:rsid w:val="00304AD6"/>
    <w:rsid w:val="00305C1F"/>
    <w:rsid w:val="00306062"/>
    <w:rsid w:val="00306592"/>
    <w:rsid w:val="003065C4"/>
    <w:rsid w:val="003068EC"/>
    <w:rsid w:val="0030699A"/>
    <w:rsid w:val="00306FE1"/>
    <w:rsid w:val="003074CA"/>
    <w:rsid w:val="00307663"/>
    <w:rsid w:val="003076DD"/>
    <w:rsid w:val="003105D1"/>
    <w:rsid w:val="00310A1D"/>
    <w:rsid w:val="003112E7"/>
    <w:rsid w:val="00311517"/>
    <w:rsid w:val="00311704"/>
    <w:rsid w:val="00311B13"/>
    <w:rsid w:val="00311B29"/>
    <w:rsid w:val="00312B4F"/>
    <w:rsid w:val="00312C24"/>
    <w:rsid w:val="00313179"/>
    <w:rsid w:val="00313934"/>
    <w:rsid w:val="003139E3"/>
    <w:rsid w:val="00313B16"/>
    <w:rsid w:val="0031467F"/>
    <w:rsid w:val="00314775"/>
    <w:rsid w:val="00314BA7"/>
    <w:rsid w:val="003156F8"/>
    <w:rsid w:val="00315E02"/>
    <w:rsid w:val="00315E9D"/>
    <w:rsid w:val="00316715"/>
    <w:rsid w:val="00316778"/>
    <w:rsid w:val="003169F1"/>
    <w:rsid w:val="00317113"/>
    <w:rsid w:val="00317E46"/>
    <w:rsid w:val="00317F98"/>
    <w:rsid w:val="00317FD9"/>
    <w:rsid w:val="00320116"/>
    <w:rsid w:val="00320219"/>
    <w:rsid w:val="00320316"/>
    <w:rsid w:val="00320D61"/>
    <w:rsid w:val="00320FC0"/>
    <w:rsid w:val="003210ED"/>
    <w:rsid w:val="0032189A"/>
    <w:rsid w:val="00321B8E"/>
    <w:rsid w:val="00322525"/>
    <w:rsid w:val="00322CF7"/>
    <w:rsid w:val="0032376A"/>
    <w:rsid w:val="0032394B"/>
    <w:rsid w:val="00324106"/>
    <w:rsid w:val="0032474D"/>
    <w:rsid w:val="00324B57"/>
    <w:rsid w:val="003262D6"/>
    <w:rsid w:val="00326402"/>
    <w:rsid w:val="003267E4"/>
    <w:rsid w:val="00326AF9"/>
    <w:rsid w:val="0032711F"/>
    <w:rsid w:val="003273A5"/>
    <w:rsid w:val="00327B6B"/>
    <w:rsid w:val="00327C3E"/>
    <w:rsid w:val="00327D58"/>
    <w:rsid w:val="003300C2"/>
    <w:rsid w:val="00330BE5"/>
    <w:rsid w:val="00330F15"/>
    <w:rsid w:val="003317BE"/>
    <w:rsid w:val="00331A55"/>
    <w:rsid w:val="00331DCB"/>
    <w:rsid w:val="003323A0"/>
    <w:rsid w:val="00332636"/>
    <w:rsid w:val="00332AC9"/>
    <w:rsid w:val="00332CA4"/>
    <w:rsid w:val="00333935"/>
    <w:rsid w:val="00333F96"/>
    <w:rsid w:val="003340E3"/>
    <w:rsid w:val="00334422"/>
    <w:rsid w:val="00335551"/>
    <w:rsid w:val="00335D5B"/>
    <w:rsid w:val="003361F0"/>
    <w:rsid w:val="00336B72"/>
    <w:rsid w:val="00336B99"/>
    <w:rsid w:val="00336DB2"/>
    <w:rsid w:val="003373FB"/>
    <w:rsid w:val="0033752D"/>
    <w:rsid w:val="003377BF"/>
    <w:rsid w:val="0034051D"/>
    <w:rsid w:val="003409A4"/>
    <w:rsid w:val="003411D1"/>
    <w:rsid w:val="003419F2"/>
    <w:rsid w:val="003422EF"/>
    <w:rsid w:val="0034266F"/>
    <w:rsid w:val="003426BF"/>
    <w:rsid w:val="00342AC7"/>
    <w:rsid w:val="00342D59"/>
    <w:rsid w:val="003430D1"/>
    <w:rsid w:val="00343CEB"/>
    <w:rsid w:val="00343E59"/>
    <w:rsid w:val="00343E78"/>
    <w:rsid w:val="00343E9E"/>
    <w:rsid w:val="00344D9E"/>
    <w:rsid w:val="003459E0"/>
    <w:rsid w:val="00345AA6"/>
    <w:rsid w:val="003460A2"/>
    <w:rsid w:val="00346839"/>
    <w:rsid w:val="00346929"/>
    <w:rsid w:val="00346A54"/>
    <w:rsid w:val="00346C4D"/>
    <w:rsid w:val="00346C5B"/>
    <w:rsid w:val="0034714B"/>
    <w:rsid w:val="003476FA"/>
    <w:rsid w:val="00347A22"/>
    <w:rsid w:val="00347B2E"/>
    <w:rsid w:val="003503EA"/>
    <w:rsid w:val="00350589"/>
    <w:rsid w:val="003512FE"/>
    <w:rsid w:val="003517FD"/>
    <w:rsid w:val="00352E0B"/>
    <w:rsid w:val="00353118"/>
    <w:rsid w:val="00353854"/>
    <w:rsid w:val="003548AE"/>
    <w:rsid w:val="00355315"/>
    <w:rsid w:val="0035557E"/>
    <w:rsid w:val="003555BE"/>
    <w:rsid w:val="00355C43"/>
    <w:rsid w:val="00355E2A"/>
    <w:rsid w:val="00355EE6"/>
    <w:rsid w:val="003560DD"/>
    <w:rsid w:val="00356694"/>
    <w:rsid w:val="00356963"/>
    <w:rsid w:val="00356E4B"/>
    <w:rsid w:val="00356EA7"/>
    <w:rsid w:val="003571F5"/>
    <w:rsid w:val="00357258"/>
    <w:rsid w:val="00357FD1"/>
    <w:rsid w:val="00360393"/>
    <w:rsid w:val="003607D1"/>
    <w:rsid w:val="003607DB"/>
    <w:rsid w:val="00361ADC"/>
    <w:rsid w:val="00362623"/>
    <w:rsid w:val="00362F11"/>
    <w:rsid w:val="0036317A"/>
    <w:rsid w:val="00363615"/>
    <w:rsid w:val="00363AC4"/>
    <w:rsid w:val="0036436C"/>
    <w:rsid w:val="0036474E"/>
    <w:rsid w:val="00364E92"/>
    <w:rsid w:val="00365DA4"/>
    <w:rsid w:val="00365E1D"/>
    <w:rsid w:val="00365E84"/>
    <w:rsid w:val="0036600F"/>
    <w:rsid w:val="00366836"/>
    <w:rsid w:val="003669EF"/>
    <w:rsid w:val="00366DF5"/>
    <w:rsid w:val="00366E34"/>
    <w:rsid w:val="0036758A"/>
    <w:rsid w:val="00367A01"/>
    <w:rsid w:val="00367BD7"/>
    <w:rsid w:val="00370926"/>
    <w:rsid w:val="0037111D"/>
    <w:rsid w:val="003719A6"/>
    <w:rsid w:val="00371BB3"/>
    <w:rsid w:val="00372545"/>
    <w:rsid w:val="003728E0"/>
    <w:rsid w:val="00372A90"/>
    <w:rsid w:val="00372D19"/>
    <w:rsid w:val="0037302B"/>
    <w:rsid w:val="003732FD"/>
    <w:rsid w:val="00373360"/>
    <w:rsid w:val="00373E62"/>
    <w:rsid w:val="00374098"/>
    <w:rsid w:val="003748CD"/>
    <w:rsid w:val="003749BF"/>
    <w:rsid w:val="00374BF4"/>
    <w:rsid w:val="00374EB8"/>
    <w:rsid w:val="00374F74"/>
    <w:rsid w:val="00374FE3"/>
    <w:rsid w:val="003755B3"/>
    <w:rsid w:val="00375D30"/>
    <w:rsid w:val="00375E93"/>
    <w:rsid w:val="00376B8E"/>
    <w:rsid w:val="00376BD7"/>
    <w:rsid w:val="00376E82"/>
    <w:rsid w:val="00376F1B"/>
    <w:rsid w:val="003775B1"/>
    <w:rsid w:val="00377C91"/>
    <w:rsid w:val="00377ED5"/>
    <w:rsid w:val="003801FC"/>
    <w:rsid w:val="00380451"/>
    <w:rsid w:val="00380519"/>
    <w:rsid w:val="00380D71"/>
    <w:rsid w:val="00380FD4"/>
    <w:rsid w:val="00381A8B"/>
    <w:rsid w:val="00381AD0"/>
    <w:rsid w:val="00381C70"/>
    <w:rsid w:val="00381E09"/>
    <w:rsid w:val="00381E50"/>
    <w:rsid w:val="00381F62"/>
    <w:rsid w:val="00382002"/>
    <w:rsid w:val="00382092"/>
    <w:rsid w:val="0038240C"/>
    <w:rsid w:val="00382475"/>
    <w:rsid w:val="003826FB"/>
    <w:rsid w:val="00382928"/>
    <w:rsid w:val="00382E7B"/>
    <w:rsid w:val="00383194"/>
    <w:rsid w:val="00383958"/>
    <w:rsid w:val="00383A30"/>
    <w:rsid w:val="00383F4B"/>
    <w:rsid w:val="0038419E"/>
    <w:rsid w:val="00384B64"/>
    <w:rsid w:val="00385642"/>
    <w:rsid w:val="00385730"/>
    <w:rsid w:val="00385933"/>
    <w:rsid w:val="0038597C"/>
    <w:rsid w:val="00385D3D"/>
    <w:rsid w:val="00385FB4"/>
    <w:rsid w:val="00386312"/>
    <w:rsid w:val="0038643E"/>
    <w:rsid w:val="00386A81"/>
    <w:rsid w:val="0038756A"/>
    <w:rsid w:val="00390438"/>
    <w:rsid w:val="0039084E"/>
    <w:rsid w:val="0039085E"/>
    <w:rsid w:val="00390A0B"/>
    <w:rsid w:val="00390C62"/>
    <w:rsid w:val="00390D01"/>
    <w:rsid w:val="003915DA"/>
    <w:rsid w:val="00391705"/>
    <w:rsid w:val="003919ED"/>
    <w:rsid w:val="00392261"/>
    <w:rsid w:val="0039249E"/>
    <w:rsid w:val="003928A9"/>
    <w:rsid w:val="003929E4"/>
    <w:rsid w:val="0039365C"/>
    <w:rsid w:val="00393A19"/>
    <w:rsid w:val="00393E0E"/>
    <w:rsid w:val="00394061"/>
    <w:rsid w:val="0039418C"/>
    <w:rsid w:val="00394453"/>
    <w:rsid w:val="00394686"/>
    <w:rsid w:val="00394861"/>
    <w:rsid w:val="00394B98"/>
    <w:rsid w:val="00394D3F"/>
    <w:rsid w:val="003950B5"/>
    <w:rsid w:val="00395E3A"/>
    <w:rsid w:val="003965B0"/>
    <w:rsid w:val="00396881"/>
    <w:rsid w:val="003969A7"/>
    <w:rsid w:val="00396A61"/>
    <w:rsid w:val="003970D6"/>
    <w:rsid w:val="003973B9"/>
    <w:rsid w:val="003A03DE"/>
    <w:rsid w:val="003A1A59"/>
    <w:rsid w:val="003A25F6"/>
    <w:rsid w:val="003A27BF"/>
    <w:rsid w:val="003A31A7"/>
    <w:rsid w:val="003A39BD"/>
    <w:rsid w:val="003A4113"/>
    <w:rsid w:val="003A44CC"/>
    <w:rsid w:val="003A4B4B"/>
    <w:rsid w:val="003A4D72"/>
    <w:rsid w:val="003A4F93"/>
    <w:rsid w:val="003A507D"/>
    <w:rsid w:val="003A5250"/>
    <w:rsid w:val="003A5548"/>
    <w:rsid w:val="003A56D2"/>
    <w:rsid w:val="003A5A98"/>
    <w:rsid w:val="003A5D42"/>
    <w:rsid w:val="003A6233"/>
    <w:rsid w:val="003A6833"/>
    <w:rsid w:val="003A7521"/>
    <w:rsid w:val="003A7B82"/>
    <w:rsid w:val="003A7D7F"/>
    <w:rsid w:val="003B0D65"/>
    <w:rsid w:val="003B1001"/>
    <w:rsid w:val="003B12E5"/>
    <w:rsid w:val="003B1813"/>
    <w:rsid w:val="003B1D94"/>
    <w:rsid w:val="003B1DC6"/>
    <w:rsid w:val="003B22E0"/>
    <w:rsid w:val="003B2B19"/>
    <w:rsid w:val="003B2D01"/>
    <w:rsid w:val="003B33C3"/>
    <w:rsid w:val="003B36CD"/>
    <w:rsid w:val="003B3A69"/>
    <w:rsid w:val="003B41B0"/>
    <w:rsid w:val="003B473C"/>
    <w:rsid w:val="003B4AE2"/>
    <w:rsid w:val="003B4B7B"/>
    <w:rsid w:val="003B50DD"/>
    <w:rsid w:val="003B586F"/>
    <w:rsid w:val="003B59BC"/>
    <w:rsid w:val="003B6972"/>
    <w:rsid w:val="003B728D"/>
    <w:rsid w:val="003B7660"/>
    <w:rsid w:val="003B7F6D"/>
    <w:rsid w:val="003C0AB7"/>
    <w:rsid w:val="003C0E3B"/>
    <w:rsid w:val="003C0EAF"/>
    <w:rsid w:val="003C1039"/>
    <w:rsid w:val="003C1594"/>
    <w:rsid w:val="003C1F09"/>
    <w:rsid w:val="003C2113"/>
    <w:rsid w:val="003C2324"/>
    <w:rsid w:val="003C280D"/>
    <w:rsid w:val="003C2A89"/>
    <w:rsid w:val="003C2AE7"/>
    <w:rsid w:val="003C3011"/>
    <w:rsid w:val="003C342B"/>
    <w:rsid w:val="003C35B2"/>
    <w:rsid w:val="003C410F"/>
    <w:rsid w:val="003C4C68"/>
    <w:rsid w:val="003C5854"/>
    <w:rsid w:val="003C5C39"/>
    <w:rsid w:val="003C5DF6"/>
    <w:rsid w:val="003C5F26"/>
    <w:rsid w:val="003C6A85"/>
    <w:rsid w:val="003C6AFF"/>
    <w:rsid w:val="003C6CF8"/>
    <w:rsid w:val="003C7288"/>
    <w:rsid w:val="003C740A"/>
    <w:rsid w:val="003C7672"/>
    <w:rsid w:val="003C7BF4"/>
    <w:rsid w:val="003D0127"/>
    <w:rsid w:val="003D0298"/>
    <w:rsid w:val="003D054A"/>
    <w:rsid w:val="003D0749"/>
    <w:rsid w:val="003D0936"/>
    <w:rsid w:val="003D09C8"/>
    <w:rsid w:val="003D0C3F"/>
    <w:rsid w:val="003D0CBB"/>
    <w:rsid w:val="003D12CA"/>
    <w:rsid w:val="003D1852"/>
    <w:rsid w:val="003D1B99"/>
    <w:rsid w:val="003D1FB5"/>
    <w:rsid w:val="003D3644"/>
    <w:rsid w:val="003D3760"/>
    <w:rsid w:val="003D3D14"/>
    <w:rsid w:val="003D50DF"/>
    <w:rsid w:val="003D57A8"/>
    <w:rsid w:val="003D59FE"/>
    <w:rsid w:val="003D622B"/>
    <w:rsid w:val="003D7380"/>
    <w:rsid w:val="003D7708"/>
    <w:rsid w:val="003D7816"/>
    <w:rsid w:val="003D7F1A"/>
    <w:rsid w:val="003E0036"/>
    <w:rsid w:val="003E0263"/>
    <w:rsid w:val="003E067F"/>
    <w:rsid w:val="003E0CCF"/>
    <w:rsid w:val="003E0FF1"/>
    <w:rsid w:val="003E147D"/>
    <w:rsid w:val="003E16E0"/>
    <w:rsid w:val="003E1740"/>
    <w:rsid w:val="003E183F"/>
    <w:rsid w:val="003E19FB"/>
    <w:rsid w:val="003E27F8"/>
    <w:rsid w:val="003E2BC7"/>
    <w:rsid w:val="003E2D2F"/>
    <w:rsid w:val="003E2F58"/>
    <w:rsid w:val="003E3142"/>
    <w:rsid w:val="003E3260"/>
    <w:rsid w:val="003E3582"/>
    <w:rsid w:val="003E36C1"/>
    <w:rsid w:val="003E3F92"/>
    <w:rsid w:val="003E43C9"/>
    <w:rsid w:val="003E48CB"/>
    <w:rsid w:val="003E5118"/>
    <w:rsid w:val="003E552E"/>
    <w:rsid w:val="003E5A34"/>
    <w:rsid w:val="003E64FF"/>
    <w:rsid w:val="003E699A"/>
    <w:rsid w:val="003E6A7E"/>
    <w:rsid w:val="003E7136"/>
    <w:rsid w:val="003E7B69"/>
    <w:rsid w:val="003E7D93"/>
    <w:rsid w:val="003E7E06"/>
    <w:rsid w:val="003F0C58"/>
    <w:rsid w:val="003F0F62"/>
    <w:rsid w:val="003F1AE4"/>
    <w:rsid w:val="003F30EB"/>
    <w:rsid w:val="003F3276"/>
    <w:rsid w:val="003F37C6"/>
    <w:rsid w:val="003F3D16"/>
    <w:rsid w:val="003F424A"/>
    <w:rsid w:val="003F4857"/>
    <w:rsid w:val="003F492D"/>
    <w:rsid w:val="003F4F38"/>
    <w:rsid w:val="003F51BC"/>
    <w:rsid w:val="003F537A"/>
    <w:rsid w:val="003F5AC7"/>
    <w:rsid w:val="003F621E"/>
    <w:rsid w:val="003F6239"/>
    <w:rsid w:val="003F64B9"/>
    <w:rsid w:val="003F6726"/>
    <w:rsid w:val="003F7C64"/>
    <w:rsid w:val="00400897"/>
    <w:rsid w:val="00400FE1"/>
    <w:rsid w:val="00401693"/>
    <w:rsid w:val="00401759"/>
    <w:rsid w:val="00402352"/>
    <w:rsid w:val="00402AF3"/>
    <w:rsid w:val="0040308E"/>
    <w:rsid w:val="0040310F"/>
    <w:rsid w:val="00403468"/>
    <w:rsid w:val="0040438E"/>
    <w:rsid w:val="004044E6"/>
    <w:rsid w:val="00404ADD"/>
    <w:rsid w:val="0040509C"/>
    <w:rsid w:val="004050B8"/>
    <w:rsid w:val="004052E6"/>
    <w:rsid w:val="004053C3"/>
    <w:rsid w:val="00405785"/>
    <w:rsid w:val="0040653C"/>
    <w:rsid w:val="00406B18"/>
    <w:rsid w:val="00406F36"/>
    <w:rsid w:val="004075F9"/>
    <w:rsid w:val="00407697"/>
    <w:rsid w:val="00407DBD"/>
    <w:rsid w:val="004103E6"/>
    <w:rsid w:val="004108BA"/>
    <w:rsid w:val="00410AB1"/>
    <w:rsid w:val="00410B93"/>
    <w:rsid w:val="00410D1A"/>
    <w:rsid w:val="00410F22"/>
    <w:rsid w:val="004110A8"/>
    <w:rsid w:val="004111CF"/>
    <w:rsid w:val="004114C9"/>
    <w:rsid w:val="004116CD"/>
    <w:rsid w:val="00411992"/>
    <w:rsid w:val="00411A14"/>
    <w:rsid w:val="00412117"/>
    <w:rsid w:val="00412484"/>
    <w:rsid w:val="0041280D"/>
    <w:rsid w:val="004130BA"/>
    <w:rsid w:val="00413731"/>
    <w:rsid w:val="004140DE"/>
    <w:rsid w:val="0041419D"/>
    <w:rsid w:val="00414BF0"/>
    <w:rsid w:val="00415549"/>
    <w:rsid w:val="004161E0"/>
    <w:rsid w:val="00416522"/>
    <w:rsid w:val="00416768"/>
    <w:rsid w:val="00416919"/>
    <w:rsid w:val="00416DAB"/>
    <w:rsid w:val="00416E57"/>
    <w:rsid w:val="0041729B"/>
    <w:rsid w:val="00417EED"/>
    <w:rsid w:val="004208A5"/>
    <w:rsid w:val="0042091D"/>
    <w:rsid w:val="00420A3A"/>
    <w:rsid w:val="00420DFA"/>
    <w:rsid w:val="004214D7"/>
    <w:rsid w:val="004219D2"/>
    <w:rsid w:val="00421FCE"/>
    <w:rsid w:val="0042207A"/>
    <w:rsid w:val="004228BA"/>
    <w:rsid w:val="00422C32"/>
    <w:rsid w:val="00423790"/>
    <w:rsid w:val="00424263"/>
    <w:rsid w:val="004244E3"/>
    <w:rsid w:val="00424B2E"/>
    <w:rsid w:val="004250B2"/>
    <w:rsid w:val="00425D09"/>
    <w:rsid w:val="00425E44"/>
    <w:rsid w:val="00426410"/>
    <w:rsid w:val="00426D8C"/>
    <w:rsid w:val="004270DC"/>
    <w:rsid w:val="00427ACF"/>
    <w:rsid w:val="00427C2B"/>
    <w:rsid w:val="00430609"/>
    <w:rsid w:val="0043081A"/>
    <w:rsid w:val="00430861"/>
    <w:rsid w:val="004309DA"/>
    <w:rsid w:val="004310EE"/>
    <w:rsid w:val="004314E7"/>
    <w:rsid w:val="004327A0"/>
    <w:rsid w:val="004329C1"/>
    <w:rsid w:val="00432B6A"/>
    <w:rsid w:val="00432CB8"/>
    <w:rsid w:val="00432E6B"/>
    <w:rsid w:val="00433371"/>
    <w:rsid w:val="00433CD0"/>
    <w:rsid w:val="0043426C"/>
    <w:rsid w:val="00434609"/>
    <w:rsid w:val="0043473D"/>
    <w:rsid w:val="004349F4"/>
    <w:rsid w:val="00434B04"/>
    <w:rsid w:val="00434CE3"/>
    <w:rsid w:val="00435278"/>
    <w:rsid w:val="00435995"/>
    <w:rsid w:val="00435BC0"/>
    <w:rsid w:val="00436230"/>
    <w:rsid w:val="00436240"/>
    <w:rsid w:val="0043643F"/>
    <w:rsid w:val="00436488"/>
    <w:rsid w:val="00436C6F"/>
    <w:rsid w:val="0043748D"/>
    <w:rsid w:val="004417C5"/>
    <w:rsid w:val="00441DF3"/>
    <w:rsid w:val="004422C3"/>
    <w:rsid w:val="004425D6"/>
    <w:rsid w:val="00442BC8"/>
    <w:rsid w:val="004430D2"/>
    <w:rsid w:val="00443FB0"/>
    <w:rsid w:val="004444B6"/>
    <w:rsid w:val="004447DF"/>
    <w:rsid w:val="00444C4D"/>
    <w:rsid w:val="00444E47"/>
    <w:rsid w:val="00445C6B"/>
    <w:rsid w:val="00446126"/>
    <w:rsid w:val="0044622D"/>
    <w:rsid w:val="004466B2"/>
    <w:rsid w:val="00446E9A"/>
    <w:rsid w:val="0044709C"/>
    <w:rsid w:val="004473EB"/>
    <w:rsid w:val="004474C0"/>
    <w:rsid w:val="004474C3"/>
    <w:rsid w:val="004476D2"/>
    <w:rsid w:val="00447D92"/>
    <w:rsid w:val="00447F2E"/>
    <w:rsid w:val="0045022E"/>
    <w:rsid w:val="004505A7"/>
    <w:rsid w:val="00450A6F"/>
    <w:rsid w:val="00450A7C"/>
    <w:rsid w:val="004513EB"/>
    <w:rsid w:val="00452897"/>
    <w:rsid w:val="00452ACE"/>
    <w:rsid w:val="004534FB"/>
    <w:rsid w:val="00453568"/>
    <w:rsid w:val="00453809"/>
    <w:rsid w:val="0045399F"/>
    <w:rsid w:val="00453FF2"/>
    <w:rsid w:val="004543EE"/>
    <w:rsid w:val="004545D3"/>
    <w:rsid w:val="0045469E"/>
    <w:rsid w:val="00454970"/>
    <w:rsid w:val="00455677"/>
    <w:rsid w:val="004557CE"/>
    <w:rsid w:val="0045595B"/>
    <w:rsid w:val="00456012"/>
    <w:rsid w:val="004563AA"/>
    <w:rsid w:val="00456C45"/>
    <w:rsid w:val="0045705B"/>
    <w:rsid w:val="004574B5"/>
    <w:rsid w:val="0045768F"/>
    <w:rsid w:val="0045772F"/>
    <w:rsid w:val="0046019E"/>
    <w:rsid w:val="0046035C"/>
    <w:rsid w:val="00460898"/>
    <w:rsid w:val="00460D03"/>
    <w:rsid w:val="00460FB9"/>
    <w:rsid w:val="004610F3"/>
    <w:rsid w:val="00461257"/>
    <w:rsid w:val="00461AC1"/>
    <w:rsid w:val="00462065"/>
    <w:rsid w:val="00462071"/>
    <w:rsid w:val="00462705"/>
    <w:rsid w:val="00462972"/>
    <w:rsid w:val="00462AC7"/>
    <w:rsid w:val="00463D79"/>
    <w:rsid w:val="00463D8F"/>
    <w:rsid w:val="00464817"/>
    <w:rsid w:val="00464A3C"/>
    <w:rsid w:val="00464C1A"/>
    <w:rsid w:val="00465144"/>
    <w:rsid w:val="00465D5F"/>
    <w:rsid w:val="00465DE1"/>
    <w:rsid w:val="004677D9"/>
    <w:rsid w:val="004678F2"/>
    <w:rsid w:val="0047009E"/>
    <w:rsid w:val="004704B7"/>
    <w:rsid w:val="00470D40"/>
    <w:rsid w:val="0047124B"/>
    <w:rsid w:val="00471457"/>
    <w:rsid w:val="00471B58"/>
    <w:rsid w:val="00471E31"/>
    <w:rsid w:val="004734B2"/>
    <w:rsid w:val="00473A9B"/>
    <w:rsid w:val="00473B56"/>
    <w:rsid w:val="00473DB4"/>
    <w:rsid w:val="0047431E"/>
    <w:rsid w:val="0047495C"/>
    <w:rsid w:val="00474A4A"/>
    <w:rsid w:val="0047522E"/>
    <w:rsid w:val="004755D6"/>
    <w:rsid w:val="004764AD"/>
    <w:rsid w:val="0047659A"/>
    <w:rsid w:val="004767C2"/>
    <w:rsid w:val="00477ABF"/>
    <w:rsid w:val="00477B62"/>
    <w:rsid w:val="00477BD8"/>
    <w:rsid w:val="00477C4B"/>
    <w:rsid w:val="00480180"/>
    <w:rsid w:val="004811F4"/>
    <w:rsid w:val="004819DF"/>
    <w:rsid w:val="00482406"/>
    <w:rsid w:val="004826AB"/>
    <w:rsid w:val="00483530"/>
    <w:rsid w:val="00483905"/>
    <w:rsid w:val="00483C68"/>
    <w:rsid w:val="00484954"/>
    <w:rsid w:val="0048511E"/>
    <w:rsid w:val="00486883"/>
    <w:rsid w:val="00486FF2"/>
    <w:rsid w:val="004877BE"/>
    <w:rsid w:val="00490A86"/>
    <w:rsid w:val="00490B30"/>
    <w:rsid w:val="00490F57"/>
    <w:rsid w:val="0049166E"/>
    <w:rsid w:val="00492BE5"/>
    <w:rsid w:val="00492C61"/>
    <w:rsid w:val="00492DDE"/>
    <w:rsid w:val="00493009"/>
    <w:rsid w:val="00493F28"/>
    <w:rsid w:val="00494AD0"/>
    <w:rsid w:val="00494CCE"/>
    <w:rsid w:val="00494FF3"/>
    <w:rsid w:val="0049559E"/>
    <w:rsid w:val="004956F5"/>
    <w:rsid w:val="00495A9E"/>
    <w:rsid w:val="00495CE0"/>
    <w:rsid w:val="00495D5A"/>
    <w:rsid w:val="00495E38"/>
    <w:rsid w:val="00495EE3"/>
    <w:rsid w:val="00495F31"/>
    <w:rsid w:val="00496D98"/>
    <w:rsid w:val="004975AA"/>
    <w:rsid w:val="00497D34"/>
    <w:rsid w:val="00497E75"/>
    <w:rsid w:val="00497F4B"/>
    <w:rsid w:val="00497F61"/>
    <w:rsid w:val="004A0527"/>
    <w:rsid w:val="004A054E"/>
    <w:rsid w:val="004A0663"/>
    <w:rsid w:val="004A0AEB"/>
    <w:rsid w:val="004A0AFC"/>
    <w:rsid w:val="004A127F"/>
    <w:rsid w:val="004A12A9"/>
    <w:rsid w:val="004A1564"/>
    <w:rsid w:val="004A1A91"/>
    <w:rsid w:val="004A1D1F"/>
    <w:rsid w:val="004A1DF6"/>
    <w:rsid w:val="004A22DA"/>
    <w:rsid w:val="004A2DBE"/>
    <w:rsid w:val="004A2DD4"/>
    <w:rsid w:val="004A3285"/>
    <w:rsid w:val="004A32D5"/>
    <w:rsid w:val="004A4467"/>
    <w:rsid w:val="004A4980"/>
    <w:rsid w:val="004A5181"/>
    <w:rsid w:val="004A5196"/>
    <w:rsid w:val="004A5560"/>
    <w:rsid w:val="004A5693"/>
    <w:rsid w:val="004A5832"/>
    <w:rsid w:val="004A5E48"/>
    <w:rsid w:val="004A600D"/>
    <w:rsid w:val="004A624C"/>
    <w:rsid w:val="004A65F6"/>
    <w:rsid w:val="004A743A"/>
    <w:rsid w:val="004A7A89"/>
    <w:rsid w:val="004A7D69"/>
    <w:rsid w:val="004A7E31"/>
    <w:rsid w:val="004A7E5F"/>
    <w:rsid w:val="004B00AC"/>
    <w:rsid w:val="004B0785"/>
    <w:rsid w:val="004B1243"/>
    <w:rsid w:val="004B1420"/>
    <w:rsid w:val="004B19A3"/>
    <w:rsid w:val="004B1B89"/>
    <w:rsid w:val="004B1F05"/>
    <w:rsid w:val="004B2013"/>
    <w:rsid w:val="004B2FA7"/>
    <w:rsid w:val="004B31E3"/>
    <w:rsid w:val="004B354C"/>
    <w:rsid w:val="004B3D4C"/>
    <w:rsid w:val="004B405B"/>
    <w:rsid w:val="004B4086"/>
    <w:rsid w:val="004B473C"/>
    <w:rsid w:val="004B50D2"/>
    <w:rsid w:val="004B5515"/>
    <w:rsid w:val="004B5F4F"/>
    <w:rsid w:val="004B66B1"/>
    <w:rsid w:val="004B6976"/>
    <w:rsid w:val="004B7078"/>
    <w:rsid w:val="004B74EB"/>
    <w:rsid w:val="004C0103"/>
    <w:rsid w:val="004C0283"/>
    <w:rsid w:val="004C0A61"/>
    <w:rsid w:val="004C13BA"/>
    <w:rsid w:val="004C1702"/>
    <w:rsid w:val="004C1FF3"/>
    <w:rsid w:val="004C23B1"/>
    <w:rsid w:val="004C2EF7"/>
    <w:rsid w:val="004C3502"/>
    <w:rsid w:val="004C4747"/>
    <w:rsid w:val="004C4905"/>
    <w:rsid w:val="004C4B32"/>
    <w:rsid w:val="004C4D1D"/>
    <w:rsid w:val="004C51C1"/>
    <w:rsid w:val="004C5995"/>
    <w:rsid w:val="004C5BEF"/>
    <w:rsid w:val="004C6451"/>
    <w:rsid w:val="004C6559"/>
    <w:rsid w:val="004C655C"/>
    <w:rsid w:val="004C6D5B"/>
    <w:rsid w:val="004C6E96"/>
    <w:rsid w:val="004C74A8"/>
    <w:rsid w:val="004C7515"/>
    <w:rsid w:val="004C7652"/>
    <w:rsid w:val="004D005F"/>
    <w:rsid w:val="004D1716"/>
    <w:rsid w:val="004D19A6"/>
    <w:rsid w:val="004D213B"/>
    <w:rsid w:val="004D2BB0"/>
    <w:rsid w:val="004D2C45"/>
    <w:rsid w:val="004D2D60"/>
    <w:rsid w:val="004D3813"/>
    <w:rsid w:val="004D384B"/>
    <w:rsid w:val="004D4305"/>
    <w:rsid w:val="004D431F"/>
    <w:rsid w:val="004D4988"/>
    <w:rsid w:val="004D5356"/>
    <w:rsid w:val="004D5FAF"/>
    <w:rsid w:val="004D616D"/>
    <w:rsid w:val="004D633F"/>
    <w:rsid w:val="004D63AB"/>
    <w:rsid w:val="004D6A0F"/>
    <w:rsid w:val="004D6DDA"/>
    <w:rsid w:val="004D718E"/>
    <w:rsid w:val="004D794F"/>
    <w:rsid w:val="004D7D6D"/>
    <w:rsid w:val="004E038B"/>
    <w:rsid w:val="004E03DD"/>
    <w:rsid w:val="004E14DA"/>
    <w:rsid w:val="004E1746"/>
    <w:rsid w:val="004E2283"/>
    <w:rsid w:val="004E232A"/>
    <w:rsid w:val="004E2786"/>
    <w:rsid w:val="004E2AEE"/>
    <w:rsid w:val="004E2F15"/>
    <w:rsid w:val="004E3424"/>
    <w:rsid w:val="004E35C2"/>
    <w:rsid w:val="004E386D"/>
    <w:rsid w:val="004E4052"/>
    <w:rsid w:val="004E4343"/>
    <w:rsid w:val="004E55EB"/>
    <w:rsid w:val="004E5837"/>
    <w:rsid w:val="004E5B16"/>
    <w:rsid w:val="004E5D82"/>
    <w:rsid w:val="004E6412"/>
    <w:rsid w:val="004E6694"/>
    <w:rsid w:val="004E6CFF"/>
    <w:rsid w:val="004E7390"/>
    <w:rsid w:val="004E770D"/>
    <w:rsid w:val="004E771D"/>
    <w:rsid w:val="004E7B55"/>
    <w:rsid w:val="004E7EA9"/>
    <w:rsid w:val="004F0753"/>
    <w:rsid w:val="004F0963"/>
    <w:rsid w:val="004F1988"/>
    <w:rsid w:val="004F1C70"/>
    <w:rsid w:val="004F207A"/>
    <w:rsid w:val="004F22CF"/>
    <w:rsid w:val="004F298A"/>
    <w:rsid w:val="004F29BD"/>
    <w:rsid w:val="004F2B4B"/>
    <w:rsid w:val="004F300F"/>
    <w:rsid w:val="004F3150"/>
    <w:rsid w:val="004F31DD"/>
    <w:rsid w:val="004F34BB"/>
    <w:rsid w:val="004F36B2"/>
    <w:rsid w:val="004F3C30"/>
    <w:rsid w:val="004F3F14"/>
    <w:rsid w:val="004F402B"/>
    <w:rsid w:val="004F407C"/>
    <w:rsid w:val="004F498D"/>
    <w:rsid w:val="004F4AAD"/>
    <w:rsid w:val="004F4FDE"/>
    <w:rsid w:val="004F5365"/>
    <w:rsid w:val="004F53F8"/>
    <w:rsid w:val="004F573F"/>
    <w:rsid w:val="004F5905"/>
    <w:rsid w:val="004F5EC8"/>
    <w:rsid w:val="004F6364"/>
    <w:rsid w:val="004F6593"/>
    <w:rsid w:val="004F6802"/>
    <w:rsid w:val="004F6BAB"/>
    <w:rsid w:val="004F6EBE"/>
    <w:rsid w:val="004F6F4C"/>
    <w:rsid w:val="004F6F60"/>
    <w:rsid w:val="004F6F6E"/>
    <w:rsid w:val="004F75C8"/>
    <w:rsid w:val="004F7743"/>
    <w:rsid w:val="004F7776"/>
    <w:rsid w:val="00500AD7"/>
    <w:rsid w:val="00501313"/>
    <w:rsid w:val="00501614"/>
    <w:rsid w:val="00501732"/>
    <w:rsid w:val="0050180C"/>
    <w:rsid w:val="00501BF2"/>
    <w:rsid w:val="00501EBF"/>
    <w:rsid w:val="00501F22"/>
    <w:rsid w:val="0050273C"/>
    <w:rsid w:val="00502AD7"/>
    <w:rsid w:val="00502BBD"/>
    <w:rsid w:val="00502CE2"/>
    <w:rsid w:val="00502EDE"/>
    <w:rsid w:val="00502FB3"/>
    <w:rsid w:val="005032E7"/>
    <w:rsid w:val="00503AA5"/>
    <w:rsid w:val="00503C65"/>
    <w:rsid w:val="005041C1"/>
    <w:rsid w:val="00505786"/>
    <w:rsid w:val="005057C9"/>
    <w:rsid w:val="00505900"/>
    <w:rsid w:val="00505D2B"/>
    <w:rsid w:val="00506034"/>
    <w:rsid w:val="00506065"/>
    <w:rsid w:val="0050677E"/>
    <w:rsid w:val="00507633"/>
    <w:rsid w:val="0050772E"/>
    <w:rsid w:val="00507B78"/>
    <w:rsid w:val="00507EE4"/>
    <w:rsid w:val="00510095"/>
    <w:rsid w:val="00510203"/>
    <w:rsid w:val="005103E4"/>
    <w:rsid w:val="005106F5"/>
    <w:rsid w:val="005108A6"/>
    <w:rsid w:val="00511C7D"/>
    <w:rsid w:val="00511DC7"/>
    <w:rsid w:val="00512216"/>
    <w:rsid w:val="00513057"/>
    <w:rsid w:val="0051311C"/>
    <w:rsid w:val="00513747"/>
    <w:rsid w:val="00513BEA"/>
    <w:rsid w:val="005141D5"/>
    <w:rsid w:val="00514D0E"/>
    <w:rsid w:val="00515005"/>
    <w:rsid w:val="005151ED"/>
    <w:rsid w:val="0051541A"/>
    <w:rsid w:val="0051577B"/>
    <w:rsid w:val="0051587F"/>
    <w:rsid w:val="00515A5A"/>
    <w:rsid w:val="00515CE7"/>
    <w:rsid w:val="00516559"/>
    <w:rsid w:val="005171B5"/>
    <w:rsid w:val="005173A4"/>
    <w:rsid w:val="00517620"/>
    <w:rsid w:val="0052061C"/>
    <w:rsid w:val="00520767"/>
    <w:rsid w:val="00521138"/>
    <w:rsid w:val="0052158C"/>
    <w:rsid w:val="005217E8"/>
    <w:rsid w:val="00522ABD"/>
    <w:rsid w:val="00523202"/>
    <w:rsid w:val="005237B9"/>
    <w:rsid w:val="005238B2"/>
    <w:rsid w:val="005242E0"/>
    <w:rsid w:val="00524605"/>
    <w:rsid w:val="00524760"/>
    <w:rsid w:val="00524C0F"/>
    <w:rsid w:val="00524C53"/>
    <w:rsid w:val="00524E9E"/>
    <w:rsid w:val="00524F4F"/>
    <w:rsid w:val="0052544C"/>
    <w:rsid w:val="00525588"/>
    <w:rsid w:val="0052593F"/>
    <w:rsid w:val="00525987"/>
    <w:rsid w:val="00526195"/>
    <w:rsid w:val="00526287"/>
    <w:rsid w:val="005263A7"/>
    <w:rsid w:val="005264BE"/>
    <w:rsid w:val="00526944"/>
    <w:rsid w:val="005300E8"/>
    <w:rsid w:val="0053019D"/>
    <w:rsid w:val="00531208"/>
    <w:rsid w:val="00531658"/>
    <w:rsid w:val="00531CD3"/>
    <w:rsid w:val="00531DE9"/>
    <w:rsid w:val="005321DD"/>
    <w:rsid w:val="00532792"/>
    <w:rsid w:val="00533789"/>
    <w:rsid w:val="00533A07"/>
    <w:rsid w:val="00533A2C"/>
    <w:rsid w:val="005342C1"/>
    <w:rsid w:val="00534BFA"/>
    <w:rsid w:val="00534C80"/>
    <w:rsid w:val="00534D12"/>
    <w:rsid w:val="00534F6C"/>
    <w:rsid w:val="00535239"/>
    <w:rsid w:val="00535B75"/>
    <w:rsid w:val="00535CB1"/>
    <w:rsid w:val="005360E7"/>
    <w:rsid w:val="00536209"/>
    <w:rsid w:val="0053675F"/>
    <w:rsid w:val="00536C3A"/>
    <w:rsid w:val="00536C7A"/>
    <w:rsid w:val="00536DF0"/>
    <w:rsid w:val="00537CD9"/>
    <w:rsid w:val="00537F60"/>
    <w:rsid w:val="0054023F"/>
    <w:rsid w:val="00540773"/>
    <w:rsid w:val="00540D5A"/>
    <w:rsid w:val="00540E50"/>
    <w:rsid w:val="00541155"/>
    <w:rsid w:val="005414CA"/>
    <w:rsid w:val="00541760"/>
    <w:rsid w:val="00541804"/>
    <w:rsid w:val="0054273E"/>
    <w:rsid w:val="00542C20"/>
    <w:rsid w:val="00542C52"/>
    <w:rsid w:val="0054311F"/>
    <w:rsid w:val="00543602"/>
    <w:rsid w:val="0054369D"/>
    <w:rsid w:val="005438D8"/>
    <w:rsid w:val="005454D9"/>
    <w:rsid w:val="005457D7"/>
    <w:rsid w:val="0054590E"/>
    <w:rsid w:val="00545F2E"/>
    <w:rsid w:val="00546254"/>
    <w:rsid w:val="005469FC"/>
    <w:rsid w:val="00546EAF"/>
    <w:rsid w:val="00547895"/>
    <w:rsid w:val="00550011"/>
    <w:rsid w:val="005503A3"/>
    <w:rsid w:val="005517A4"/>
    <w:rsid w:val="00551C73"/>
    <w:rsid w:val="00551F79"/>
    <w:rsid w:val="00552264"/>
    <w:rsid w:val="0055278A"/>
    <w:rsid w:val="005535E4"/>
    <w:rsid w:val="00553809"/>
    <w:rsid w:val="00553840"/>
    <w:rsid w:val="00553AA1"/>
    <w:rsid w:val="0055432D"/>
    <w:rsid w:val="005545CD"/>
    <w:rsid w:val="005547B0"/>
    <w:rsid w:val="00554E6A"/>
    <w:rsid w:val="005556C4"/>
    <w:rsid w:val="00555721"/>
    <w:rsid w:val="005557D4"/>
    <w:rsid w:val="00555993"/>
    <w:rsid w:val="00555CA0"/>
    <w:rsid w:val="00555FF1"/>
    <w:rsid w:val="005561CC"/>
    <w:rsid w:val="00556C99"/>
    <w:rsid w:val="00556DC9"/>
    <w:rsid w:val="00556FC7"/>
    <w:rsid w:val="005570C1"/>
    <w:rsid w:val="005571D5"/>
    <w:rsid w:val="005576E0"/>
    <w:rsid w:val="00557CCB"/>
    <w:rsid w:val="00560C20"/>
    <w:rsid w:val="00560EBE"/>
    <w:rsid w:val="005610E4"/>
    <w:rsid w:val="005613F0"/>
    <w:rsid w:val="00561534"/>
    <w:rsid w:val="005616F8"/>
    <w:rsid w:val="00561841"/>
    <w:rsid w:val="005622F8"/>
    <w:rsid w:val="00562926"/>
    <w:rsid w:val="00562BCB"/>
    <w:rsid w:val="00563664"/>
    <w:rsid w:val="00563E2F"/>
    <w:rsid w:val="00563E60"/>
    <w:rsid w:val="0056411F"/>
    <w:rsid w:val="0056424A"/>
    <w:rsid w:val="0056465E"/>
    <w:rsid w:val="005647F5"/>
    <w:rsid w:val="00564F98"/>
    <w:rsid w:val="005651D4"/>
    <w:rsid w:val="005659BE"/>
    <w:rsid w:val="00565E64"/>
    <w:rsid w:val="00565EC2"/>
    <w:rsid w:val="00566092"/>
    <w:rsid w:val="0056740A"/>
    <w:rsid w:val="005674A2"/>
    <w:rsid w:val="00570213"/>
    <w:rsid w:val="00570651"/>
    <w:rsid w:val="005710DD"/>
    <w:rsid w:val="005717D4"/>
    <w:rsid w:val="00571F4C"/>
    <w:rsid w:val="0057297E"/>
    <w:rsid w:val="00572ADE"/>
    <w:rsid w:val="00573197"/>
    <w:rsid w:val="00573B80"/>
    <w:rsid w:val="00573F9E"/>
    <w:rsid w:val="005741CB"/>
    <w:rsid w:val="0057463B"/>
    <w:rsid w:val="005748FF"/>
    <w:rsid w:val="00574CFD"/>
    <w:rsid w:val="00574EAF"/>
    <w:rsid w:val="0057571B"/>
    <w:rsid w:val="00575744"/>
    <w:rsid w:val="00575903"/>
    <w:rsid w:val="00575CA5"/>
    <w:rsid w:val="0057625D"/>
    <w:rsid w:val="005764DC"/>
    <w:rsid w:val="005767BC"/>
    <w:rsid w:val="005768AF"/>
    <w:rsid w:val="005771BE"/>
    <w:rsid w:val="00577C7B"/>
    <w:rsid w:val="00577F5C"/>
    <w:rsid w:val="00580398"/>
    <w:rsid w:val="00580723"/>
    <w:rsid w:val="005808E2"/>
    <w:rsid w:val="0058099D"/>
    <w:rsid w:val="00580A92"/>
    <w:rsid w:val="0058103F"/>
    <w:rsid w:val="0058117A"/>
    <w:rsid w:val="00581181"/>
    <w:rsid w:val="0058152D"/>
    <w:rsid w:val="00581564"/>
    <w:rsid w:val="00581A88"/>
    <w:rsid w:val="00581CE0"/>
    <w:rsid w:val="00581EAC"/>
    <w:rsid w:val="00582081"/>
    <w:rsid w:val="00582861"/>
    <w:rsid w:val="00582CC2"/>
    <w:rsid w:val="0058325A"/>
    <w:rsid w:val="005833F2"/>
    <w:rsid w:val="00583EB3"/>
    <w:rsid w:val="0058419D"/>
    <w:rsid w:val="00584BC5"/>
    <w:rsid w:val="005857E0"/>
    <w:rsid w:val="0058581D"/>
    <w:rsid w:val="00585C5F"/>
    <w:rsid w:val="00586455"/>
    <w:rsid w:val="005869D7"/>
    <w:rsid w:val="00586C56"/>
    <w:rsid w:val="00586C90"/>
    <w:rsid w:val="00586E3F"/>
    <w:rsid w:val="00586F40"/>
    <w:rsid w:val="00587521"/>
    <w:rsid w:val="005876ED"/>
    <w:rsid w:val="00587CB1"/>
    <w:rsid w:val="00587D37"/>
    <w:rsid w:val="005901B2"/>
    <w:rsid w:val="00590504"/>
    <w:rsid w:val="00590E9D"/>
    <w:rsid w:val="0059279B"/>
    <w:rsid w:val="00592E1B"/>
    <w:rsid w:val="00592F40"/>
    <w:rsid w:val="005936C3"/>
    <w:rsid w:val="00593F41"/>
    <w:rsid w:val="005943B3"/>
    <w:rsid w:val="00594589"/>
    <w:rsid w:val="005948AD"/>
    <w:rsid w:val="00594C9A"/>
    <w:rsid w:val="00596104"/>
    <w:rsid w:val="00596308"/>
    <w:rsid w:val="005964AB"/>
    <w:rsid w:val="00596803"/>
    <w:rsid w:val="00596EDC"/>
    <w:rsid w:val="0059728A"/>
    <w:rsid w:val="00597747"/>
    <w:rsid w:val="00597F86"/>
    <w:rsid w:val="005A00F9"/>
    <w:rsid w:val="005A03E3"/>
    <w:rsid w:val="005A0412"/>
    <w:rsid w:val="005A045D"/>
    <w:rsid w:val="005A04CF"/>
    <w:rsid w:val="005A0AE9"/>
    <w:rsid w:val="005A1153"/>
    <w:rsid w:val="005A1505"/>
    <w:rsid w:val="005A18B8"/>
    <w:rsid w:val="005A2351"/>
    <w:rsid w:val="005A24F2"/>
    <w:rsid w:val="005A3300"/>
    <w:rsid w:val="005A35CA"/>
    <w:rsid w:val="005A37C6"/>
    <w:rsid w:val="005A3A46"/>
    <w:rsid w:val="005A3FA4"/>
    <w:rsid w:val="005A42F8"/>
    <w:rsid w:val="005A478E"/>
    <w:rsid w:val="005A4A3E"/>
    <w:rsid w:val="005A5DAB"/>
    <w:rsid w:val="005A5F14"/>
    <w:rsid w:val="005A7299"/>
    <w:rsid w:val="005A72F4"/>
    <w:rsid w:val="005A78AA"/>
    <w:rsid w:val="005A7A4B"/>
    <w:rsid w:val="005B0E6F"/>
    <w:rsid w:val="005B1028"/>
    <w:rsid w:val="005B1058"/>
    <w:rsid w:val="005B1477"/>
    <w:rsid w:val="005B192A"/>
    <w:rsid w:val="005B22B2"/>
    <w:rsid w:val="005B2ADC"/>
    <w:rsid w:val="005B2CC0"/>
    <w:rsid w:val="005B3024"/>
    <w:rsid w:val="005B3B2C"/>
    <w:rsid w:val="005B42CC"/>
    <w:rsid w:val="005B4810"/>
    <w:rsid w:val="005B4B09"/>
    <w:rsid w:val="005B511A"/>
    <w:rsid w:val="005B5188"/>
    <w:rsid w:val="005B53A0"/>
    <w:rsid w:val="005B53C0"/>
    <w:rsid w:val="005B5407"/>
    <w:rsid w:val="005B54CE"/>
    <w:rsid w:val="005B552D"/>
    <w:rsid w:val="005B58F6"/>
    <w:rsid w:val="005B5A01"/>
    <w:rsid w:val="005B5BC2"/>
    <w:rsid w:val="005B5BD9"/>
    <w:rsid w:val="005B6371"/>
    <w:rsid w:val="005B66AE"/>
    <w:rsid w:val="005B6820"/>
    <w:rsid w:val="005B6A98"/>
    <w:rsid w:val="005B73F9"/>
    <w:rsid w:val="005B78FA"/>
    <w:rsid w:val="005B7B0F"/>
    <w:rsid w:val="005C03B5"/>
    <w:rsid w:val="005C0741"/>
    <w:rsid w:val="005C0EDC"/>
    <w:rsid w:val="005C1431"/>
    <w:rsid w:val="005C2725"/>
    <w:rsid w:val="005C2791"/>
    <w:rsid w:val="005C2F16"/>
    <w:rsid w:val="005C35CA"/>
    <w:rsid w:val="005C3820"/>
    <w:rsid w:val="005C3C15"/>
    <w:rsid w:val="005C3D2F"/>
    <w:rsid w:val="005C4174"/>
    <w:rsid w:val="005C4647"/>
    <w:rsid w:val="005C4FAA"/>
    <w:rsid w:val="005C51CD"/>
    <w:rsid w:val="005C549B"/>
    <w:rsid w:val="005C5F25"/>
    <w:rsid w:val="005C6205"/>
    <w:rsid w:val="005C6302"/>
    <w:rsid w:val="005C6406"/>
    <w:rsid w:val="005C6AD2"/>
    <w:rsid w:val="005C6DB4"/>
    <w:rsid w:val="005C6DDE"/>
    <w:rsid w:val="005C71C9"/>
    <w:rsid w:val="005C74BC"/>
    <w:rsid w:val="005C7614"/>
    <w:rsid w:val="005C7FD9"/>
    <w:rsid w:val="005D0DDE"/>
    <w:rsid w:val="005D142E"/>
    <w:rsid w:val="005D225B"/>
    <w:rsid w:val="005D2731"/>
    <w:rsid w:val="005D35FF"/>
    <w:rsid w:val="005D3863"/>
    <w:rsid w:val="005D3C19"/>
    <w:rsid w:val="005D3C9F"/>
    <w:rsid w:val="005D3EAA"/>
    <w:rsid w:val="005D4989"/>
    <w:rsid w:val="005D4CC5"/>
    <w:rsid w:val="005D56F3"/>
    <w:rsid w:val="005D5B5C"/>
    <w:rsid w:val="005D5C9E"/>
    <w:rsid w:val="005D618C"/>
    <w:rsid w:val="005D62D1"/>
    <w:rsid w:val="005D699E"/>
    <w:rsid w:val="005D77B1"/>
    <w:rsid w:val="005D7FFA"/>
    <w:rsid w:val="005E0BAE"/>
    <w:rsid w:val="005E0BF4"/>
    <w:rsid w:val="005E0C37"/>
    <w:rsid w:val="005E0E63"/>
    <w:rsid w:val="005E0FBB"/>
    <w:rsid w:val="005E1412"/>
    <w:rsid w:val="005E1919"/>
    <w:rsid w:val="005E1ACD"/>
    <w:rsid w:val="005E2CE1"/>
    <w:rsid w:val="005E3600"/>
    <w:rsid w:val="005E3684"/>
    <w:rsid w:val="005E3C7B"/>
    <w:rsid w:val="005E3CBF"/>
    <w:rsid w:val="005E3D0F"/>
    <w:rsid w:val="005E421D"/>
    <w:rsid w:val="005E4E02"/>
    <w:rsid w:val="005E62BB"/>
    <w:rsid w:val="005E6430"/>
    <w:rsid w:val="005E67B5"/>
    <w:rsid w:val="005E68B4"/>
    <w:rsid w:val="005E6E69"/>
    <w:rsid w:val="005E6F28"/>
    <w:rsid w:val="005E700B"/>
    <w:rsid w:val="005E71D2"/>
    <w:rsid w:val="005E75A7"/>
    <w:rsid w:val="005F0C86"/>
    <w:rsid w:val="005F0D42"/>
    <w:rsid w:val="005F0DF6"/>
    <w:rsid w:val="005F0FF7"/>
    <w:rsid w:val="005F1276"/>
    <w:rsid w:val="005F1403"/>
    <w:rsid w:val="005F1641"/>
    <w:rsid w:val="005F1833"/>
    <w:rsid w:val="005F1C43"/>
    <w:rsid w:val="005F1DF7"/>
    <w:rsid w:val="005F1E57"/>
    <w:rsid w:val="005F226A"/>
    <w:rsid w:val="005F2516"/>
    <w:rsid w:val="005F3D8F"/>
    <w:rsid w:val="005F3E3D"/>
    <w:rsid w:val="005F45E6"/>
    <w:rsid w:val="005F48F5"/>
    <w:rsid w:val="005F4F16"/>
    <w:rsid w:val="005F516A"/>
    <w:rsid w:val="005F612F"/>
    <w:rsid w:val="005F67C9"/>
    <w:rsid w:val="005F716C"/>
    <w:rsid w:val="00600026"/>
    <w:rsid w:val="0060023D"/>
    <w:rsid w:val="006004CA"/>
    <w:rsid w:val="00600DEC"/>
    <w:rsid w:val="0060164F"/>
    <w:rsid w:val="006018D5"/>
    <w:rsid w:val="00601A20"/>
    <w:rsid w:val="0060212B"/>
    <w:rsid w:val="00602D57"/>
    <w:rsid w:val="00602D92"/>
    <w:rsid w:val="0060337B"/>
    <w:rsid w:val="00603502"/>
    <w:rsid w:val="00603616"/>
    <w:rsid w:val="00603BB1"/>
    <w:rsid w:val="00603E22"/>
    <w:rsid w:val="00603FA4"/>
    <w:rsid w:val="00604310"/>
    <w:rsid w:val="00605A94"/>
    <w:rsid w:val="00606893"/>
    <w:rsid w:val="00607DB8"/>
    <w:rsid w:val="00610787"/>
    <w:rsid w:val="0061091D"/>
    <w:rsid w:val="00610963"/>
    <w:rsid w:val="00610A1B"/>
    <w:rsid w:val="0061152A"/>
    <w:rsid w:val="00611C5E"/>
    <w:rsid w:val="006123BC"/>
    <w:rsid w:val="00612B71"/>
    <w:rsid w:val="00612DBB"/>
    <w:rsid w:val="00612F28"/>
    <w:rsid w:val="006131BB"/>
    <w:rsid w:val="006131BD"/>
    <w:rsid w:val="00613306"/>
    <w:rsid w:val="00613619"/>
    <w:rsid w:val="0061394F"/>
    <w:rsid w:val="00613AA0"/>
    <w:rsid w:val="00613D27"/>
    <w:rsid w:val="00614462"/>
    <w:rsid w:val="006149A5"/>
    <w:rsid w:val="00614BA2"/>
    <w:rsid w:val="00614BCC"/>
    <w:rsid w:val="00615281"/>
    <w:rsid w:val="00615471"/>
    <w:rsid w:val="006158F2"/>
    <w:rsid w:val="006159A0"/>
    <w:rsid w:val="006161D7"/>
    <w:rsid w:val="0061632C"/>
    <w:rsid w:val="00616528"/>
    <w:rsid w:val="00616935"/>
    <w:rsid w:val="00616C9A"/>
    <w:rsid w:val="00616D8C"/>
    <w:rsid w:val="00617724"/>
    <w:rsid w:val="00617791"/>
    <w:rsid w:val="006178FE"/>
    <w:rsid w:val="00620066"/>
    <w:rsid w:val="00620482"/>
    <w:rsid w:val="006207BE"/>
    <w:rsid w:val="00620ACE"/>
    <w:rsid w:val="00620B4E"/>
    <w:rsid w:val="00620D2D"/>
    <w:rsid w:val="00620DE0"/>
    <w:rsid w:val="006215B6"/>
    <w:rsid w:val="006215E9"/>
    <w:rsid w:val="00621FBD"/>
    <w:rsid w:val="00622045"/>
    <w:rsid w:val="0062247A"/>
    <w:rsid w:val="00622961"/>
    <w:rsid w:val="006239C7"/>
    <w:rsid w:val="00623DCC"/>
    <w:rsid w:val="00624E63"/>
    <w:rsid w:val="0062504F"/>
    <w:rsid w:val="00625115"/>
    <w:rsid w:val="0062614A"/>
    <w:rsid w:val="006263D5"/>
    <w:rsid w:val="00626623"/>
    <w:rsid w:val="006268B0"/>
    <w:rsid w:val="00626A87"/>
    <w:rsid w:val="00626D5E"/>
    <w:rsid w:val="00626F4B"/>
    <w:rsid w:val="006273EA"/>
    <w:rsid w:val="006278F3"/>
    <w:rsid w:val="00627AD6"/>
    <w:rsid w:val="00627B14"/>
    <w:rsid w:val="00627D2D"/>
    <w:rsid w:val="00627EAF"/>
    <w:rsid w:val="0063001A"/>
    <w:rsid w:val="006305DC"/>
    <w:rsid w:val="006307AF"/>
    <w:rsid w:val="00630B2E"/>
    <w:rsid w:val="00630F3E"/>
    <w:rsid w:val="0063135A"/>
    <w:rsid w:val="00631551"/>
    <w:rsid w:val="0063178E"/>
    <w:rsid w:val="006317B2"/>
    <w:rsid w:val="006319F2"/>
    <w:rsid w:val="00631F52"/>
    <w:rsid w:val="00632008"/>
    <w:rsid w:val="00632681"/>
    <w:rsid w:val="00632BE9"/>
    <w:rsid w:val="00632F19"/>
    <w:rsid w:val="00633250"/>
    <w:rsid w:val="00633622"/>
    <w:rsid w:val="00633CA3"/>
    <w:rsid w:val="00633F18"/>
    <w:rsid w:val="00634E7E"/>
    <w:rsid w:val="00634EAE"/>
    <w:rsid w:val="0063533D"/>
    <w:rsid w:val="00635496"/>
    <w:rsid w:val="00635C3C"/>
    <w:rsid w:val="00636A23"/>
    <w:rsid w:val="00636F01"/>
    <w:rsid w:val="00636F27"/>
    <w:rsid w:val="006371C1"/>
    <w:rsid w:val="00637340"/>
    <w:rsid w:val="00637356"/>
    <w:rsid w:val="0063747F"/>
    <w:rsid w:val="00637CBC"/>
    <w:rsid w:val="00637E3F"/>
    <w:rsid w:val="00637F1C"/>
    <w:rsid w:val="00641359"/>
    <w:rsid w:val="006413AB"/>
    <w:rsid w:val="00641812"/>
    <w:rsid w:val="006421B1"/>
    <w:rsid w:val="00642320"/>
    <w:rsid w:val="006441EA"/>
    <w:rsid w:val="006446B8"/>
    <w:rsid w:val="00644951"/>
    <w:rsid w:val="00644C06"/>
    <w:rsid w:val="00644C72"/>
    <w:rsid w:val="00644FD6"/>
    <w:rsid w:val="006460A6"/>
    <w:rsid w:val="00646137"/>
    <w:rsid w:val="00646639"/>
    <w:rsid w:val="006467CA"/>
    <w:rsid w:val="00646870"/>
    <w:rsid w:val="00646942"/>
    <w:rsid w:val="00647343"/>
    <w:rsid w:val="006477D5"/>
    <w:rsid w:val="00650321"/>
    <w:rsid w:val="00650364"/>
    <w:rsid w:val="00650475"/>
    <w:rsid w:val="00650FD8"/>
    <w:rsid w:val="00651757"/>
    <w:rsid w:val="00651811"/>
    <w:rsid w:val="00651DF4"/>
    <w:rsid w:val="0065245E"/>
    <w:rsid w:val="00652556"/>
    <w:rsid w:val="00652965"/>
    <w:rsid w:val="0065298D"/>
    <w:rsid w:val="00652EE8"/>
    <w:rsid w:val="00652F9E"/>
    <w:rsid w:val="00653052"/>
    <w:rsid w:val="00653320"/>
    <w:rsid w:val="0065335E"/>
    <w:rsid w:val="00653471"/>
    <w:rsid w:val="006539D4"/>
    <w:rsid w:val="0065466D"/>
    <w:rsid w:val="00654C61"/>
    <w:rsid w:val="0065539F"/>
    <w:rsid w:val="00655ADF"/>
    <w:rsid w:val="006566C4"/>
    <w:rsid w:val="00657AA8"/>
    <w:rsid w:val="00657E6F"/>
    <w:rsid w:val="00657EA9"/>
    <w:rsid w:val="006602F3"/>
    <w:rsid w:val="00660405"/>
    <w:rsid w:val="00660873"/>
    <w:rsid w:val="00660968"/>
    <w:rsid w:val="00660CDC"/>
    <w:rsid w:val="00661894"/>
    <w:rsid w:val="00661A7E"/>
    <w:rsid w:val="0066217C"/>
    <w:rsid w:val="006621DA"/>
    <w:rsid w:val="00662863"/>
    <w:rsid w:val="006628F4"/>
    <w:rsid w:val="00662CB1"/>
    <w:rsid w:val="00662E5A"/>
    <w:rsid w:val="00663191"/>
    <w:rsid w:val="00663B01"/>
    <w:rsid w:val="00663C75"/>
    <w:rsid w:val="00663CAF"/>
    <w:rsid w:val="0066430D"/>
    <w:rsid w:val="00664562"/>
    <w:rsid w:val="006645D2"/>
    <w:rsid w:val="006652B9"/>
    <w:rsid w:val="006656DB"/>
    <w:rsid w:val="0066577B"/>
    <w:rsid w:val="00665917"/>
    <w:rsid w:val="00665AB2"/>
    <w:rsid w:val="00665CEE"/>
    <w:rsid w:val="00665DDB"/>
    <w:rsid w:val="00666204"/>
    <w:rsid w:val="0066682F"/>
    <w:rsid w:val="0066698D"/>
    <w:rsid w:val="00666992"/>
    <w:rsid w:val="0066780F"/>
    <w:rsid w:val="00667FDA"/>
    <w:rsid w:val="006703F9"/>
    <w:rsid w:val="00670852"/>
    <w:rsid w:val="00670E74"/>
    <w:rsid w:val="00671232"/>
    <w:rsid w:val="00671266"/>
    <w:rsid w:val="006716FD"/>
    <w:rsid w:val="00671757"/>
    <w:rsid w:val="006717B3"/>
    <w:rsid w:val="00671AD0"/>
    <w:rsid w:val="00671B65"/>
    <w:rsid w:val="00671DDF"/>
    <w:rsid w:val="00671DFB"/>
    <w:rsid w:val="00672374"/>
    <w:rsid w:val="0067294B"/>
    <w:rsid w:val="00672973"/>
    <w:rsid w:val="00672AA4"/>
    <w:rsid w:val="00672D73"/>
    <w:rsid w:val="006730C9"/>
    <w:rsid w:val="006731E8"/>
    <w:rsid w:val="0067423C"/>
    <w:rsid w:val="006742EB"/>
    <w:rsid w:val="006744C3"/>
    <w:rsid w:val="00674562"/>
    <w:rsid w:val="00674D2F"/>
    <w:rsid w:val="006750D7"/>
    <w:rsid w:val="00675531"/>
    <w:rsid w:val="0067556C"/>
    <w:rsid w:val="006758D3"/>
    <w:rsid w:val="00675C9E"/>
    <w:rsid w:val="00675F41"/>
    <w:rsid w:val="00675F4A"/>
    <w:rsid w:val="00676303"/>
    <w:rsid w:val="006763A5"/>
    <w:rsid w:val="00676519"/>
    <w:rsid w:val="006765D2"/>
    <w:rsid w:val="006771B1"/>
    <w:rsid w:val="00677220"/>
    <w:rsid w:val="006772AD"/>
    <w:rsid w:val="0067772F"/>
    <w:rsid w:val="00677BD8"/>
    <w:rsid w:val="00681498"/>
    <w:rsid w:val="00682F2D"/>
    <w:rsid w:val="00682FDE"/>
    <w:rsid w:val="006834C2"/>
    <w:rsid w:val="006841F1"/>
    <w:rsid w:val="0068449B"/>
    <w:rsid w:val="006846D2"/>
    <w:rsid w:val="00685160"/>
    <w:rsid w:val="006851E6"/>
    <w:rsid w:val="00685512"/>
    <w:rsid w:val="0068551F"/>
    <w:rsid w:val="00685DA2"/>
    <w:rsid w:val="006870AE"/>
    <w:rsid w:val="00687186"/>
    <w:rsid w:val="0068730D"/>
    <w:rsid w:val="006875BC"/>
    <w:rsid w:val="0068785D"/>
    <w:rsid w:val="00687DA5"/>
    <w:rsid w:val="00690A21"/>
    <w:rsid w:val="00690B7C"/>
    <w:rsid w:val="00691385"/>
    <w:rsid w:val="00691EC3"/>
    <w:rsid w:val="006930B5"/>
    <w:rsid w:val="0069369E"/>
    <w:rsid w:val="0069492B"/>
    <w:rsid w:val="006955BF"/>
    <w:rsid w:val="00695601"/>
    <w:rsid w:val="00695883"/>
    <w:rsid w:val="006958AE"/>
    <w:rsid w:val="006960D4"/>
    <w:rsid w:val="006961C8"/>
    <w:rsid w:val="0069652C"/>
    <w:rsid w:val="00696D7E"/>
    <w:rsid w:val="00696FDB"/>
    <w:rsid w:val="00697027"/>
    <w:rsid w:val="0069726A"/>
    <w:rsid w:val="006974B7"/>
    <w:rsid w:val="00697C6A"/>
    <w:rsid w:val="00697FB7"/>
    <w:rsid w:val="006A0600"/>
    <w:rsid w:val="006A0C25"/>
    <w:rsid w:val="006A0F32"/>
    <w:rsid w:val="006A12D7"/>
    <w:rsid w:val="006A1A03"/>
    <w:rsid w:val="006A1D77"/>
    <w:rsid w:val="006A205A"/>
    <w:rsid w:val="006A21BE"/>
    <w:rsid w:val="006A2B23"/>
    <w:rsid w:val="006A438D"/>
    <w:rsid w:val="006A4972"/>
    <w:rsid w:val="006A4BDD"/>
    <w:rsid w:val="006A4E2A"/>
    <w:rsid w:val="006A4E55"/>
    <w:rsid w:val="006A5221"/>
    <w:rsid w:val="006A5612"/>
    <w:rsid w:val="006A5745"/>
    <w:rsid w:val="006A601B"/>
    <w:rsid w:val="006A6186"/>
    <w:rsid w:val="006A63CB"/>
    <w:rsid w:val="006A65DA"/>
    <w:rsid w:val="006A693C"/>
    <w:rsid w:val="006A6AB9"/>
    <w:rsid w:val="006A6B38"/>
    <w:rsid w:val="006A6C0B"/>
    <w:rsid w:val="006A6D27"/>
    <w:rsid w:val="006A6F8A"/>
    <w:rsid w:val="006A75C2"/>
    <w:rsid w:val="006A7EAE"/>
    <w:rsid w:val="006A7FF4"/>
    <w:rsid w:val="006B00A0"/>
    <w:rsid w:val="006B0243"/>
    <w:rsid w:val="006B0730"/>
    <w:rsid w:val="006B0CE5"/>
    <w:rsid w:val="006B0FAF"/>
    <w:rsid w:val="006B0FC3"/>
    <w:rsid w:val="006B1166"/>
    <w:rsid w:val="006B14CA"/>
    <w:rsid w:val="006B1B51"/>
    <w:rsid w:val="006B27D9"/>
    <w:rsid w:val="006B3219"/>
    <w:rsid w:val="006B37AB"/>
    <w:rsid w:val="006B3997"/>
    <w:rsid w:val="006B47CF"/>
    <w:rsid w:val="006B4B03"/>
    <w:rsid w:val="006B518F"/>
    <w:rsid w:val="006B5317"/>
    <w:rsid w:val="006B5461"/>
    <w:rsid w:val="006B5760"/>
    <w:rsid w:val="006B589F"/>
    <w:rsid w:val="006B5C64"/>
    <w:rsid w:val="006B5FBA"/>
    <w:rsid w:val="006B64D1"/>
    <w:rsid w:val="006B68BC"/>
    <w:rsid w:val="006B693E"/>
    <w:rsid w:val="006B6A56"/>
    <w:rsid w:val="006B7175"/>
    <w:rsid w:val="006B7231"/>
    <w:rsid w:val="006B72FF"/>
    <w:rsid w:val="006B761E"/>
    <w:rsid w:val="006B76F2"/>
    <w:rsid w:val="006B79B1"/>
    <w:rsid w:val="006C0288"/>
    <w:rsid w:val="006C0396"/>
    <w:rsid w:val="006C09C9"/>
    <w:rsid w:val="006C1289"/>
    <w:rsid w:val="006C14CB"/>
    <w:rsid w:val="006C1703"/>
    <w:rsid w:val="006C1971"/>
    <w:rsid w:val="006C1B4D"/>
    <w:rsid w:val="006C1B95"/>
    <w:rsid w:val="006C23C2"/>
    <w:rsid w:val="006C23FD"/>
    <w:rsid w:val="006C26C1"/>
    <w:rsid w:val="006C2F33"/>
    <w:rsid w:val="006C3378"/>
    <w:rsid w:val="006C3690"/>
    <w:rsid w:val="006C41A2"/>
    <w:rsid w:val="006C4958"/>
    <w:rsid w:val="006C50EA"/>
    <w:rsid w:val="006C5104"/>
    <w:rsid w:val="006C5F0F"/>
    <w:rsid w:val="006C6742"/>
    <w:rsid w:val="006C6A80"/>
    <w:rsid w:val="006C6DCA"/>
    <w:rsid w:val="006C7419"/>
    <w:rsid w:val="006C77E8"/>
    <w:rsid w:val="006C7EA0"/>
    <w:rsid w:val="006D034B"/>
    <w:rsid w:val="006D1160"/>
    <w:rsid w:val="006D1B7C"/>
    <w:rsid w:val="006D1BBE"/>
    <w:rsid w:val="006D1E49"/>
    <w:rsid w:val="006D2749"/>
    <w:rsid w:val="006D30E6"/>
    <w:rsid w:val="006D360B"/>
    <w:rsid w:val="006D3C28"/>
    <w:rsid w:val="006D3EAC"/>
    <w:rsid w:val="006D477A"/>
    <w:rsid w:val="006D49D7"/>
    <w:rsid w:val="006D4B6B"/>
    <w:rsid w:val="006D4F3D"/>
    <w:rsid w:val="006D5119"/>
    <w:rsid w:val="006D512C"/>
    <w:rsid w:val="006D5A68"/>
    <w:rsid w:val="006D5ACC"/>
    <w:rsid w:val="006D5DBE"/>
    <w:rsid w:val="006D6E98"/>
    <w:rsid w:val="006D6FDF"/>
    <w:rsid w:val="006D7ED5"/>
    <w:rsid w:val="006E00F7"/>
    <w:rsid w:val="006E0B79"/>
    <w:rsid w:val="006E0C4C"/>
    <w:rsid w:val="006E1268"/>
    <w:rsid w:val="006E1A7F"/>
    <w:rsid w:val="006E255B"/>
    <w:rsid w:val="006E2582"/>
    <w:rsid w:val="006E2829"/>
    <w:rsid w:val="006E2FFA"/>
    <w:rsid w:val="006E34F5"/>
    <w:rsid w:val="006E38AA"/>
    <w:rsid w:val="006E3DCB"/>
    <w:rsid w:val="006E50B8"/>
    <w:rsid w:val="006E5174"/>
    <w:rsid w:val="006E5478"/>
    <w:rsid w:val="006E5A18"/>
    <w:rsid w:val="006E6731"/>
    <w:rsid w:val="006E6ADD"/>
    <w:rsid w:val="006E725D"/>
    <w:rsid w:val="006E77D1"/>
    <w:rsid w:val="006E795F"/>
    <w:rsid w:val="006E796F"/>
    <w:rsid w:val="006E7C9B"/>
    <w:rsid w:val="006F02F0"/>
    <w:rsid w:val="006F069E"/>
    <w:rsid w:val="006F09DC"/>
    <w:rsid w:val="006F0CCB"/>
    <w:rsid w:val="006F15BC"/>
    <w:rsid w:val="006F1A50"/>
    <w:rsid w:val="006F1DF5"/>
    <w:rsid w:val="006F1EF9"/>
    <w:rsid w:val="006F220A"/>
    <w:rsid w:val="006F23D1"/>
    <w:rsid w:val="006F37D3"/>
    <w:rsid w:val="006F391F"/>
    <w:rsid w:val="006F3A78"/>
    <w:rsid w:val="006F49A2"/>
    <w:rsid w:val="006F5010"/>
    <w:rsid w:val="006F586C"/>
    <w:rsid w:val="006F62FB"/>
    <w:rsid w:val="006F6BD0"/>
    <w:rsid w:val="0070049F"/>
    <w:rsid w:val="007007E8"/>
    <w:rsid w:val="00700851"/>
    <w:rsid w:val="007008AC"/>
    <w:rsid w:val="007011AD"/>
    <w:rsid w:val="0070204D"/>
    <w:rsid w:val="007023A0"/>
    <w:rsid w:val="00703922"/>
    <w:rsid w:val="00704574"/>
    <w:rsid w:val="007052F3"/>
    <w:rsid w:val="007053BC"/>
    <w:rsid w:val="00705969"/>
    <w:rsid w:val="00705E0D"/>
    <w:rsid w:val="0070640A"/>
    <w:rsid w:val="007066EC"/>
    <w:rsid w:val="00706A74"/>
    <w:rsid w:val="007072EE"/>
    <w:rsid w:val="0070778F"/>
    <w:rsid w:val="0070783E"/>
    <w:rsid w:val="00707BD5"/>
    <w:rsid w:val="00707D18"/>
    <w:rsid w:val="00710118"/>
    <w:rsid w:val="007101B0"/>
    <w:rsid w:val="007107FD"/>
    <w:rsid w:val="00710992"/>
    <w:rsid w:val="00711BE1"/>
    <w:rsid w:val="00711F97"/>
    <w:rsid w:val="00712F37"/>
    <w:rsid w:val="00713045"/>
    <w:rsid w:val="0071319C"/>
    <w:rsid w:val="00713ADE"/>
    <w:rsid w:val="00713B4B"/>
    <w:rsid w:val="00714083"/>
    <w:rsid w:val="007140C0"/>
    <w:rsid w:val="00714C12"/>
    <w:rsid w:val="00714E58"/>
    <w:rsid w:val="00715944"/>
    <w:rsid w:val="00716166"/>
    <w:rsid w:val="007161D6"/>
    <w:rsid w:val="0071684B"/>
    <w:rsid w:val="00716897"/>
    <w:rsid w:val="0071700A"/>
    <w:rsid w:val="00717199"/>
    <w:rsid w:val="0071734B"/>
    <w:rsid w:val="00717770"/>
    <w:rsid w:val="00717FA1"/>
    <w:rsid w:val="00720582"/>
    <w:rsid w:val="007206DF"/>
    <w:rsid w:val="007208B7"/>
    <w:rsid w:val="00720F71"/>
    <w:rsid w:val="0072174E"/>
    <w:rsid w:val="007222E5"/>
    <w:rsid w:val="007227B1"/>
    <w:rsid w:val="00722B2F"/>
    <w:rsid w:val="00722C9C"/>
    <w:rsid w:val="00722F83"/>
    <w:rsid w:val="007231DC"/>
    <w:rsid w:val="0072468A"/>
    <w:rsid w:val="00724F42"/>
    <w:rsid w:val="00724FFC"/>
    <w:rsid w:val="00725615"/>
    <w:rsid w:val="007257F1"/>
    <w:rsid w:val="00725E61"/>
    <w:rsid w:val="00725E75"/>
    <w:rsid w:val="007262C1"/>
    <w:rsid w:val="00726C45"/>
    <w:rsid w:val="0072767C"/>
    <w:rsid w:val="00727AD1"/>
    <w:rsid w:val="00727B77"/>
    <w:rsid w:val="00727F07"/>
    <w:rsid w:val="007306C2"/>
    <w:rsid w:val="007307D8"/>
    <w:rsid w:val="007308CC"/>
    <w:rsid w:val="0073099B"/>
    <w:rsid w:val="00731C56"/>
    <w:rsid w:val="00731DD6"/>
    <w:rsid w:val="00732167"/>
    <w:rsid w:val="007325CC"/>
    <w:rsid w:val="0073297F"/>
    <w:rsid w:val="00732A33"/>
    <w:rsid w:val="00732D3F"/>
    <w:rsid w:val="00732DC4"/>
    <w:rsid w:val="007331BB"/>
    <w:rsid w:val="00733879"/>
    <w:rsid w:val="00733EFB"/>
    <w:rsid w:val="007342A1"/>
    <w:rsid w:val="007346E7"/>
    <w:rsid w:val="007348DF"/>
    <w:rsid w:val="00734A30"/>
    <w:rsid w:val="00734BC3"/>
    <w:rsid w:val="00734C58"/>
    <w:rsid w:val="00734D67"/>
    <w:rsid w:val="00734F29"/>
    <w:rsid w:val="007358C8"/>
    <w:rsid w:val="007364CD"/>
    <w:rsid w:val="00736CAB"/>
    <w:rsid w:val="00736D05"/>
    <w:rsid w:val="00737251"/>
    <w:rsid w:val="00737351"/>
    <w:rsid w:val="00737603"/>
    <w:rsid w:val="00737BDC"/>
    <w:rsid w:val="007406E7"/>
    <w:rsid w:val="00740BE3"/>
    <w:rsid w:val="00740D3F"/>
    <w:rsid w:val="007416D9"/>
    <w:rsid w:val="0074173C"/>
    <w:rsid w:val="00741B21"/>
    <w:rsid w:val="00741B44"/>
    <w:rsid w:val="00741D9B"/>
    <w:rsid w:val="0074203A"/>
    <w:rsid w:val="0074273E"/>
    <w:rsid w:val="00742CEF"/>
    <w:rsid w:val="007431BE"/>
    <w:rsid w:val="007437FB"/>
    <w:rsid w:val="0074384C"/>
    <w:rsid w:val="00743CB1"/>
    <w:rsid w:val="00744912"/>
    <w:rsid w:val="00744DA1"/>
    <w:rsid w:val="007451B8"/>
    <w:rsid w:val="00745590"/>
    <w:rsid w:val="00745C13"/>
    <w:rsid w:val="00745D7B"/>
    <w:rsid w:val="00745E9C"/>
    <w:rsid w:val="00745ED2"/>
    <w:rsid w:val="0074612E"/>
    <w:rsid w:val="007462C5"/>
    <w:rsid w:val="00746ECD"/>
    <w:rsid w:val="00747107"/>
    <w:rsid w:val="007472F1"/>
    <w:rsid w:val="00747567"/>
    <w:rsid w:val="00747730"/>
    <w:rsid w:val="0074784B"/>
    <w:rsid w:val="0074787D"/>
    <w:rsid w:val="00747AB6"/>
    <w:rsid w:val="007506FB"/>
    <w:rsid w:val="0075096E"/>
    <w:rsid w:val="00750F62"/>
    <w:rsid w:val="00750F80"/>
    <w:rsid w:val="007512D0"/>
    <w:rsid w:val="007521C9"/>
    <w:rsid w:val="007525FB"/>
    <w:rsid w:val="007529B6"/>
    <w:rsid w:val="00753579"/>
    <w:rsid w:val="00753F25"/>
    <w:rsid w:val="00754940"/>
    <w:rsid w:val="00754D44"/>
    <w:rsid w:val="00754E3A"/>
    <w:rsid w:val="0075529D"/>
    <w:rsid w:val="007554A5"/>
    <w:rsid w:val="00755A34"/>
    <w:rsid w:val="00755A8C"/>
    <w:rsid w:val="00755AC9"/>
    <w:rsid w:val="00755E7C"/>
    <w:rsid w:val="00755FFC"/>
    <w:rsid w:val="00757369"/>
    <w:rsid w:val="007603A3"/>
    <w:rsid w:val="00760840"/>
    <w:rsid w:val="00760AF1"/>
    <w:rsid w:val="00760B8D"/>
    <w:rsid w:val="00760BE7"/>
    <w:rsid w:val="00760FA3"/>
    <w:rsid w:val="00761781"/>
    <w:rsid w:val="00761960"/>
    <w:rsid w:val="007622D1"/>
    <w:rsid w:val="007622E6"/>
    <w:rsid w:val="007628A7"/>
    <w:rsid w:val="007630C2"/>
    <w:rsid w:val="00763906"/>
    <w:rsid w:val="00763CD6"/>
    <w:rsid w:val="007640D9"/>
    <w:rsid w:val="00764548"/>
    <w:rsid w:val="00764B1F"/>
    <w:rsid w:val="00764BB1"/>
    <w:rsid w:val="00765508"/>
    <w:rsid w:val="0076604D"/>
    <w:rsid w:val="007667EA"/>
    <w:rsid w:val="007667F8"/>
    <w:rsid w:val="00766FFF"/>
    <w:rsid w:val="0076715C"/>
    <w:rsid w:val="0076755A"/>
    <w:rsid w:val="00770974"/>
    <w:rsid w:val="00771286"/>
    <w:rsid w:val="007715B0"/>
    <w:rsid w:val="007718E0"/>
    <w:rsid w:val="007719F6"/>
    <w:rsid w:val="00771D2A"/>
    <w:rsid w:val="00772678"/>
    <w:rsid w:val="00772E45"/>
    <w:rsid w:val="00773BD5"/>
    <w:rsid w:val="00773D64"/>
    <w:rsid w:val="007740F9"/>
    <w:rsid w:val="00774B03"/>
    <w:rsid w:val="00774E2E"/>
    <w:rsid w:val="00774EF0"/>
    <w:rsid w:val="007757F3"/>
    <w:rsid w:val="00775F7B"/>
    <w:rsid w:val="00776D65"/>
    <w:rsid w:val="00777A8E"/>
    <w:rsid w:val="00780310"/>
    <w:rsid w:val="0078033A"/>
    <w:rsid w:val="00780D7F"/>
    <w:rsid w:val="00780F15"/>
    <w:rsid w:val="00781276"/>
    <w:rsid w:val="00781689"/>
    <w:rsid w:val="00781F39"/>
    <w:rsid w:val="0078269D"/>
    <w:rsid w:val="00782900"/>
    <w:rsid w:val="00783258"/>
    <w:rsid w:val="00783C1E"/>
    <w:rsid w:val="00783ECF"/>
    <w:rsid w:val="0078472A"/>
    <w:rsid w:val="00784C1B"/>
    <w:rsid w:val="00784D49"/>
    <w:rsid w:val="007851A7"/>
    <w:rsid w:val="007860A7"/>
    <w:rsid w:val="007861BE"/>
    <w:rsid w:val="00786218"/>
    <w:rsid w:val="007868F4"/>
    <w:rsid w:val="0078740E"/>
    <w:rsid w:val="00787773"/>
    <w:rsid w:val="00790274"/>
    <w:rsid w:val="00790385"/>
    <w:rsid w:val="00791CE9"/>
    <w:rsid w:val="00791E43"/>
    <w:rsid w:val="00792931"/>
    <w:rsid w:val="00793826"/>
    <w:rsid w:val="00793E0D"/>
    <w:rsid w:val="00793E69"/>
    <w:rsid w:val="0079416C"/>
    <w:rsid w:val="00794353"/>
    <w:rsid w:val="007943BB"/>
    <w:rsid w:val="00794524"/>
    <w:rsid w:val="00794D57"/>
    <w:rsid w:val="0079516A"/>
    <w:rsid w:val="00795378"/>
    <w:rsid w:val="007955CC"/>
    <w:rsid w:val="007958A0"/>
    <w:rsid w:val="0079590C"/>
    <w:rsid w:val="00795AB9"/>
    <w:rsid w:val="00796949"/>
    <w:rsid w:val="00796FCA"/>
    <w:rsid w:val="00796FEE"/>
    <w:rsid w:val="007972FF"/>
    <w:rsid w:val="00797920"/>
    <w:rsid w:val="00797BF1"/>
    <w:rsid w:val="007A00E7"/>
    <w:rsid w:val="007A06D0"/>
    <w:rsid w:val="007A08BE"/>
    <w:rsid w:val="007A0951"/>
    <w:rsid w:val="007A1121"/>
    <w:rsid w:val="007A1BB8"/>
    <w:rsid w:val="007A1D23"/>
    <w:rsid w:val="007A26C7"/>
    <w:rsid w:val="007A2ABB"/>
    <w:rsid w:val="007A336F"/>
    <w:rsid w:val="007A3CE6"/>
    <w:rsid w:val="007A3EF5"/>
    <w:rsid w:val="007A4064"/>
    <w:rsid w:val="007A415E"/>
    <w:rsid w:val="007A4257"/>
    <w:rsid w:val="007A46A3"/>
    <w:rsid w:val="007A4C0F"/>
    <w:rsid w:val="007A60CB"/>
    <w:rsid w:val="007A652C"/>
    <w:rsid w:val="007A66D1"/>
    <w:rsid w:val="007A6746"/>
    <w:rsid w:val="007A785C"/>
    <w:rsid w:val="007A7A7D"/>
    <w:rsid w:val="007A7BA9"/>
    <w:rsid w:val="007A7E08"/>
    <w:rsid w:val="007B06DC"/>
    <w:rsid w:val="007B0883"/>
    <w:rsid w:val="007B08D7"/>
    <w:rsid w:val="007B0986"/>
    <w:rsid w:val="007B239D"/>
    <w:rsid w:val="007B242A"/>
    <w:rsid w:val="007B242C"/>
    <w:rsid w:val="007B28A6"/>
    <w:rsid w:val="007B2CA5"/>
    <w:rsid w:val="007B3F33"/>
    <w:rsid w:val="007B4967"/>
    <w:rsid w:val="007B4B86"/>
    <w:rsid w:val="007B4CEC"/>
    <w:rsid w:val="007B4E8C"/>
    <w:rsid w:val="007B5198"/>
    <w:rsid w:val="007B52F4"/>
    <w:rsid w:val="007B5A88"/>
    <w:rsid w:val="007B5DD4"/>
    <w:rsid w:val="007B5FF8"/>
    <w:rsid w:val="007B64EC"/>
    <w:rsid w:val="007B6703"/>
    <w:rsid w:val="007B6FBD"/>
    <w:rsid w:val="007B7167"/>
    <w:rsid w:val="007B73F8"/>
    <w:rsid w:val="007B7708"/>
    <w:rsid w:val="007B7B2F"/>
    <w:rsid w:val="007B7C40"/>
    <w:rsid w:val="007B7FEC"/>
    <w:rsid w:val="007C03DC"/>
    <w:rsid w:val="007C0807"/>
    <w:rsid w:val="007C0A1A"/>
    <w:rsid w:val="007C0C4C"/>
    <w:rsid w:val="007C0FFD"/>
    <w:rsid w:val="007C1477"/>
    <w:rsid w:val="007C18A2"/>
    <w:rsid w:val="007C1A61"/>
    <w:rsid w:val="007C1C0F"/>
    <w:rsid w:val="007C221B"/>
    <w:rsid w:val="007C25B2"/>
    <w:rsid w:val="007C2C9B"/>
    <w:rsid w:val="007C32F8"/>
    <w:rsid w:val="007C4213"/>
    <w:rsid w:val="007C4435"/>
    <w:rsid w:val="007C45EB"/>
    <w:rsid w:val="007C4E99"/>
    <w:rsid w:val="007C535B"/>
    <w:rsid w:val="007C536F"/>
    <w:rsid w:val="007C5475"/>
    <w:rsid w:val="007C568B"/>
    <w:rsid w:val="007C56F7"/>
    <w:rsid w:val="007C5C04"/>
    <w:rsid w:val="007C5C26"/>
    <w:rsid w:val="007C6A24"/>
    <w:rsid w:val="007C6CD6"/>
    <w:rsid w:val="007C6CE5"/>
    <w:rsid w:val="007C7BF1"/>
    <w:rsid w:val="007C7DED"/>
    <w:rsid w:val="007D00BE"/>
    <w:rsid w:val="007D0312"/>
    <w:rsid w:val="007D0815"/>
    <w:rsid w:val="007D09F7"/>
    <w:rsid w:val="007D0C62"/>
    <w:rsid w:val="007D10F1"/>
    <w:rsid w:val="007D1388"/>
    <w:rsid w:val="007D14AC"/>
    <w:rsid w:val="007D1500"/>
    <w:rsid w:val="007D1B09"/>
    <w:rsid w:val="007D1B77"/>
    <w:rsid w:val="007D1BBD"/>
    <w:rsid w:val="007D1CDD"/>
    <w:rsid w:val="007D1FCA"/>
    <w:rsid w:val="007D2141"/>
    <w:rsid w:val="007D245A"/>
    <w:rsid w:val="007D2732"/>
    <w:rsid w:val="007D2DF6"/>
    <w:rsid w:val="007D2EF4"/>
    <w:rsid w:val="007D371E"/>
    <w:rsid w:val="007D42F3"/>
    <w:rsid w:val="007D42F7"/>
    <w:rsid w:val="007D4D24"/>
    <w:rsid w:val="007D5315"/>
    <w:rsid w:val="007D574A"/>
    <w:rsid w:val="007D5BC9"/>
    <w:rsid w:val="007D5F29"/>
    <w:rsid w:val="007D5F3B"/>
    <w:rsid w:val="007D645F"/>
    <w:rsid w:val="007D7435"/>
    <w:rsid w:val="007D74A3"/>
    <w:rsid w:val="007D761A"/>
    <w:rsid w:val="007E05EA"/>
    <w:rsid w:val="007E0843"/>
    <w:rsid w:val="007E1389"/>
    <w:rsid w:val="007E2380"/>
    <w:rsid w:val="007E25B2"/>
    <w:rsid w:val="007E26FB"/>
    <w:rsid w:val="007E2D94"/>
    <w:rsid w:val="007E34AF"/>
    <w:rsid w:val="007E3A9A"/>
    <w:rsid w:val="007E3AF0"/>
    <w:rsid w:val="007E501E"/>
    <w:rsid w:val="007E55D2"/>
    <w:rsid w:val="007E56E7"/>
    <w:rsid w:val="007E5B73"/>
    <w:rsid w:val="007E5CBF"/>
    <w:rsid w:val="007E5E38"/>
    <w:rsid w:val="007E5FB6"/>
    <w:rsid w:val="007E606A"/>
    <w:rsid w:val="007E69C5"/>
    <w:rsid w:val="007E6C9C"/>
    <w:rsid w:val="007E77ED"/>
    <w:rsid w:val="007F01AA"/>
    <w:rsid w:val="007F08CC"/>
    <w:rsid w:val="007F08EA"/>
    <w:rsid w:val="007F0E5A"/>
    <w:rsid w:val="007F0F0A"/>
    <w:rsid w:val="007F0F76"/>
    <w:rsid w:val="007F0F87"/>
    <w:rsid w:val="007F0F91"/>
    <w:rsid w:val="007F1569"/>
    <w:rsid w:val="007F1867"/>
    <w:rsid w:val="007F1A58"/>
    <w:rsid w:val="007F1DAE"/>
    <w:rsid w:val="007F213B"/>
    <w:rsid w:val="007F21F0"/>
    <w:rsid w:val="007F2892"/>
    <w:rsid w:val="007F29BD"/>
    <w:rsid w:val="007F2EB0"/>
    <w:rsid w:val="007F32CD"/>
    <w:rsid w:val="007F38C3"/>
    <w:rsid w:val="007F411D"/>
    <w:rsid w:val="007F434B"/>
    <w:rsid w:val="007F4D44"/>
    <w:rsid w:val="007F58F8"/>
    <w:rsid w:val="007F5BAD"/>
    <w:rsid w:val="007F5C46"/>
    <w:rsid w:val="007F603D"/>
    <w:rsid w:val="007F6DFF"/>
    <w:rsid w:val="007F79AC"/>
    <w:rsid w:val="00800151"/>
    <w:rsid w:val="00800798"/>
    <w:rsid w:val="00800C7F"/>
    <w:rsid w:val="00800F65"/>
    <w:rsid w:val="00800FEE"/>
    <w:rsid w:val="00801166"/>
    <w:rsid w:val="008015A8"/>
    <w:rsid w:val="00801C1A"/>
    <w:rsid w:val="00801ED5"/>
    <w:rsid w:val="00802764"/>
    <w:rsid w:val="008028E8"/>
    <w:rsid w:val="00802FF8"/>
    <w:rsid w:val="00803107"/>
    <w:rsid w:val="00804C83"/>
    <w:rsid w:val="00805560"/>
    <w:rsid w:val="008058A6"/>
    <w:rsid w:val="00805AB8"/>
    <w:rsid w:val="00806ADF"/>
    <w:rsid w:val="0080708A"/>
    <w:rsid w:val="008072EB"/>
    <w:rsid w:val="00807309"/>
    <w:rsid w:val="00807394"/>
    <w:rsid w:val="00807593"/>
    <w:rsid w:val="0080766D"/>
    <w:rsid w:val="00807731"/>
    <w:rsid w:val="00807D6A"/>
    <w:rsid w:val="00810116"/>
    <w:rsid w:val="00810937"/>
    <w:rsid w:val="00810970"/>
    <w:rsid w:val="00810B1C"/>
    <w:rsid w:val="00810E2E"/>
    <w:rsid w:val="00812777"/>
    <w:rsid w:val="008127C3"/>
    <w:rsid w:val="00812958"/>
    <w:rsid w:val="008129AC"/>
    <w:rsid w:val="00813245"/>
    <w:rsid w:val="008134B7"/>
    <w:rsid w:val="008134EF"/>
    <w:rsid w:val="00813E5D"/>
    <w:rsid w:val="00814258"/>
    <w:rsid w:val="008149D0"/>
    <w:rsid w:val="00814C25"/>
    <w:rsid w:val="00815F54"/>
    <w:rsid w:val="0081629A"/>
    <w:rsid w:val="00817092"/>
    <w:rsid w:val="00817783"/>
    <w:rsid w:val="00817BE3"/>
    <w:rsid w:val="00817DBD"/>
    <w:rsid w:val="0082025F"/>
    <w:rsid w:val="00820439"/>
    <w:rsid w:val="00820A1E"/>
    <w:rsid w:val="00820DC6"/>
    <w:rsid w:val="00820E89"/>
    <w:rsid w:val="008210A5"/>
    <w:rsid w:val="00821321"/>
    <w:rsid w:val="008215C9"/>
    <w:rsid w:val="00822882"/>
    <w:rsid w:val="00822A48"/>
    <w:rsid w:val="00822DA1"/>
    <w:rsid w:val="00822E16"/>
    <w:rsid w:val="00823702"/>
    <w:rsid w:val="00823B2E"/>
    <w:rsid w:val="00824197"/>
    <w:rsid w:val="008248F5"/>
    <w:rsid w:val="00824CA5"/>
    <w:rsid w:val="0082516C"/>
    <w:rsid w:val="0082547C"/>
    <w:rsid w:val="00825A2A"/>
    <w:rsid w:val="00825FE2"/>
    <w:rsid w:val="00826067"/>
    <w:rsid w:val="0082695B"/>
    <w:rsid w:val="008270B8"/>
    <w:rsid w:val="008274E6"/>
    <w:rsid w:val="00827E59"/>
    <w:rsid w:val="00830342"/>
    <w:rsid w:val="008305E4"/>
    <w:rsid w:val="00830840"/>
    <w:rsid w:val="00830919"/>
    <w:rsid w:val="00830B76"/>
    <w:rsid w:val="00830C57"/>
    <w:rsid w:val="00831AD3"/>
    <w:rsid w:val="00831C44"/>
    <w:rsid w:val="00831FCB"/>
    <w:rsid w:val="00832E32"/>
    <w:rsid w:val="00832F8B"/>
    <w:rsid w:val="0083331E"/>
    <w:rsid w:val="008339DD"/>
    <w:rsid w:val="00833B21"/>
    <w:rsid w:val="00833FDC"/>
    <w:rsid w:val="00834373"/>
    <w:rsid w:val="0083471F"/>
    <w:rsid w:val="0083501B"/>
    <w:rsid w:val="00835096"/>
    <w:rsid w:val="008361B2"/>
    <w:rsid w:val="008364B9"/>
    <w:rsid w:val="00836547"/>
    <w:rsid w:val="0083658A"/>
    <w:rsid w:val="008372F4"/>
    <w:rsid w:val="008374D6"/>
    <w:rsid w:val="00840081"/>
    <w:rsid w:val="0084044B"/>
    <w:rsid w:val="008406B1"/>
    <w:rsid w:val="008407B3"/>
    <w:rsid w:val="00840F07"/>
    <w:rsid w:val="008410F5"/>
    <w:rsid w:val="00841126"/>
    <w:rsid w:val="00841369"/>
    <w:rsid w:val="008422E7"/>
    <w:rsid w:val="0084283D"/>
    <w:rsid w:val="0084341A"/>
    <w:rsid w:val="00843700"/>
    <w:rsid w:val="00843865"/>
    <w:rsid w:val="00843FC7"/>
    <w:rsid w:val="008440E1"/>
    <w:rsid w:val="00844115"/>
    <w:rsid w:val="008442A4"/>
    <w:rsid w:val="0084449A"/>
    <w:rsid w:val="00844F06"/>
    <w:rsid w:val="00844F22"/>
    <w:rsid w:val="008451E3"/>
    <w:rsid w:val="00845327"/>
    <w:rsid w:val="0084532C"/>
    <w:rsid w:val="00845922"/>
    <w:rsid w:val="00846189"/>
    <w:rsid w:val="0084636B"/>
    <w:rsid w:val="00846A20"/>
    <w:rsid w:val="00846AD3"/>
    <w:rsid w:val="00846CCF"/>
    <w:rsid w:val="00846EAB"/>
    <w:rsid w:val="00847B6D"/>
    <w:rsid w:val="00847D6A"/>
    <w:rsid w:val="00850487"/>
    <w:rsid w:val="00850A36"/>
    <w:rsid w:val="00850D3F"/>
    <w:rsid w:val="008510E2"/>
    <w:rsid w:val="008516E8"/>
    <w:rsid w:val="008522AC"/>
    <w:rsid w:val="00852F5C"/>
    <w:rsid w:val="0085358A"/>
    <w:rsid w:val="00853719"/>
    <w:rsid w:val="00853E91"/>
    <w:rsid w:val="00853FC9"/>
    <w:rsid w:val="00854344"/>
    <w:rsid w:val="008545AB"/>
    <w:rsid w:val="008546F9"/>
    <w:rsid w:val="00854769"/>
    <w:rsid w:val="008549DC"/>
    <w:rsid w:val="00854B44"/>
    <w:rsid w:val="00855149"/>
    <w:rsid w:val="008552FD"/>
    <w:rsid w:val="00855B93"/>
    <w:rsid w:val="00855CDE"/>
    <w:rsid w:val="00855D47"/>
    <w:rsid w:val="00856310"/>
    <w:rsid w:val="00856412"/>
    <w:rsid w:val="0085648E"/>
    <w:rsid w:val="00857641"/>
    <w:rsid w:val="00857732"/>
    <w:rsid w:val="00860701"/>
    <w:rsid w:val="00860768"/>
    <w:rsid w:val="00860817"/>
    <w:rsid w:val="00860BD6"/>
    <w:rsid w:val="00860C5A"/>
    <w:rsid w:val="00860D85"/>
    <w:rsid w:val="00861C1C"/>
    <w:rsid w:val="00861C83"/>
    <w:rsid w:val="0086231A"/>
    <w:rsid w:val="008626AF"/>
    <w:rsid w:val="008627B2"/>
    <w:rsid w:val="00862BE2"/>
    <w:rsid w:val="00862CC5"/>
    <w:rsid w:val="00862E0A"/>
    <w:rsid w:val="0086313B"/>
    <w:rsid w:val="00863674"/>
    <w:rsid w:val="00863C89"/>
    <w:rsid w:val="00863D0B"/>
    <w:rsid w:val="00863D45"/>
    <w:rsid w:val="008647AA"/>
    <w:rsid w:val="00864C02"/>
    <w:rsid w:val="008656A9"/>
    <w:rsid w:val="008659E3"/>
    <w:rsid w:val="00865E33"/>
    <w:rsid w:val="008663CF"/>
    <w:rsid w:val="0086663D"/>
    <w:rsid w:val="00866BD1"/>
    <w:rsid w:val="00867080"/>
    <w:rsid w:val="00870258"/>
    <w:rsid w:val="00870878"/>
    <w:rsid w:val="008708CA"/>
    <w:rsid w:val="008710C6"/>
    <w:rsid w:val="0087175B"/>
    <w:rsid w:val="00871984"/>
    <w:rsid w:val="00871CE8"/>
    <w:rsid w:val="00872799"/>
    <w:rsid w:val="0087300E"/>
    <w:rsid w:val="0087306D"/>
    <w:rsid w:val="00873861"/>
    <w:rsid w:val="00873DC4"/>
    <w:rsid w:val="00873ECA"/>
    <w:rsid w:val="008741C2"/>
    <w:rsid w:val="00874371"/>
    <w:rsid w:val="008746E1"/>
    <w:rsid w:val="008747C9"/>
    <w:rsid w:val="0087502C"/>
    <w:rsid w:val="00875A5A"/>
    <w:rsid w:val="00875CEB"/>
    <w:rsid w:val="00875EB1"/>
    <w:rsid w:val="00875F27"/>
    <w:rsid w:val="00876C5C"/>
    <w:rsid w:val="00876D2E"/>
    <w:rsid w:val="00876DBA"/>
    <w:rsid w:val="00877217"/>
    <w:rsid w:val="0087782E"/>
    <w:rsid w:val="00877C87"/>
    <w:rsid w:val="00877CC6"/>
    <w:rsid w:val="00877CEC"/>
    <w:rsid w:val="00880223"/>
    <w:rsid w:val="008802C9"/>
    <w:rsid w:val="00880389"/>
    <w:rsid w:val="008805B0"/>
    <w:rsid w:val="00880A8A"/>
    <w:rsid w:val="00880C40"/>
    <w:rsid w:val="008815B6"/>
    <w:rsid w:val="00881A76"/>
    <w:rsid w:val="00881BD3"/>
    <w:rsid w:val="00881D3C"/>
    <w:rsid w:val="0088277D"/>
    <w:rsid w:val="0088389F"/>
    <w:rsid w:val="00883911"/>
    <w:rsid w:val="00883C04"/>
    <w:rsid w:val="00883E0D"/>
    <w:rsid w:val="00883EC9"/>
    <w:rsid w:val="0088431A"/>
    <w:rsid w:val="00884CA6"/>
    <w:rsid w:val="00884F52"/>
    <w:rsid w:val="00884F82"/>
    <w:rsid w:val="00885C80"/>
    <w:rsid w:val="00886359"/>
    <w:rsid w:val="00886500"/>
    <w:rsid w:val="0088739B"/>
    <w:rsid w:val="008874E4"/>
    <w:rsid w:val="00887BB6"/>
    <w:rsid w:val="00887BD1"/>
    <w:rsid w:val="00890525"/>
    <w:rsid w:val="00890D4A"/>
    <w:rsid w:val="0089114C"/>
    <w:rsid w:val="008914F2"/>
    <w:rsid w:val="008915F0"/>
    <w:rsid w:val="00891B54"/>
    <w:rsid w:val="00891EC0"/>
    <w:rsid w:val="00892447"/>
    <w:rsid w:val="008924EC"/>
    <w:rsid w:val="00892943"/>
    <w:rsid w:val="00892AE0"/>
    <w:rsid w:val="00892D53"/>
    <w:rsid w:val="0089347B"/>
    <w:rsid w:val="0089352C"/>
    <w:rsid w:val="00893C2B"/>
    <w:rsid w:val="0089404D"/>
    <w:rsid w:val="0089438E"/>
    <w:rsid w:val="0089447F"/>
    <w:rsid w:val="008949BF"/>
    <w:rsid w:val="00895891"/>
    <w:rsid w:val="00895C41"/>
    <w:rsid w:val="00895E4D"/>
    <w:rsid w:val="00896C14"/>
    <w:rsid w:val="008974D1"/>
    <w:rsid w:val="008976C2"/>
    <w:rsid w:val="00897786"/>
    <w:rsid w:val="008979CC"/>
    <w:rsid w:val="00897C37"/>
    <w:rsid w:val="00897C43"/>
    <w:rsid w:val="00897CA9"/>
    <w:rsid w:val="008A00FE"/>
    <w:rsid w:val="008A01AF"/>
    <w:rsid w:val="008A02FB"/>
    <w:rsid w:val="008A1378"/>
    <w:rsid w:val="008A1408"/>
    <w:rsid w:val="008A16FC"/>
    <w:rsid w:val="008A1E84"/>
    <w:rsid w:val="008A2802"/>
    <w:rsid w:val="008A2902"/>
    <w:rsid w:val="008A294A"/>
    <w:rsid w:val="008A36C1"/>
    <w:rsid w:val="008A3823"/>
    <w:rsid w:val="008A3910"/>
    <w:rsid w:val="008A4195"/>
    <w:rsid w:val="008A424D"/>
    <w:rsid w:val="008A4D3D"/>
    <w:rsid w:val="008A5310"/>
    <w:rsid w:val="008A5752"/>
    <w:rsid w:val="008A5B9A"/>
    <w:rsid w:val="008A60CE"/>
    <w:rsid w:val="008A6300"/>
    <w:rsid w:val="008A64D3"/>
    <w:rsid w:val="008A6C53"/>
    <w:rsid w:val="008A6F27"/>
    <w:rsid w:val="008A6F6B"/>
    <w:rsid w:val="008A71C8"/>
    <w:rsid w:val="008A7A08"/>
    <w:rsid w:val="008B00A2"/>
    <w:rsid w:val="008B02E7"/>
    <w:rsid w:val="008B0320"/>
    <w:rsid w:val="008B03DD"/>
    <w:rsid w:val="008B054F"/>
    <w:rsid w:val="008B0742"/>
    <w:rsid w:val="008B08AA"/>
    <w:rsid w:val="008B0E25"/>
    <w:rsid w:val="008B0EB5"/>
    <w:rsid w:val="008B10A9"/>
    <w:rsid w:val="008B162B"/>
    <w:rsid w:val="008B1A1C"/>
    <w:rsid w:val="008B1E2F"/>
    <w:rsid w:val="008B219A"/>
    <w:rsid w:val="008B24B3"/>
    <w:rsid w:val="008B2834"/>
    <w:rsid w:val="008B29FF"/>
    <w:rsid w:val="008B31E9"/>
    <w:rsid w:val="008B3FCC"/>
    <w:rsid w:val="008B40EA"/>
    <w:rsid w:val="008B4240"/>
    <w:rsid w:val="008B4332"/>
    <w:rsid w:val="008B4B4C"/>
    <w:rsid w:val="008B4B60"/>
    <w:rsid w:val="008B4CB9"/>
    <w:rsid w:val="008B51BF"/>
    <w:rsid w:val="008B587E"/>
    <w:rsid w:val="008B5A87"/>
    <w:rsid w:val="008B626B"/>
    <w:rsid w:val="008B62CD"/>
    <w:rsid w:val="008B7421"/>
    <w:rsid w:val="008B77FD"/>
    <w:rsid w:val="008B7C5F"/>
    <w:rsid w:val="008B7E28"/>
    <w:rsid w:val="008B7F94"/>
    <w:rsid w:val="008C0E88"/>
    <w:rsid w:val="008C1555"/>
    <w:rsid w:val="008C179D"/>
    <w:rsid w:val="008C1C1E"/>
    <w:rsid w:val="008C2733"/>
    <w:rsid w:val="008C28B5"/>
    <w:rsid w:val="008C2EE9"/>
    <w:rsid w:val="008C3148"/>
    <w:rsid w:val="008C3476"/>
    <w:rsid w:val="008C3D94"/>
    <w:rsid w:val="008C43DB"/>
    <w:rsid w:val="008C4483"/>
    <w:rsid w:val="008C46F0"/>
    <w:rsid w:val="008C48C0"/>
    <w:rsid w:val="008C4994"/>
    <w:rsid w:val="008C5BCF"/>
    <w:rsid w:val="008C63D1"/>
    <w:rsid w:val="008C692F"/>
    <w:rsid w:val="008C6DBF"/>
    <w:rsid w:val="008C7143"/>
    <w:rsid w:val="008C78E0"/>
    <w:rsid w:val="008C7FF0"/>
    <w:rsid w:val="008D0E48"/>
    <w:rsid w:val="008D0EB6"/>
    <w:rsid w:val="008D0F52"/>
    <w:rsid w:val="008D14F6"/>
    <w:rsid w:val="008D19EC"/>
    <w:rsid w:val="008D1C25"/>
    <w:rsid w:val="008D1C83"/>
    <w:rsid w:val="008D1F7D"/>
    <w:rsid w:val="008D2263"/>
    <w:rsid w:val="008D24A7"/>
    <w:rsid w:val="008D2D90"/>
    <w:rsid w:val="008D2F61"/>
    <w:rsid w:val="008D33A9"/>
    <w:rsid w:val="008D42E1"/>
    <w:rsid w:val="008D4892"/>
    <w:rsid w:val="008D495F"/>
    <w:rsid w:val="008D4C5B"/>
    <w:rsid w:val="008D5894"/>
    <w:rsid w:val="008D6871"/>
    <w:rsid w:val="008D6A9A"/>
    <w:rsid w:val="008D6B00"/>
    <w:rsid w:val="008D6F8F"/>
    <w:rsid w:val="008D7178"/>
    <w:rsid w:val="008D7BD1"/>
    <w:rsid w:val="008E1198"/>
    <w:rsid w:val="008E11C4"/>
    <w:rsid w:val="008E14C4"/>
    <w:rsid w:val="008E18E9"/>
    <w:rsid w:val="008E2187"/>
    <w:rsid w:val="008E24D8"/>
    <w:rsid w:val="008E2609"/>
    <w:rsid w:val="008E2FB6"/>
    <w:rsid w:val="008E3357"/>
    <w:rsid w:val="008E392F"/>
    <w:rsid w:val="008E3DA6"/>
    <w:rsid w:val="008E4569"/>
    <w:rsid w:val="008E4DD3"/>
    <w:rsid w:val="008E4F53"/>
    <w:rsid w:val="008E5AD8"/>
    <w:rsid w:val="008E5D4B"/>
    <w:rsid w:val="008E6035"/>
    <w:rsid w:val="008E6630"/>
    <w:rsid w:val="008E690A"/>
    <w:rsid w:val="008E6BD0"/>
    <w:rsid w:val="008E6DAB"/>
    <w:rsid w:val="008E744D"/>
    <w:rsid w:val="008E76BF"/>
    <w:rsid w:val="008E777B"/>
    <w:rsid w:val="008F02A9"/>
    <w:rsid w:val="008F062F"/>
    <w:rsid w:val="008F084A"/>
    <w:rsid w:val="008F09A2"/>
    <w:rsid w:val="008F10DF"/>
    <w:rsid w:val="008F119F"/>
    <w:rsid w:val="008F12E5"/>
    <w:rsid w:val="008F147C"/>
    <w:rsid w:val="008F1ED4"/>
    <w:rsid w:val="008F2572"/>
    <w:rsid w:val="008F27B9"/>
    <w:rsid w:val="008F2B92"/>
    <w:rsid w:val="008F34BC"/>
    <w:rsid w:val="008F3BCD"/>
    <w:rsid w:val="008F473C"/>
    <w:rsid w:val="008F4976"/>
    <w:rsid w:val="008F5DDB"/>
    <w:rsid w:val="008F7741"/>
    <w:rsid w:val="008F7B69"/>
    <w:rsid w:val="00900363"/>
    <w:rsid w:val="00900435"/>
    <w:rsid w:val="009007AF"/>
    <w:rsid w:val="009007DC"/>
    <w:rsid w:val="0090086D"/>
    <w:rsid w:val="00900EC6"/>
    <w:rsid w:val="0090101C"/>
    <w:rsid w:val="009028DC"/>
    <w:rsid w:val="00902AE0"/>
    <w:rsid w:val="00902FF5"/>
    <w:rsid w:val="00903111"/>
    <w:rsid w:val="009032B9"/>
    <w:rsid w:val="00903DED"/>
    <w:rsid w:val="00904465"/>
    <w:rsid w:val="009045DF"/>
    <w:rsid w:val="00904888"/>
    <w:rsid w:val="00904DC3"/>
    <w:rsid w:val="00905359"/>
    <w:rsid w:val="00905440"/>
    <w:rsid w:val="00906429"/>
    <w:rsid w:val="009066A4"/>
    <w:rsid w:val="009066B4"/>
    <w:rsid w:val="00906964"/>
    <w:rsid w:val="00907A01"/>
    <w:rsid w:val="0091052B"/>
    <w:rsid w:val="009113B3"/>
    <w:rsid w:val="00911579"/>
    <w:rsid w:val="00911C40"/>
    <w:rsid w:val="00912E26"/>
    <w:rsid w:val="00913660"/>
    <w:rsid w:val="009139C7"/>
    <w:rsid w:val="00913B6E"/>
    <w:rsid w:val="00913CB5"/>
    <w:rsid w:val="00913D50"/>
    <w:rsid w:val="0091489F"/>
    <w:rsid w:val="009151F2"/>
    <w:rsid w:val="009154EB"/>
    <w:rsid w:val="009155FC"/>
    <w:rsid w:val="0091627A"/>
    <w:rsid w:val="00916688"/>
    <w:rsid w:val="009174F4"/>
    <w:rsid w:val="00917601"/>
    <w:rsid w:val="00917A7B"/>
    <w:rsid w:val="00917EA1"/>
    <w:rsid w:val="00920045"/>
    <w:rsid w:val="009200C1"/>
    <w:rsid w:val="00920163"/>
    <w:rsid w:val="00920F81"/>
    <w:rsid w:val="009210E1"/>
    <w:rsid w:val="00921A81"/>
    <w:rsid w:val="00921BC6"/>
    <w:rsid w:val="009221B2"/>
    <w:rsid w:val="0092223F"/>
    <w:rsid w:val="00922395"/>
    <w:rsid w:val="00922FE8"/>
    <w:rsid w:val="00923173"/>
    <w:rsid w:val="009231B4"/>
    <w:rsid w:val="0092406F"/>
    <w:rsid w:val="00924086"/>
    <w:rsid w:val="009240A7"/>
    <w:rsid w:val="00924404"/>
    <w:rsid w:val="0092470F"/>
    <w:rsid w:val="0092522B"/>
    <w:rsid w:val="009255BB"/>
    <w:rsid w:val="00926499"/>
    <w:rsid w:val="009270E8"/>
    <w:rsid w:val="009274E0"/>
    <w:rsid w:val="00930794"/>
    <w:rsid w:val="00930886"/>
    <w:rsid w:val="00931017"/>
    <w:rsid w:val="00931617"/>
    <w:rsid w:val="00931AAD"/>
    <w:rsid w:val="00931DCB"/>
    <w:rsid w:val="00931FC0"/>
    <w:rsid w:val="009321E0"/>
    <w:rsid w:val="0093222B"/>
    <w:rsid w:val="00932587"/>
    <w:rsid w:val="00932756"/>
    <w:rsid w:val="00932B16"/>
    <w:rsid w:val="00932D10"/>
    <w:rsid w:val="00932E23"/>
    <w:rsid w:val="0093580B"/>
    <w:rsid w:val="009358EC"/>
    <w:rsid w:val="0093593A"/>
    <w:rsid w:val="00935A81"/>
    <w:rsid w:val="00935B71"/>
    <w:rsid w:val="00936337"/>
    <w:rsid w:val="009373B1"/>
    <w:rsid w:val="00937750"/>
    <w:rsid w:val="00937993"/>
    <w:rsid w:val="00937B28"/>
    <w:rsid w:val="0094020D"/>
    <w:rsid w:val="009404CB"/>
    <w:rsid w:val="0094080E"/>
    <w:rsid w:val="0094170E"/>
    <w:rsid w:val="00941AFB"/>
    <w:rsid w:val="00941BD5"/>
    <w:rsid w:val="00941FF3"/>
    <w:rsid w:val="00942468"/>
    <w:rsid w:val="009433B2"/>
    <w:rsid w:val="00944AD0"/>
    <w:rsid w:val="009450B4"/>
    <w:rsid w:val="0094524A"/>
    <w:rsid w:val="0094525D"/>
    <w:rsid w:val="00945669"/>
    <w:rsid w:val="0094660E"/>
    <w:rsid w:val="00947120"/>
    <w:rsid w:val="009473AF"/>
    <w:rsid w:val="00947A74"/>
    <w:rsid w:val="00947A7B"/>
    <w:rsid w:val="00947E50"/>
    <w:rsid w:val="009501C1"/>
    <w:rsid w:val="0095038F"/>
    <w:rsid w:val="009504EE"/>
    <w:rsid w:val="00951A06"/>
    <w:rsid w:val="00952178"/>
    <w:rsid w:val="0095288A"/>
    <w:rsid w:val="009535EB"/>
    <w:rsid w:val="00953EFC"/>
    <w:rsid w:val="00954076"/>
    <w:rsid w:val="00955056"/>
    <w:rsid w:val="0095527C"/>
    <w:rsid w:val="00955954"/>
    <w:rsid w:val="0095596F"/>
    <w:rsid w:val="00955DA3"/>
    <w:rsid w:val="00956157"/>
    <w:rsid w:val="009561F9"/>
    <w:rsid w:val="00956FD8"/>
    <w:rsid w:val="009577A8"/>
    <w:rsid w:val="009577F4"/>
    <w:rsid w:val="00957922"/>
    <w:rsid w:val="00960626"/>
    <w:rsid w:val="00960AA7"/>
    <w:rsid w:val="0096105A"/>
    <w:rsid w:val="00961431"/>
    <w:rsid w:val="009615CA"/>
    <w:rsid w:val="009619EC"/>
    <w:rsid w:val="00961AB8"/>
    <w:rsid w:val="00961B38"/>
    <w:rsid w:val="00961FE3"/>
    <w:rsid w:val="00962111"/>
    <w:rsid w:val="00962389"/>
    <w:rsid w:val="009625AE"/>
    <w:rsid w:val="009628CE"/>
    <w:rsid w:val="0096335A"/>
    <w:rsid w:val="00963654"/>
    <w:rsid w:val="009638B5"/>
    <w:rsid w:val="00963C84"/>
    <w:rsid w:val="009643CA"/>
    <w:rsid w:val="00964E61"/>
    <w:rsid w:val="009656F9"/>
    <w:rsid w:val="00965761"/>
    <w:rsid w:val="0096606A"/>
    <w:rsid w:val="00966344"/>
    <w:rsid w:val="009663D0"/>
    <w:rsid w:val="009664C3"/>
    <w:rsid w:val="00966AD0"/>
    <w:rsid w:val="00966DCA"/>
    <w:rsid w:val="0096724B"/>
    <w:rsid w:val="009678EC"/>
    <w:rsid w:val="00967D7F"/>
    <w:rsid w:val="0097046A"/>
    <w:rsid w:val="00970BFE"/>
    <w:rsid w:val="00970E07"/>
    <w:rsid w:val="00970FA2"/>
    <w:rsid w:val="00971846"/>
    <w:rsid w:val="0097246A"/>
    <w:rsid w:val="009725F0"/>
    <w:rsid w:val="009731B3"/>
    <w:rsid w:val="009732D1"/>
    <w:rsid w:val="0097405C"/>
    <w:rsid w:val="009742A5"/>
    <w:rsid w:val="00974506"/>
    <w:rsid w:val="009745D7"/>
    <w:rsid w:val="00974914"/>
    <w:rsid w:val="0097507E"/>
    <w:rsid w:val="00975152"/>
    <w:rsid w:val="00975721"/>
    <w:rsid w:val="0097573F"/>
    <w:rsid w:val="009761CC"/>
    <w:rsid w:val="009766C0"/>
    <w:rsid w:val="00976C9E"/>
    <w:rsid w:val="00977110"/>
    <w:rsid w:val="009776F8"/>
    <w:rsid w:val="009779A4"/>
    <w:rsid w:val="0098024B"/>
    <w:rsid w:val="00980283"/>
    <w:rsid w:val="009803D3"/>
    <w:rsid w:val="009806DD"/>
    <w:rsid w:val="00980DB8"/>
    <w:rsid w:val="00980E30"/>
    <w:rsid w:val="00981019"/>
    <w:rsid w:val="009815F7"/>
    <w:rsid w:val="009826A4"/>
    <w:rsid w:val="00982DE5"/>
    <w:rsid w:val="00983422"/>
    <w:rsid w:val="009838F8"/>
    <w:rsid w:val="00983FC9"/>
    <w:rsid w:val="009841BB"/>
    <w:rsid w:val="009843D9"/>
    <w:rsid w:val="009851D8"/>
    <w:rsid w:val="009855D2"/>
    <w:rsid w:val="00985957"/>
    <w:rsid w:val="00985BDB"/>
    <w:rsid w:val="00986021"/>
    <w:rsid w:val="00986462"/>
    <w:rsid w:val="00986F95"/>
    <w:rsid w:val="009870E6"/>
    <w:rsid w:val="00987230"/>
    <w:rsid w:val="0098724A"/>
    <w:rsid w:val="009874A0"/>
    <w:rsid w:val="00990C20"/>
    <w:rsid w:val="00990F82"/>
    <w:rsid w:val="009913FD"/>
    <w:rsid w:val="00991A94"/>
    <w:rsid w:val="00992081"/>
    <w:rsid w:val="0099218A"/>
    <w:rsid w:val="0099248D"/>
    <w:rsid w:val="00992C11"/>
    <w:rsid w:val="00992D79"/>
    <w:rsid w:val="009930B4"/>
    <w:rsid w:val="00993AC6"/>
    <w:rsid w:val="00993F02"/>
    <w:rsid w:val="00994094"/>
    <w:rsid w:val="00994646"/>
    <w:rsid w:val="0099491D"/>
    <w:rsid w:val="00994DA4"/>
    <w:rsid w:val="00994E79"/>
    <w:rsid w:val="00995313"/>
    <w:rsid w:val="00995BE5"/>
    <w:rsid w:val="00995CBB"/>
    <w:rsid w:val="0099661B"/>
    <w:rsid w:val="009972FE"/>
    <w:rsid w:val="0099747D"/>
    <w:rsid w:val="009979D9"/>
    <w:rsid w:val="009A04F7"/>
    <w:rsid w:val="009A065E"/>
    <w:rsid w:val="009A07AD"/>
    <w:rsid w:val="009A1461"/>
    <w:rsid w:val="009A18DC"/>
    <w:rsid w:val="009A1C7A"/>
    <w:rsid w:val="009A1F96"/>
    <w:rsid w:val="009A23D3"/>
    <w:rsid w:val="009A2401"/>
    <w:rsid w:val="009A2662"/>
    <w:rsid w:val="009A26F9"/>
    <w:rsid w:val="009A2725"/>
    <w:rsid w:val="009A2B73"/>
    <w:rsid w:val="009A349D"/>
    <w:rsid w:val="009A4EA4"/>
    <w:rsid w:val="009A533F"/>
    <w:rsid w:val="009A5616"/>
    <w:rsid w:val="009A7E5E"/>
    <w:rsid w:val="009A7EC0"/>
    <w:rsid w:val="009B0880"/>
    <w:rsid w:val="009B0940"/>
    <w:rsid w:val="009B0AF6"/>
    <w:rsid w:val="009B0EDE"/>
    <w:rsid w:val="009B0F1C"/>
    <w:rsid w:val="009B12A9"/>
    <w:rsid w:val="009B1AC4"/>
    <w:rsid w:val="009B1BE3"/>
    <w:rsid w:val="009B2AE8"/>
    <w:rsid w:val="009B33DE"/>
    <w:rsid w:val="009B3759"/>
    <w:rsid w:val="009B3C19"/>
    <w:rsid w:val="009B4049"/>
    <w:rsid w:val="009B40FA"/>
    <w:rsid w:val="009B42C2"/>
    <w:rsid w:val="009B4F32"/>
    <w:rsid w:val="009B5A5D"/>
    <w:rsid w:val="009B62F4"/>
    <w:rsid w:val="009B6C81"/>
    <w:rsid w:val="009B7749"/>
    <w:rsid w:val="009B7A59"/>
    <w:rsid w:val="009B7F1C"/>
    <w:rsid w:val="009C0373"/>
    <w:rsid w:val="009C152A"/>
    <w:rsid w:val="009C1B98"/>
    <w:rsid w:val="009C1C5B"/>
    <w:rsid w:val="009C25B2"/>
    <w:rsid w:val="009C2E78"/>
    <w:rsid w:val="009C33A1"/>
    <w:rsid w:val="009C3A0F"/>
    <w:rsid w:val="009C4244"/>
    <w:rsid w:val="009C43CC"/>
    <w:rsid w:val="009C4BDB"/>
    <w:rsid w:val="009C57D6"/>
    <w:rsid w:val="009C5C56"/>
    <w:rsid w:val="009C5D05"/>
    <w:rsid w:val="009C5F44"/>
    <w:rsid w:val="009C6020"/>
    <w:rsid w:val="009C685F"/>
    <w:rsid w:val="009C6A4E"/>
    <w:rsid w:val="009C6B3B"/>
    <w:rsid w:val="009C6C27"/>
    <w:rsid w:val="009C6EEC"/>
    <w:rsid w:val="009C6F93"/>
    <w:rsid w:val="009C7ACF"/>
    <w:rsid w:val="009D0D45"/>
    <w:rsid w:val="009D1287"/>
    <w:rsid w:val="009D137F"/>
    <w:rsid w:val="009D1917"/>
    <w:rsid w:val="009D1B7F"/>
    <w:rsid w:val="009D1C5B"/>
    <w:rsid w:val="009D1EDB"/>
    <w:rsid w:val="009D21E6"/>
    <w:rsid w:val="009D2275"/>
    <w:rsid w:val="009D25F4"/>
    <w:rsid w:val="009D28F5"/>
    <w:rsid w:val="009D2C4F"/>
    <w:rsid w:val="009D2C76"/>
    <w:rsid w:val="009D2D91"/>
    <w:rsid w:val="009D305C"/>
    <w:rsid w:val="009D35F5"/>
    <w:rsid w:val="009D36B4"/>
    <w:rsid w:val="009D3BC4"/>
    <w:rsid w:val="009D3C91"/>
    <w:rsid w:val="009D3C9F"/>
    <w:rsid w:val="009D3F10"/>
    <w:rsid w:val="009D5039"/>
    <w:rsid w:val="009D52A2"/>
    <w:rsid w:val="009D565F"/>
    <w:rsid w:val="009D666E"/>
    <w:rsid w:val="009D7798"/>
    <w:rsid w:val="009D7CF3"/>
    <w:rsid w:val="009D7E75"/>
    <w:rsid w:val="009D7EA0"/>
    <w:rsid w:val="009E0186"/>
    <w:rsid w:val="009E06CD"/>
    <w:rsid w:val="009E100B"/>
    <w:rsid w:val="009E144F"/>
    <w:rsid w:val="009E1B09"/>
    <w:rsid w:val="009E1D42"/>
    <w:rsid w:val="009E1E83"/>
    <w:rsid w:val="009E2860"/>
    <w:rsid w:val="009E2A3E"/>
    <w:rsid w:val="009E2B22"/>
    <w:rsid w:val="009E2B86"/>
    <w:rsid w:val="009E33F4"/>
    <w:rsid w:val="009E35B3"/>
    <w:rsid w:val="009E3622"/>
    <w:rsid w:val="009E3A54"/>
    <w:rsid w:val="009E4E48"/>
    <w:rsid w:val="009E5A9C"/>
    <w:rsid w:val="009E5DC8"/>
    <w:rsid w:val="009E5ED6"/>
    <w:rsid w:val="009E612C"/>
    <w:rsid w:val="009E64E8"/>
    <w:rsid w:val="009E6541"/>
    <w:rsid w:val="009E6671"/>
    <w:rsid w:val="009E6E8B"/>
    <w:rsid w:val="009E7426"/>
    <w:rsid w:val="009E7499"/>
    <w:rsid w:val="009E7885"/>
    <w:rsid w:val="009E78CA"/>
    <w:rsid w:val="009E7B7E"/>
    <w:rsid w:val="009F0DD8"/>
    <w:rsid w:val="009F1259"/>
    <w:rsid w:val="009F13A4"/>
    <w:rsid w:val="009F1E11"/>
    <w:rsid w:val="009F220D"/>
    <w:rsid w:val="009F2E4E"/>
    <w:rsid w:val="009F2E83"/>
    <w:rsid w:val="009F38E9"/>
    <w:rsid w:val="009F3E95"/>
    <w:rsid w:val="009F446C"/>
    <w:rsid w:val="009F4755"/>
    <w:rsid w:val="009F4AD5"/>
    <w:rsid w:val="009F4EAA"/>
    <w:rsid w:val="009F4F99"/>
    <w:rsid w:val="009F52FA"/>
    <w:rsid w:val="009F5734"/>
    <w:rsid w:val="009F577B"/>
    <w:rsid w:val="009F58CF"/>
    <w:rsid w:val="009F5936"/>
    <w:rsid w:val="009F5C11"/>
    <w:rsid w:val="009F5E00"/>
    <w:rsid w:val="009F6046"/>
    <w:rsid w:val="009F71DD"/>
    <w:rsid w:val="009F7A33"/>
    <w:rsid w:val="009F7B04"/>
    <w:rsid w:val="009F7D72"/>
    <w:rsid w:val="00A0033D"/>
    <w:rsid w:val="00A00385"/>
    <w:rsid w:val="00A004DA"/>
    <w:rsid w:val="00A00830"/>
    <w:rsid w:val="00A01BB4"/>
    <w:rsid w:val="00A01DD5"/>
    <w:rsid w:val="00A01EC5"/>
    <w:rsid w:val="00A01F4D"/>
    <w:rsid w:val="00A020B3"/>
    <w:rsid w:val="00A02550"/>
    <w:rsid w:val="00A02570"/>
    <w:rsid w:val="00A0324B"/>
    <w:rsid w:val="00A03350"/>
    <w:rsid w:val="00A0339A"/>
    <w:rsid w:val="00A03778"/>
    <w:rsid w:val="00A042B9"/>
    <w:rsid w:val="00A043FD"/>
    <w:rsid w:val="00A04674"/>
    <w:rsid w:val="00A049B2"/>
    <w:rsid w:val="00A04A8A"/>
    <w:rsid w:val="00A04B84"/>
    <w:rsid w:val="00A052C8"/>
    <w:rsid w:val="00A05510"/>
    <w:rsid w:val="00A057BE"/>
    <w:rsid w:val="00A058CB"/>
    <w:rsid w:val="00A0687B"/>
    <w:rsid w:val="00A0736E"/>
    <w:rsid w:val="00A073A4"/>
    <w:rsid w:val="00A074DD"/>
    <w:rsid w:val="00A076A1"/>
    <w:rsid w:val="00A07956"/>
    <w:rsid w:val="00A07ABD"/>
    <w:rsid w:val="00A07AF7"/>
    <w:rsid w:val="00A07BB2"/>
    <w:rsid w:val="00A07C09"/>
    <w:rsid w:val="00A11E35"/>
    <w:rsid w:val="00A12915"/>
    <w:rsid w:val="00A12AA6"/>
    <w:rsid w:val="00A13A34"/>
    <w:rsid w:val="00A13DA2"/>
    <w:rsid w:val="00A14254"/>
    <w:rsid w:val="00A14311"/>
    <w:rsid w:val="00A14619"/>
    <w:rsid w:val="00A149E1"/>
    <w:rsid w:val="00A14AEF"/>
    <w:rsid w:val="00A152F3"/>
    <w:rsid w:val="00A15915"/>
    <w:rsid w:val="00A16851"/>
    <w:rsid w:val="00A179DD"/>
    <w:rsid w:val="00A17C55"/>
    <w:rsid w:val="00A2007D"/>
    <w:rsid w:val="00A201AA"/>
    <w:rsid w:val="00A203E4"/>
    <w:rsid w:val="00A20497"/>
    <w:rsid w:val="00A21B60"/>
    <w:rsid w:val="00A21F4B"/>
    <w:rsid w:val="00A22277"/>
    <w:rsid w:val="00A229FF"/>
    <w:rsid w:val="00A22D76"/>
    <w:rsid w:val="00A23024"/>
    <w:rsid w:val="00A2314D"/>
    <w:rsid w:val="00A23217"/>
    <w:rsid w:val="00A23677"/>
    <w:rsid w:val="00A239A9"/>
    <w:rsid w:val="00A23FBC"/>
    <w:rsid w:val="00A244F4"/>
    <w:rsid w:val="00A24FB8"/>
    <w:rsid w:val="00A25EE5"/>
    <w:rsid w:val="00A263E8"/>
    <w:rsid w:val="00A26654"/>
    <w:rsid w:val="00A26B2E"/>
    <w:rsid w:val="00A27D03"/>
    <w:rsid w:val="00A30B02"/>
    <w:rsid w:val="00A30C98"/>
    <w:rsid w:val="00A313A4"/>
    <w:rsid w:val="00A313EB"/>
    <w:rsid w:val="00A32A57"/>
    <w:rsid w:val="00A32AB9"/>
    <w:rsid w:val="00A32B7C"/>
    <w:rsid w:val="00A32C2E"/>
    <w:rsid w:val="00A32D57"/>
    <w:rsid w:val="00A330B9"/>
    <w:rsid w:val="00A33229"/>
    <w:rsid w:val="00A3332B"/>
    <w:rsid w:val="00A333AE"/>
    <w:rsid w:val="00A33756"/>
    <w:rsid w:val="00A33FE0"/>
    <w:rsid w:val="00A34BD6"/>
    <w:rsid w:val="00A350DA"/>
    <w:rsid w:val="00A35185"/>
    <w:rsid w:val="00A3537C"/>
    <w:rsid w:val="00A356EF"/>
    <w:rsid w:val="00A35B4F"/>
    <w:rsid w:val="00A35D5C"/>
    <w:rsid w:val="00A36117"/>
    <w:rsid w:val="00A366B2"/>
    <w:rsid w:val="00A36CBF"/>
    <w:rsid w:val="00A36D5D"/>
    <w:rsid w:val="00A3702F"/>
    <w:rsid w:val="00A371CE"/>
    <w:rsid w:val="00A377FF"/>
    <w:rsid w:val="00A37B4D"/>
    <w:rsid w:val="00A37C9C"/>
    <w:rsid w:val="00A40318"/>
    <w:rsid w:val="00A40761"/>
    <w:rsid w:val="00A4077D"/>
    <w:rsid w:val="00A40CFD"/>
    <w:rsid w:val="00A4141C"/>
    <w:rsid w:val="00A419EF"/>
    <w:rsid w:val="00A41ACE"/>
    <w:rsid w:val="00A41B40"/>
    <w:rsid w:val="00A42057"/>
    <w:rsid w:val="00A42093"/>
    <w:rsid w:val="00A421A8"/>
    <w:rsid w:val="00A42205"/>
    <w:rsid w:val="00A422CD"/>
    <w:rsid w:val="00A427BF"/>
    <w:rsid w:val="00A43412"/>
    <w:rsid w:val="00A436FF"/>
    <w:rsid w:val="00A43C2B"/>
    <w:rsid w:val="00A43FB9"/>
    <w:rsid w:val="00A44BCA"/>
    <w:rsid w:val="00A44C8A"/>
    <w:rsid w:val="00A44FA7"/>
    <w:rsid w:val="00A454B2"/>
    <w:rsid w:val="00A4574F"/>
    <w:rsid w:val="00A4649B"/>
    <w:rsid w:val="00A46EC8"/>
    <w:rsid w:val="00A47656"/>
    <w:rsid w:val="00A47B7E"/>
    <w:rsid w:val="00A50B3E"/>
    <w:rsid w:val="00A50CB1"/>
    <w:rsid w:val="00A50DC5"/>
    <w:rsid w:val="00A5115D"/>
    <w:rsid w:val="00A51396"/>
    <w:rsid w:val="00A51554"/>
    <w:rsid w:val="00A517DF"/>
    <w:rsid w:val="00A51DF4"/>
    <w:rsid w:val="00A53772"/>
    <w:rsid w:val="00A53F34"/>
    <w:rsid w:val="00A5439A"/>
    <w:rsid w:val="00A54CF0"/>
    <w:rsid w:val="00A55581"/>
    <w:rsid w:val="00A565B5"/>
    <w:rsid w:val="00A56C42"/>
    <w:rsid w:val="00A572A3"/>
    <w:rsid w:val="00A573AF"/>
    <w:rsid w:val="00A57B26"/>
    <w:rsid w:val="00A57B7B"/>
    <w:rsid w:val="00A60B08"/>
    <w:rsid w:val="00A60C4B"/>
    <w:rsid w:val="00A61131"/>
    <w:rsid w:val="00A61B51"/>
    <w:rsid w:val="00A61EE6"/>
    <w:rsid w:val="00A6224D"/>
    <w:rsid w:val="00A622A6"/>
    <w:rsid w:val="00A6243A"/>
    <w:rsid w:val="00A62ED3"/>
    <w:rsid w:val="00A63113"/>
    <w:rsid w:val="00A631A0"/>
    <w:rsid w:val="00A64271"/>
    <w:rsid w:val="00A642DD"/>
    <w:rsid w:val="00A64755"/>
    <w:rsid w:val="00A647F4"/>
    <w:rsid w:val="00A64E8A"/>
    <w:rsid w:val="00A654E2"/>
    <w:rsid w:val="00A6564B"/>
    <w:rsid w:val="00A65854"/>
    <w:rsid w:val="00A65A3E"/>
    <w:rsid w:val="00A65BED"/>
    <w:rsid w:val="00A65F5C"/>
    <w:rsid w:val="00A661BE"/>
    <w:rsid w:val="00A6690D"/>
    <w:rsid w:val="00A66BA4"/>
    <w:rsid w:val="00A67354"/>
    <w:rsid w:val="00A675F5"/>
    <w:rsid w:val="00A67F21"/>
    <w:rsid w:val="00A703D2"/>
    <w:rsid w:val="00A705E6"/>
    <w:rsid w:val="00A70AC5"/>
    <w:rsid w:val="00A711B5"/>
    <w:rsid w:val="00A71479"/>
    <w:rsid w:val="00A71527"/>
    <w:rsid w:val="00A71846"/>
    <w:rsid w:val="00A71AAF"/>
    <w:rsid w:val="00A7211F"/>
    <w:rsid w:val="00A72717"/>
    <w:rsid w:val="00A7276A"/>
    <w:rsid w:val="00A730BF"/>
    <w:rsid w:val="00A73453"/>
    <w:rsid w:val="00A73591"/>
    <w:rsid w:val="00A74040"/>
    <w:rsid w:val="00A74056"/>
    <w:rsid w:val="00A74647"/>
    <w:rsid w:val="00A74DFB"/>
    <w:rsid w:val="00A751DA"/>
    <w:rsid w:val="00A75573"/>
    <w:rsid w:val="00A75804"/>
    <w:rsid w:val="00A7600A"/>
    <w:rsid w:val="00A76AAC"/>
    <w:rsid w:val="00A770F1"/>
    <w:rsid w:val="00A7710C"/>
    <w:rsid w:val="00A772B8"/>
    <w:rsid w:val="00A77DDA"/>
    <w:rsid w:val="00A77F93"/>
    <w:rsid w:val="00A80127"/>
    <w:rsid w:val="00A802A3"/>
    <w:rsid w:val="00A803B2"/>
    <w:rsid w:val="00A8065B"/>
    <w:rsid w:val="00A806A8"/>
    <w:rsid w:val="00A80BB3"/>
    <w:rsid w:val="00A80C4C"/>
    <w:rsid w:val="00A80E50"/>
    <w:rsid w:val="00A80E5B"/>
    <w:rsid w:val="00A80F3F"/>
    <w:rsid w:val="00A83588"/>
    <w:rsid w:val="00A8397C"/>
    <w:rsid w:val="00A84AB3"/>
    <w:rsid w:val="00A84F58"/>
    <w:rsid w:val="00A85061"/>
    <w:rsid w:val="00A851AC"/>
    <w:rsid w:val="00A856F3"/>
    <w:rsid w:val="00A85E75"/>
    <w:rsid w:val="00A8644A"/>
    <w:rsid w:val="00A86B94"/>
    <w:rsid w:val="00A86E47"/>
    <w:rsid w:val="00A86EEE"/>
    <w:rsid w:val="00A871CD"/>
    <w:rsid w:val="00A873EB"/>
    <w:rsid w:val="00A876DB"/>
    <w:rsid w:val="00A87921"/>
    <w:rsid w:val="00A9007B"/>
    <w:rsid w:val="00A906FC"/>
    <w:rsid w:val="00A90BCB"/>
    <w:rsid w:val="00A91262"/>
    <w:rsid w:val="00A9130A"/>
    <w:rsid w:val="00A9138B"/>
    <w:rsid w:val="00A918CE"/>
    <w:rsid w:val="00A92797"/>
    <w:rsid w:val="00A9320C"/>
    <w:rsid w:val="00A93859"/>
    <w:rsid w:val="00A949F5"/>
    <w:rsid w:val="00A94D94"/>
    <w:rsid w:val="00A955BA"/>
    <w:rsid w:val="00A9640A"/>
    <w:rsid w:val="00A96867"/>
    <w:rsid w:val="00A96A53"/>
    <w:rsid w:val="00A97750"/>
    <w:rsid w:val="00A97AED"/>
    <w:rsid w:val="00AA0DB8"/>
    <w:rsid w:val="00AA1946"/>
    <w:rsid w:val="00AA2250"/>
    <w:rsid w:val="00AA229A"/>
    <w:rsid w:val="00AA34FF"/>
    <w:rsid w:val="00AA3779"/>
    <w:rsid w:val="00AA388C"/>
    <w:rsid w:val="00AA4143"/>
    <w:rsid w:val="00AA42AF"/>
    <w:rsid w:val="00AA4648"/>
    <w:rsid w:val="00AA4E2A"/>
    <w:rsid w:val="00AA52D2"/>
    <w:rsid w:val="00AA5783"/>
    <w:rsid w:val="00AA5ADE"/>
    <w:rsid w:val="00AA5F6D"/>
    <w:rsid w:val="00AA6032"/>
    <w:rsid w:val="00AA6479"/>
    <w:rsid w:val="00AA69E0"/>
    <w:rsid w:val="00AA7093"/>
    <w:rsid w:val="00AA7630"/>
    <w:rsid w:val="00AA790C"/>
    <w:rsid w:val="00AA7AF1"/>
    <w:rsid w:val="00AB08BC"/>
    <w:rsid w:val="00AB0BF1"/>
    <w:rsid w:val="00AB2C05"/>
    <w:rsid w:val="00AB37FB"/>
    <w:rsid w:val="00AB46B8"/>
    <w:rsid w:val="00AB4AED"/>
    <w:rsid w:val="00AB4F72"/>
    <w:rsid w:val="00AB517E"/>
    <w:rsid w:val="00AB5557"/>
    <w:rsid w:val="00AB567C"/>
    <w:rsid w:val="00AB5B0D"/>
    <w:rsid w:val="00AB6638"/>
    <w:rsid w:val="00AB6751"/>
    <w:rsid w:val="00AB767A"/>
    <w:rsid w:val="00AB77FD"/>
    <w:rsid w:val="00AC0861"/>
    <w:rsid w:val="00AC118A"/>
    <w:rsid w:val="00AC12A4"/>
    <w:rsid w:val="00AC1441"/>
    <w:rsid w:val="00AC1819"/>
    <w:rsid w:val="00AC18BD"/>
    <w:rsid w:val="00AC1B11"/>
    <w:rsid w:val="00AC1CF3"/>
    <w:rsid w:val="00AC1FF7"/>
    <w:rsid w:val="00AC2229"/>
    <w:rsid w:val="00AC23C1"/>
    <w:rsid w:val="00AC25A9"/>
    <w:rsid w:val="00AC264A"/>
    <w:rsid w:val="00AC27FE"/>
    <w:rsid w:val="00AC2DB7"/>
    <w:rsid w:val="00AC2DC5"/>
    <w:rsid w:val="00AC2E42"/>
    <w:rsid w:val="00AC32C5"/>
    <w:rsid w:val="00AC3E72"/>
    <w:rsid w:val="00AC3F95"/>
    <w:rsid w:val="00AC50C7"/>
    <w:rsid w:val="00AC5801"/>
    <w:rsid w:val="00AC5B0D"/>
    <w:rsid w:val="00AC5DF2"/>
    <w:rsid w:val="00AC693F"/>
    <w:rsid w:val="00AC6AEF"/>
    <w:rsid w:val="00AC763F"/>
    <w:rsid w:val="00AD016E"/>
    <w:rsid w:val="00AD02FE"/>
    <w:rsid w:val="00AD03D5"/>
    <w:rsid w:val="00AD05A0"/>
    <w:rsid w:val="00AD0C83"/>
    <w:rsid w:val="00AD0D88"/>
    <w:rsid w:val="00AD11DE"/>
    <w:rsid w:val="00AD196A"/>
    <w:rsid w:val="00AD20E3"/>
    <w:rsid w:val="00AD2484"/>
    <w:rsid w:val="00AD2A27"/>
    <w:rsid w:val="00AD2FAE"/>
    <w:rsid w:val="00AD30D1"/>
    <w:rsid w:val="00AD427F"/>
    <w:rsid w:val="00AD42BE"/>
    <w:rsid w:val="00AD47D0"/>
    <w:rsid w:val="00AD4C96"/>
    <w:rsid w:val="00AD4E51"/>
    <w:rsid w:val="00AD57B0"/>
    <w:rsid w:val="00AD6062"/>
    <w:rsid w:val="00AD714F"/>
    <w:rsid w:val="00AD7A83"/>
    <w:rsid w:val="00AD7E30"/>
    <w:rsid w:val="00AE00D7"/>
    <w:rsid w:val="00AE03A3"/>
    <w:rsid w:val="00AE0737"/>
    <w:rsid w:val="00AE0CC7"/>
    <w:rsid w:val="00AE0CD3"/>
    <w:rsid w:val="00AE1220"/>
    <w:rsid w:val="00AE1665"/>
    <w:rsid w:val="00AE1914"/>
    <w:rsid w:val="00AE1D35"/>
    <w:rsid w:val="00AE1F88"/>
    <w:rsid w:val="00AE3184"/>
    <w:rsid w:val="00AE3D94"/>
    <w:rsid w:val="00AE3F23"/>
    <w:rsid w:val="00AE404C"/>
    <w:rsid w:val="00AE41A1"/>
    <w:rsid w:val="00AE42D7"/>
    <w:rsid w:val="00AE4753"/>
    <w:rsid w:val="00AE4C26"/>
    <w:rsid w:val="00AE4D5D"/>
    <w:rsid w:val="00AE57C2"/>
    <w:rsid w:val="00AE5A28"/>
    <w:rsid w:val="00AE5A98"/>
    <w:rsid w:val="00AE5BF9"/>
    <w:rsid w:val="00AE600E"/>
    <w:rsid w:val="00AE63BD"/>
    <w:rsid w:val="00AE659B"/>
    <w:rsid w:val="00AE6781"/>
    <w:rsid w:val="00AE70D6"/>
    <w:rsid w:val="00AE7102"/>
    <w:rsid w:val="00AE73BE"/>
    <w:rsid w:val="00AE773B"/>
    <w:rsid w:val="00AF05D5"/>
    <w:rsid w:val="00AF0601"/>
    <w:rsid w:val="00AF0A2D"/>
    <w:rsid w:val="00AF0AB8"/>
    <w:rsid w:val="00AF0B8D"/>
    <w:rsid w:val="00AF0CF2"/>
    <w:rsid w:val="00AF19D3"/>
    <w:rsid w:val="00AF1D60"/>
    <w:rsid w:val="00AF1F02"/>
    <w:rsid w:val="00AF228A"/>
    <w:rsid w:val="00AF24E8"/>
    <w:rsid w:val="00AF2583"/>
    <w:rsid w:val="00AF2EB3"/>
    <w:rsid w:val="00AF2ED7"/>
    <w:rsid w:val="00AF3744"/>
    <w:rsid w:val="00AF38F7"/>
    <w:rsid w:val="00AF3C4D"/>
    <w:rsid w:val="00AF40B4"/>
    <w:rsid w:val="00AF4320"/>
    <w:rsid w:val="00AF44C7"/>
    <w:rsid w:val="00AF4736"/>
    <w:rsid w:val="00AF47A4"/>
    <w:rsid w:val="00AF4B88"/>
    <w:rsid w:val="00AF4BFC"/>
    <w:rsid w:val="00AF56A8"/>
    <w:rsid w:val="00AF5D17"/>
    <w:rsid w:val="00AF6096"/>
    <w:rsid w:val="00AF64D5"/>
    <w:rsid w:val="00AF6547"/>
    <w:rsid w:val="00AF67A9"/>
    <w:rsid w:val="00AF6875"/>
    <w:rsid w:val="00AF6A31"/>
    <w:rsid w:val="00AF6D54"/>
    <w:rsid w:val="00B0012B"/>
    <w:rsid w:val="00B00403"/>
    <w:rsid w:val="00B0040F"/>
    <w:rsid w:val="00B009CD"/>
    <w:rsid w:val="00B00B07"/>
    <w:rsid w:val="00B0100B"/>
    <w:rsid w:val="00B01557"/>
    <w:rsid w:val="00B01639"/>
    <w:rsid w:val="00B01DC3"/>
    <w:rsid w:val="00B0288C"/>
    <w:rsid w:val="00B02D63"/>
    <w:rsid w:val="00B0330A"/>
    <w:rsid w:val="00B03F51"/>
    <w:rsid w:val="00B041E7"/>
    <w:rsid w:val="00B04762"/>
    <w:rsid w:val="00B04D31"/>
    <w:rsid w:val="00B054E3"/>
    <w:rsid w:val="00B05E42"/>
    <w:rsid w:val="00B060FD"/>
    <w:rsid w:val="00B06283"/>
    <w:rsid w:val="00B069ED"/>
    <w:rsid w:val="00B06B1F"/>
    <w:rsid w:val="00B06BC3"/>
    <w:rsid w:val="00B06CA0"/>
    <w:rsid w:val="00B06FD3"/>
    <w:rsid w:val="00B1027D"/>
    <w:rsid w:val="00B10306"/>
    <w:rsid w:val="00B10442"/>
    <w:rsid w:val="00B1089A"/>
    <w:rsid w:val="00B10AD9"/>
    <w:rsid w:val="00B10B7B"/>
    <w:rsid w:val="00B10F93"/>
    <w:rsid w:val="00B11027"/>
    <w:rsid w:val="00B113FE"/>
    <w:rsid w:val="00B11421"/>
    <w:rsid w:val="00B117AF"/>
    <w:rsid w:val="00B127E4"/>
    <w:rsid w:val="00B1287D"/>
    <w:rsid w:val="00B12E35"/>
    <w:rsid w:val="00B14BF0"/>
    <w:rsid w:val="00B14CD2"/>
    <w:rsid w:val="00B15320"/>
    <w:rsid w:val="00B1556C"/>
    <w:rsid w:val="00B159A8"/>
    <w:rsid w:val="00B15A5C"/>
    <w:rsid w:val="00B15AC0"/>
    <w:rsid w:val="00B15FFF"/>
    <w:rsid w:val="00B160D9"/>
    <w:rsid w:val="00B162F4"/>
    <w:rsid w:val="00B16671"/>
    <w:rsid w:val="00B167A6"/>
    <w:rsid w:val="00B16EFA"/>
    <w:rsid w:val="00B1733D"/>
    <w:rsid w:val="00B176FB"/>
    <w:rsid w:val="00B20047"/>
    <w:rsid w:val="00B202CA"/>
    <w:rsid w:val="00B203EE"/>
    <w:rsid w:val="00B20F8F"/>
    <w:rsid w:val="00B2170A"/>
    <w:rsid w:val="00B21B14"/>
    <w:rsid w:val="00B22028"/>
    <w:rsid w:val="00B2236D"/>
    <w:rsid w:val="00B224A4"/>
    <w:rsid w:val="00B22A6A"/>
    <w:rsid w:val="00B22CF4"/>
    <w:rsid w:val="00B22DAB"/>
    <w:rsid w:val="00B232FF"/>
    <w:rsid w:val="00B23876"/>
    <w:rsid w:val="00B23C12"/>
    <w:rsid w:val="00B23C2D"/>
    <w:rsid w:val="00B243E4"/>
    <w:rsid w:val="00B246B0"/>
    <w:rsid w:val="00B2495A"/>
    <w:rsid w:val="00B24985"/>
    <w:rsid w:val="00B24ECF"/>
    <w:rsid w:val="00B2553E"/>
    <w:rsid w:val="00B256FF"/>
    <w:rsid w:val="00B26293"/>
    <w:rsid w:val="00B26FC6"/>
    <w:rsid w:val="00B27B9A"/>
    <w:rsid w:val="00B27EF5"/>
    <w:rsid w:val="00B305C5"/>
    <w:rsid w:val="00B306AA"/>
    <w:rsid w:val="00B3184B"/>
    <w:rsid w:val="00B31B42"/>
    <w:rsid w:val="00B31D34"/>
    <w:rsid w:val="00B31EBD"/>
    <w:rsid w:val="00B31EC7"/>
    <w:rsid w:val="00B3262B"/>
    <w:rsid w:val="00B3293E"/>
    <w:rsid w:val="00B32B12"/>
    <w:rsid w:val="00B32E59"/>
    <w:rsid w:val="00B33A93"/>
    <w:rsid w:val="00B33B19"/>
    <w:rsid w:val="00B33C4E"/>
    <w:rsid w:val="00B34B73"/>
    <w:rsid w:val="00B34E0D"/>
    <w:rsid w:val="00B34F40"/>
    <w:rsid w:val="00B35775"/>
    <w:rsid w:val="00B35A50"/>
    <w:rsid w:val="00B35AB6"/>
    <w:rsid w:val="00B35B21"/>
    <w:rsid w:val="00B35D40"/>
    <w:rsid w:val="00B36C04"/>
    <w:rsid w:val="00B36CB8"/>
    <w:rsid w:val="00B37693"/>
    <w:rsid w:val="00B37730"/>
    <w:rsid w:val="00B37D20"/>
    <w:rsid w:val="00B37F7E"/>
    <w:rsid w:val="00B404AA"/>
    <w:rsid w:val="00B413C6"/>
    <w:rsid w:val="00B4156A"/>
    <w:rsid w:val="00B41FAE"/>
    <w:rsid w:val="00B41FEA"/>
    <w:rsid w:val="00B423E2"/>
    <w:rsid w:val="00B43156"/>
    <w:rsid w:val="00B43851"/>
    <w:rsid w:val="00B43E75"/>
    <w:rsid w:val="00B4406D"/>
    <w:rsid w:val="00B4420B"/>
    <w:rsid w:val="00B444E6"/>
    <w:rsid w:val="00B44B0F"/>
    <w:rsid w:val="00B44B34"/>
    <w:rsid w:val="00B4535E"/>
    <w:rsid w:val="00B453FD"/>
    <w:rsid w:val="00B45B4A"/>
    <w:rsid w:val="00B46BB9"/>
    <w:rsid w:val="00B46F92"/>
    <w:rsid w:val="00B46FB8"/>
    <w:rsid w:val="00B472EC"/>
    <w:rsid w:val="00B4744A"/>
    <w:rsid w:val="00B477DA"/>
    <w:rsid w:val="00B479F8"/>
    <w:rsid w:val="00B47C50"/>
    <w:rsid w:val="00B50DF2"/>
    <w:rsid w:val="00B510F6"/>
    <w:rsid w:val="00B517B9"/>
    <w:rsid w:val="00B51CA3"/>
    <w:rsid w:val="00B51CDA"/>
    <w:rsid w:val="00B51FBF"/>
    <w:rsid w:val="00B52220"/>
    <w:rsid w:val="00B526CB"/>
    <w:rsid w:val="00B53FDC"/>
    <w:rsid w:val="00B54192"/>
    <w:rsid w:val="00B54768"/>
    <w:rsid w:val="00B54DD8"/>
    <w:rsid w:val="00B54E38"/>
    <w:rsid w:val="00B54E6B"/>
    <w:rsid w:val="00B555BB"/>
    <w:rsid w:val="00B55662"/>
    <w:rsid w:val="00B55D22"/>
    <w:rsid w:val="00B56203"/>
    <w:rsid w:val="00B56654"/>
    <w:rsid w:val="00B56893"/>
    <w:rsid w:val="00B569E2"/>
    <w:rsid w:val="00B57102"/>
    <w:rsid w:val="00B57C8B"/>
    <w:rsid w:val="00B57F80"/>
    <w:rsid w:val="00B60199"/>
    <w:rsid w:val="00B60B12"/>
    <w:rsid w:val="00B60DD9"/>
    <w:rsid w:val="00B60E82"/>
    <w:rsid w:val="00B61C01"/>
    <w:rsid w:val="00B624AE"/>
    <w:rsid w:val="00B62F48"/>
    <w:rsid w:val="00B632BC"/>
    <w:rsid w:val="00B639D3"/>
    <w:rsid w:val="00B63A9C"/>
    <w:rsid w:val="00B63E29"/>
    <w:rsid w:val="00B6416C"/>
    <w:rsid w:val="00B644A3"/>
    <w:rsid w:val="00B646F0"/>
    <w:rsid w:val="00B64DE2"/>
    <w:rsid w:val="00B64DF8"/>
    <w:rsid w:val="00B6527E"/>
    <w:rsid w:val="00B662F9"/>
    <w:rsid w:val="00B66F3F"/>
    <w:rsid w:val="00B67130"/>
    <w:rsid w:val="00B671FC"/>
    <w:rsid w:val="00B67981"/>
    <w:rsid w:val="00B679E1"/>
    <w:rsid w:val="00B67B95"/>
    <w:rsid w:val="00B67E57"/>
    <w:rsid w:val="00B701B2"/>
    <w:rsid w:val="00B70405"/>
    <w:rsid w:val="00B7045C"/>
    <w:rsid w:val="00B70531"/>
    <w:rsid w:val="00B70898"/>
    <w:rsid w:val="00B71DE2"/>
    <w:rsid w:val="00B73027"/>
    <w:rsid w:val="00B73561"/>
    <w:rsid w:val="00B74104"/>
    <w:rsid w:val="00B74938"/>
    <w:rsid w:val="00B74F89"/>
    <w:rsid w:val="00B75F87"/>
    <w:rsid w:val="00B75FC8"/>
    <w:rsid w:val="00B761F8"/>
    <w:rsid w:val="00B76584"/>
    <w:rsid w:val="00B76DA3"/>
    <w:rsid w:val="00B76DA5"/>
    <w:rsid w:val="00B76F6F"/>
    <w:rsid w:val="00B77161"/>
    <w:rsid w:val="00B771C6"/>
    <w:rsid w:val="00B771E2"/>
    <w:rsid w:val="00B776F4"/>
    <w:rsid w:val="00B77989"/>
    <w:rsid w:val="00B77D17"/>
    <w:rsid w:val="00B804AA"/>
    <w:rsid w:val="00B8082D"/>
    <w:rsid w:val="00B80DB4"/>
    <w:rsid w:val="00B80FC4"/>
    <w:rsid w:val="00B8100C"/>
    <w:rsid w:val="00B81086"/>
    <w:rsid w:val="00B81980"/>
    <w:rsid w:val="00B81BA8"/>
    <w:rsid w:val="00B81EC0"/>
    <w:rsid w:val="00B81FC3"/>
    <w:rsid w:val="00B82D6C"/>
    <w:rsid w:val="00B8311C"/>
    <w:rsid w:val="00B83ABC"/>
    <w:rsid w:val="00B83B15"/>
    <w:rsid w:val="00B84377"/>
    <w:rsid w:val="00B84A8A"/>
    <w:rsid w:val="00B84BBA"/>
    <w:rsid w:val="00B85177"/>
    <w:rsid w:val="00B855F4"/>
    <w:rsid w:val="00B85DCF"/>
    <w:rsid w:val="00B866AA"/>
    <w:rsid w:val="00B86A27"/>
    <w:rsid w:val="00B87599"/>
    <w:rsid w:val="00B9014B"/>
    <w:rsid w:val="00B90753"/>
    <w:rsid w:val="00B90EC1"/>
    <w:rsid w:val="00B9157A"/>
    <w:rsid w:val="00B9183E"/>
    <w:rsid w:val="00B91CA5"/>
    <w:rsid w:val="00B923B0"/>
    <w:rsid w:val="00B92660"/>
    <w:rsid w:val="00B93579"/>
    <w:rsid w:val="00B93B7C"/>
    <w:rsid w:val="00B93CFC"/>
    <w:rsid w:val="00B93F96"/>
    <w:rsid w:val="00B94785"/>
    <w:rsid w:val="00B94D98"/>
    <w:rsid w:val="00B94FB9"/>
    <w:rsid w:val="00B957F6"/>
    <w:rsid w:val="00B958AC"/>
    <w:rsid w:val="00B95993"/>
    <w:rsid w:val="00B95A3D"/>
    <w:rsid w:val="00B95C41"/>
    <w:rsid w:val="00B95CF6"/>
    <w:rsid w:val="00B95E3B"/>
    <w:rsid w:val="00B9672B"/>
    <w:rsid w:val="00B96B1C"/>
    <w:rsid w:val="00B96B31"/>
    <w:rsid w:val="00B97206"/>
    <w:rsid w:val="00B97995"/>
    <w:rsid w:val="00B97B5D"/>
    <w:rsid w:val="00B97DE1"/>
    <w:rsid w:val="00BA04CD"/>
    <w:rsid w:val="00BA0C75"/>
    <w:rsid w:val="00BA12FF"/>
    <w:rsid w:val="00BA14D7"/>
    <w:rsid w:val="00BA1812"/>
    <w:rsid w:val="00BA2559"/>
    <w:rsid w:val="00BA2985"/>
    <w:rsid w:val="00BA2D33"/>
    <w:rsid w:val="00BA307E"/>
    <w:rsid w:val="00BA316F"/>
    <w:rsid w:val="00BA3529"/>
    <w:rsid w:val="00BA3D26"/>
    <w:rsid w:val="00BA492A"/>
    <w:rsid w:val="00BA4D23"/>
    <w:rsid w:val="00BA59E6"/>
    <w:rsid w:val="00BA5F5D"/>
    <w:rsid w:val="00BA60B6"/>
    <w:rsid w:val="00BA61A8"/>
    <w:rsid w:val="00BA66D0"/>
    <w:rsid w:val="00BA6835"/>
    <w:rsid w:val="00BA6C47"/>
    <w:rsid w:val="00BA6DBE"/>
    <w:rsid w:val="00BA7197"/>
    <w:rsid w:val="00BA72D7"/>
    <w:rsid w:val="00BA740C"/>
    <w:rsid w:val="00BA78B6"/>
    <w:rsid w:val="00BB0633"/>
    <w:rsid w:val="00BB0EA1"/>
    <w:rsid w:val="00BB0F7A"/>
    <w:rsid w:val="00BB14DA"/>
    <w:rsid w:val="00BB1602"/>
    <w:rsid w:val="00BB1CD1"/>
    <w:rsid w:val="00BB1E56"/>
    <w:rsid w:val="00BB1F07"/>
    <w:rsid w:val="00BB2B48"/>
    <w:rsid w:val="00BB3D44"/>
    <w:rsid w:val="00BB3DF4"/>
    <w:rsid w:val="00BB3E46"/>
    <w:rsid w:val="00BB403E"/>
    <w:rsid w:val="00BB48AB"/>
    <w:rsid w:val="00BB4AD0"/>
    <w:rsid w:val="00BB4ED1"/>
    <w:rsid w:val="00BB52AB"/>
    <w:rsid w:val="00BB5A7A"/>
    <w:rsid w:val="00BB5D76"/>
    <w:rsid w:val="00BB60D8"/>
    <w:rsid w:val="00BB7121"/>
    <w:rsid w:val="00BB7352"/>
    <w:rsid w:val="00BB7395"/>
    <w:rsid w:val="00BB7788"/>
    <w:rsid w:val="00BB7F4C"/>
    <w:rsid w:val="00BC02F4"/>
    <w:rsid w:val="00BC0726"/>
    <w:rsid w:val="00BC0C3C"/>
    <w:rsid w:val="00BC10FA"/>
    <w:rsid w:val="00BC11B6"/>
    <w:rsid w:val="00BC190C"/>
    <w:rsid w:val="00BC1A9E"/>
    <w:rsid w:val="00BC2985"/>
    <w:rsid w:val="00BC2CA8"/>
    <w:rsid w:val="00BC366E"/>
    <w:rsid w:val="00BC3843"/>
    <w:rsid w:val="00BC3B07"/>
    <w:rsid w:val="00BC3F37"/>
    <w:rsid w:val="00BC3FF9"/>
    <w:rsid w:val="00BC4B82"/>
    <w:rsid w:val="00BC5210"/>
    <w:rsid w:val="00BC5437"/>
    <w:rsid w:val="00BC573F"/>
    <w:rsid w:val="00BC5BAC"/>
    <w:rsid w:val="00BC5D6F"/>
    <w:rsid w:val="00BC7051"/>
    <w:rsid w:val="00BC7932"/>
    <w:rsid w:val="00BC7B09"/>
    <w:rsid w:val="00BD0998"/>
    <w:rsid w:val="00BD0ED1"/>
    <w:rsid w:val="00BD1C46"/>
    <w:rsid w:val="00BD2597"/>
    <w:rsid w:val="00BD281B"/>
    <w:rsid w:val="00BD29B6"/>
    <w:rsid w:val="00BD32BA"/>
    <w:rsid w:val="00BD3BB5"/>
    <w:rsid w:val="00BD3FC2"/>
    <w:rsid w:val="00BD4059"/>
    <w:rsid w:val="00BD40B3"/>
    <w:rsid w:val="00BD4636"/>
    <w:rsid w:val="00BD4A55"/>
    <w:rsid w:val="00BD4B7E"/>
    <w:rsid w:val="00BD4C1A"/>
    <w:rsid w:val="00BD4C78"/>
    <w:rsid w:val="00BD4FE4"/>
    <w:rsid w:val="00BD578A"/>
    <w:rsid w:val="00BD59EB"/>
    <w:rsid w:val="00BD63EB"/>
    <w:rsid w:val="00BD6537"/>
    <w:rsid w:val="00BD65CF"/>
    <w:rsid w:val="00BD667C"/>
    <w:rsid w:val="00BD6694"/>
    <w:rsid w:val="00BD66F5"/>
    <w:rsid w:val="00BD6701"/>
    <w:rsid w:val="00BD6ACC"/>
    <w:rsid w:val="00BD6D9C"/>
    <w:rsid w:val="00BD6F35"/>
    <w:rsid w:val="00BD7575"/>
    <w:rsid w:val="00BD78E8"/>
    <w:rsid w:val="00BE002E"/>
    <w:rsid w:val="00BE0636"/>
    <w:rsid w:val="00BE08C9"/>
    <w:rsid w:val="00BE0BDE"/>
    <w:rsid w:val="00BE1702"/>
    <w:rsid w:val="00BE1FEC"/>
    <w:rsid w:val="00BE2370"/>
    <w:rsid w:val="00BE2AB5"/>
    <w:rsid w:val="00BE35B4"/>
    <w:rsid w:val="00BE3837"/>
    <w:rsid w:val="00BE3A56"/>
    <w:rsid w:val="00BE3B3A"/>
    <w:rsid w:val="00BE3EB4"/>
    <w:rsid w:val="00BE4322"/>
    <w:rsid w:val="00BE4BDB"/>
    <w:rsid w:val="00BE4C7F"/>
    <w:rsid w:val="00BE6185"/>
    <w:rsid w:val="00BE652B"/>
    <w:rsid w:val="00BE65FD"/>
    <w:rsid w:val="00BE68F0"/>
    <w:rsid w:val="00BE6FA2"/>
    <w:rsid w:val="00BE751C"/>
    <w:rsid w:val="00BF014E"/>
    <w:rsid w:val="00BF0262"/>
    <w:rsid w:val="00BF02DD"/>
    <w:rsid w:val="00BF04CD"/>
    <w:rsid w:val="00BF0A81"/>
    <w:rsid w:val="00BF155F"/>
    <w:rsid w:val="00BF15FD"/>
    <w:rsid w:val="00BF1755"/>
    <w:rsid w:val="00BF18B3"/>
    <w:rsid w:val="00BF1CB7"/>
    <w:rsid w:val="00BF1D6B"/>
    <w:rsid w:val="00BF23CA"/>
    <w:rsid w:val="00BF252D"/>
    <w:rsid w:val="00BF33E3"/>
    <w:rsid w:val="00BF3609"/>
    <w:rsid w:val="00BF379F"/>
    <w:rsid w:val="00BF37BB"/>
    <w:rsid w:val="00BF43FE"/>
    <w:rsid w:val="00BF44A5"/>
    <w:rsid w:val="00BF4A26"/>
    <w:rsid w:val="00BF5146"/>
    <w:rsid w:val="00BF575C"/>
    <w:rsid w:val="00BF578F"/>
    <w:rsid w:val="00BF5B7A"/>
    <w:rsid w:val="00BF5D38"/>
    <w:rsid w:val="00BF682A"/>
    <w:rsid w:val="00BF6847"/>
    <w:rsid w:val="00BF6BA6"/>
    <w:rsid w:val="00BF6DC1"/>
    <w:rsid w:val="00BF71E9"/>
    <w:rsid w:val="00BF73AE"/>
    <w:rsid w:val="00BF7F02"/>
    <w:rsid w:val="00C0016C"/>
    <w:rsid w:val="00C006FA"/>
    <w:rsid w:val="00C009A7"/>
    <w:rsid w:val="00C009F7"/>
    <w:rsid w:val="00C00BD4"/>
    <w:rsid w:val="00C00C52"/>
    <w:rsid w:val="00C010A0"/>
    <w:rsid w:val="00C0161E"/>
    <w:rsid w:val="00C01AD2"/>
    <w:rsid w:val="00C01D70"/>
    <w:rsid w:val="00C01F34"/>
    <w:rsid w:val="00C0208B"/>
    <w:rsid w:val="00C02C8F"/>
    <w:rsid w:val="00C03365"/>
    <w:rsid w:val="00C037E4"/>
    <w:rsid w:val="00C03932"/>
    <w:rsid w:val="00C03C81"/>
    <w:rsid w:val="00C03D09"/>
    <w:rsid w:val="00C03DAF"/>
    <w:rsid w:val="00C04183"/>
    <w:rsid w:val="00C05093"/>
    <w:rsid w:val="00C0526B"/>
    <w:rsid w:val="00C0570E"/>
    <w:rsid w:val="00C057EA"/>
    <w:rsid w:val="00C06479"/>
    <w:rsid w:val="00C065AC"/>
    <w:rsid w:val="00C06E02"/>
    <w:rsid w:val="00C07346"/>
    <w:rsid w:val="00C07C35"/>
    <w:rsid w:val="00C07D59"/>
    <w:rsid w:val="00C10A1D"/>
    <w:rsid w:val="00C11334"/>
    <w:rsid w:val="00C11494"/>
    <w:rsid w:val="00C119B5"/>
    <w:rsid w:val="00C11A94"/>
    <w:rsid w:val="00C11AAD"/>
    <w:rsid w:val="00C11F30"/>
    <w:rsid w:val="00C1210F"/>
    <w:rsid w:val="00C12425"/>
    <w:rsid w:val="00C1254C"/>
    <w:rsid w:val="00C1274A"/>
    <w:rsid w:val="00C12C01"/>
    <w:rsid w:val="00C13605"/>
    <w:rsid w:val="00C13D60"/>
    <w:rsid w:val="00C13EB0"/>
    <w:rsid w:val="00C14164"/>
    <w:rsid w:val="00C14AC3"/>
    <w:rsid w:val="00C14D16"/>
    <w:rsid w:val="00C14F97"/>
    <w:rsid w:val="00C15DD3"/>
    <w:rsid w:val="00C16461"/>
    <w:rsid w:val="00C165F6"/>
    <w:rsid w:val="00C16705"/>
    <w:rsid w:val="00C169CB"/>
    <w:rsid w:val="00C16D85"/>
    <w:rsid w:val="00C170E8"/>
    <w:rsid w:val="00C1711D"/>
    <w:rsid w:val="00C173C7"/>
    <w:rsid w:val="00C17A6F"/>
    <w:rsid w:val="00C17DA8"/>
    <w:rsid w:val="00C20A27"/>
    <w:rsid w:val="00C20AFE"/>
    <w:rsid w:val="00C20DD9"/>
    <w:rsid w:val="00C21188"/>
    <w:rsid w:val="00C212BE"/>
    <w:rsid w:val="00C21465"/>
    <w:rsid w:val="00C21C07"/>
    <w:rsid w:val="00C21D60"/>
    <w:rsid w:val="00C21D6D"/>
    <w:rsid w:val="00C21EB4"/>
    <w:rsid w:val="00C2246C"/>
    <w:rsid w:val="00C23451"/>
    <w:rsid w:val="00C24106"/>
    <w:rsid w:val="00C242AE"/>
    <w:rsid w:val="00C2456C"/>
    <w:rsid w:val="00C24991"/>
    <w:rsid w:val="00C252B3"/>
    <w:rsid w:val="00C25324"/>
    <w:rsid w:val="00C260AB"/>
    <w:rsid w:val="00C2630D"/>
    <w:rsid w:val="00C2676E"/>
    <w:rsid w:val="00C26B08"/>
    <w:rsid w:val="00C26C9D"/>
    <w:rsid w:val="00C27360"/>
    <w:rsid w:val="00C27754"/>
    <w:rsid w:val="00C27D2C"/>
    <w:rsid w:val="00C3109B"/>
    <w:rsid w:val="00C3115B"/>
    <w:rsid w:val="00C3125C"/>
    <w:rsid w:val="00C31C3D"/>
    <w:rsid w:val="00C32253"/>
    <w:rsid w:val="00C3292E"/>
    <w:rsid w:val="00C3293B"/>
    <w:rsid w:val="00C32A0F"/>
    <w:rsid w:val="00C32A7D"/>
    <w:rsid w:val="00C32C4A"/>
    <w:rsid w:val="00C3321F"/>
    <w:rsid w:val="00C33631"/>
    <w:rsid w:val="00C33BBD"/>
    <w:rsid w:val="00C3411A"/>
    <w:rsid w:val="00C3463D"/>
    <w:rsid w:val="00C35819"/>
    <w:rsid w:val="00C361EB"/>
    <w:rsid w:val="00C36840"/>
    <w:rsid w:val="00C368CB"/>
    <w:rsid w:val="00C3729D"/>
    <w:rsid w:val="00C37488"/>
    <w:rsid w:val="00C37F0B"/>
    <w:rsid w:val="00C40E90"/>
    <w:rsid w:val="00C4130F"/>
    <w:rsid w:val="00C4171D"/>
    <w:rsid w:val="00C41A70"/>
    <w:rsid w:val="00C42757"/>
    <w:rsid w:val="00C427DC"/>
    <w:rsid w:val="00C42886"/>
    <w:rsid w:val="00C42CB1"/>
    <w:rsid w:val="00C438C6"/>
    <w:rsid w:val="00C4418D"/>
    <w:rsid w:val="00C44671"/>
    <w:rsid w:val="00C44BEC"/>
    <w:rsid w:val="00C44D86"/>
    <w:rsid w:val="00C45405"/>
    <w:rsid w:val="00C45C3A"/>
    <w:rsid w:val="00C45FD0"/>
    <w:rsid w:val="00C461F6"/>
    <w:rsid w:val="00C4626B"/>
    <w:rsid w:val="00C4650B"/>
    <w:rsid w:val="00C46BA1"/>
    <w:rsid w:val="00C46C92"/>
    <w:rsid w:val="00C47BFC"/>
    <w:rsid w:val="00C47E32"/>
    <w:rsid w:val="00C500A4"/>
    <w:rsid w:val="00C50A91"/>
    <w:rsid w:val="00C51119"/>
    <w:rsid w:val="00C51159"/>
    <w:rsid w:val="00C512F8"/>
    <w:rsid w:val="00C5187D"/>
    <w:rsid w:val="00C51FEE"/>
    <w:rsid w:val="00C524FA"/>
    <w:rsid w:val="00C53AB3"/>
    <w:rsid w:val="00C53E8F"/>
    <w:rsid w:val="00C54968"/>
    <w:rsid w:val="00C54B5C"/>
    <w:rsid w:val="00C54DF6"/>
    <w:rsid w:val="00C54EEC"/>
    <w:rsid w:val="00C554D5"/>
    <w:rsid w:val="00C559C4"/>
    <w:rsid w:val="00C563CF"/>
    <w:rsid w:val="00C566CD"/>
    <w:rsid w:val="00C56E99"/>
    <w:rsid w:val="00C57553"/>
    <w:rsid w:val="00C57D30"/>
    <w:rsid w:val="00C60BA4"/>
    <w:rsid w:val="00C60F72"/>
    <w:rsid w:val="00C62C9D"/>
    <w:rsid w:val="00C6313F"/>
    <w:rsid w:val="00C6316F"/>
    <w:rsid w:val="00C63250"/>
    <w:rsid w:val="00C632F7"/>
    <w:rsid w:val="00C636F4"/>
    <w:rsid w:val="00C639F8"/>
    <w:rsid w:val="00C63BDB"/>
    <w:rsid w:val="00C64553"/>
    <w:rsid w:val="00C64AF1"/>
    <w:rsid w:val="00C64B7C"/>
    <w:rsid w:val="00C64D35"/>
    <w:rsid w:val="00C64EBF"/>
    <w:rsid w:val="00C65F65"/>
    <w:rsid w:val="00C663CA"/>
    <w:rsid w:val="00C66583"/>
    <w:rsid w:val="00C66760"/>
    <w:rsid w:val="00C66BB1"/>
    <w:rsid w:val="00C66BF7"/>
    <w:rsid w:val="00C67A89"/>
    <w:rsid w:val="00C67FE0"/>
    <w:rsid w:val="00C702C8"/>
    <w:rsid w:val="00C72116"/>
    <w:rsid w:val="00C727D8"/>
    <w:rsid w:val="00C72B7B"/>
    <w:rsid w:val="00C731DB"/>
    <w:rsid w:val="00C73425"/>
    <w:rsid w:val="00C73612"/>
    <w:rsid w:val="00C736CD"/>
    <w:rsid w:val="00C739F7"/>
    <w:rsid w:val="00C73CBF"/>
    <w:rsid w:val="00C744DA"/>
    <w:rsid w:val="00C7463B"/>
    <w:rsid w:val="00C74A03"/>
    <w:rsid w:val="00C74AC3"/>
    <w:rsid w:val="00C754DD"/>
    <w:rsid w:val="00C7558E"/>
    <w:rsid w:val="00C756BB"/>
    <w:rsid w:val="00C75917"/>
    <w:rsid w:val="00C75CE0"/>
    <w:rsid w:val="00C75D64"/>
    <w:rsid w:val="00C75E13"/>
    <w:rsid w:val="00C7624D"/>
    <w:rsid w:val="00C76870"/>
    <w:rsid w:val="00C7702E"/>
    <w:rsid w:val="00C77A41"/>
    <w:rsid w:val="00C77D8B"/>
    <w:rsid w:val="00C80B8B"/>
    <w:rsid w:val="00C80BD4"/>
    <w:rsid w:val="00C810EA"/>
    <w:rsid w:val="00C81116"/>
    <w:rsid w:val="00C811EA"/>
    <w:rsid w:val="00C817A7"/>
    <w:rsid w:val="00C81A04"/>
    <w:rsid w:val="00C82ABC"/>
    <w:rsid w:val="00C82EDE"/>
    <w:rsid w:val="00C8348A"/>
    <w:rsid w:val="00C83604"/>
    <w:rsid w:val="00C83D3A"/>
    <w:rsid w:val="00C83F5F"/>
    <w:rsid w:val="00C85373"/>
    <w:rsid w:val="00C85515"/>
    <w:rsid w:val="00C85653"/>
    <w:rsid w:val="00C85A3A"/>
    <w:rsid w:val="00C85ABD"/>
    <w:rsid w:val="00C85AD7"/>
    <w:rsid w:val="00C86184"/>
    <w:rsid w:val="00C86775"/>
    <w:rsid w:val="00C86B20"/>
    <w:rsid w:val="00C86B36"/>
    <w:rsid w:val="00C86EDB"/>
    <w:rsid w:val="00C870D2"/>
    <w:rsid w:val="00C87730"/>
    <w:rsid w:val="00C87B8D"/>
    <w:rsid w:val="00C87FA3"/>
    <w:rsid w:val="00C903CE"/>
    <w:rsid w:val="00C903D0"/>
    <w:rsid w:val="00C90514"/>
    <w:rsid w:val="00C90698"/>
    <w:rsid w:val="00C91124"/>
    <w:rsid w:val="00C91611"/>
    <w:rsid w:val="00C918C5"/>
    <w:rsid w:val="00C91E52"/>
    <w:rsid w:val="00C92092"/>
    <w:rsid w:val="00C922D4"/>
    <w:rsid w:val="00C9237D"/>
    <w:rsid w:val="00C9286E"/>
    <w:rsid w:val="00C92F56"/>
    <w:rsid w:val="00C93380"/>
    <w:rsid w:val="00C93398"/>
    <w:rsid w:val="00C93550"/>
    <w:rsid w:val="00C936FA"/>
    <w:rsid w:val="00C938F3"/>
    <w:rsid w:val="00C93E5B"/>
    <w:rsid w:val="00C93F4A"/>
    <w:rsid w:val="00C9485D"/>
    <w:rsid w:val="00C94B27"/>
    <w:rsid w:val="00C94FA8"/>
    <w:rsid w:val="00C953EA"/>
    <w:rsid w:val="00C95AE7"/>
    <w:rsid w:val="00C95B5C"/>
    <w:rsid w:val="00C9622E"/>
    <w:rsid w:val="00C9678D"/>
    <w:rsid w:val="00C969A8"/>
    <w:rsid w:val="00C9739C"/>
    <w:rsid w:val="00C974AE"/>
    <w:rsid w:val="00C97C90"/>
    <w:rsid w:val="00CA0001"/>
    <w:rsid w:val="00CA0446"/>
    <w:rsid w:val="00CA0537"/>
    <w:rsid w:val="00CA0B8A"/>
    <w:rsid w:val="00CA1860"/>
    <w:rsid w:val="00CA1FC4"/>
    <w:rsid w:val="00CA23A9"/>
    <w:rsid w:val="00CA2E23"/>
    <w:rsid w:val="00CA2E76"/>
    <w:rsid w:val="00CA2F7A"/>
    <w:rsid w:val="00CA2FF1"/>
    <w:rsid w:val="00CA2FF3"/>
    <w:rsid w:val="00CA31FD"/>
    <w:rsid w:val="00CA33DB"/>
    <w:rsid w:val="00CA36E6"/>
    <w:rsid w:val="00CA3E7E"/>
    <w:rsid w:val="00CA3F9E"/>
    <w:rsid w:val="00CA43DC"/>
    <w:rsid w:val="00CA46DE"/>
    <w:rsid w:val="00CA4EBE"/>
    <w:rsid w:val="00CA526E"/>
    <w:rsid w:val="00CA688F"/>
    <w:rsid w:val="00CA6BD6"/>
    <w:rsid w:val="00CA71A1"/>
    <w:rsid w:val="00CA75C6"/>
    <w:rsid w:val="00CA7B94"/>
    <w:rsid w:val="00CB0039"/>
    <w:rsid w:val="00CB0323"/>
    <w:rsid w:val="00CB04DC"/>
    <w:rsid w:val="00CB0DE0"/>
    <w:rsid w:val="00CB155D"/>
    <w:rsid w:val="00CB1694"/>
    <w:rsid w:val="00CB1C59"/>
    <w:rsid w:val="00CB1CAB"/>
    <w:rsid w:val="00CB1CEE"/>
    <w:rsid w:val="00CB1DDD"/>
    <w:rsid w:val="00CB283C"/>
    <w:rsid w:val="00CB28B4"/>
    <w:rsid w:val="00CB3254"/>
    <w:rsid w:val="00CB3354"/>
    <w:rsid w:val="00CB39E4"/>
    <w:rsid w:val="00CB3B7D"/>
    <w:rsid w:val="00CB3E05"/>
    <w:rsid w:val="00CB4259"/>
    <w:rsid w:val="00CB433B"/>
    <w:rsid w:val="00CB437C"/>
    <w:rsid w:val="00CB48AF"/>
    <w:rsid w:val="00CB4E51"/>
    <w:rsid w:val="00CB59B2"/>
    <w:rsid w:val="00CB5BC9"/>
    <w:rsid w:val="00CB6355"/>
    <w:rsid w:val="00CB6CA2"/>
    <w:rsid w:val="00CB6DA1"/>
    <w:rsid w:val="00CB75DD"/>
    <w:rsid w:val="00CB7B5C"/>
    <w:rsid w:val="00CB7E0C"/>
    <w:rsid w:val="00CB7E4B"/>
    <w:rsid w:val="00CC0438"/>
    <w:rsid w:val="00CC0880"/>
    <w:rsid w:val="00CC0B76"/>
    <w:rsid w:val="00CC0D35"/>
    <w:rsid w:val="00CC135A"/>
    <w:rsid w:val="00CC19A7"/>
    <w:rsid w:val="00CC1D45"/>
    <w:rsid w:val="00CC1E1D"/>
    <w:rsid w:val="00CC2041"/>
    <w:rsid w:val="00CC2460"/>
    <w:rsid w:val="00CC260E"/>
    <w:rsid w:val="00CC277D"/>
    <w:rsid w:val="00CC28C9"/>
    <w:rsid w:val="00CC29B9"/>
    <w:rsid w:val="00CC3E93"/>
    <w:rsid w:val="00CC4398"/>
    <w:rsid w:val="00CC4895"/>
    <w:rsid w:val="00CC4DEE"/>
    <w:rsid w:val="00CC4F88"/>
    <w:rsid w:val="00CC5074"/>
    <w:rsid w:val="00CC51D7"/>
    <w:rsid w:val="00CC5858"/>
    <w:rsid w:val="00CC5F03"/>
    <w:rsid w:val="00CC66C3"/>
    <w:rsid w:val="00CC74D2"/>
    <w:rsid w:val="00CC7524"/>
    <w:rsid w:val="00CC7B2F"/>
    <w:rsid w:val="00CC7D54"/>
    <w:rsid w:val="00CD04C7"/>
    <w:rsid w:val="00CD06CD"/>
    <w:rsid w:val="00CD1AE9"/>
    <w:rsid w:val="00CD1EAE"/>
    <w:rsid w:val="00CD2559"/>
    <w:rsid w:val="00CD26CC"/>
    <w:rsid w:val="00CD26E6"/>
    <w:rsid w:val="00CD2C6C"/>
    <w:rsid w:val="00CD3431"/>
    <w:rsid w:val="00CD370E"/>
    <w:rsid w:val="00CD3863"/>
    <w:rsid w:val="00CD39E0"/>
    <w:rsid w:val="00CD3D1F"/>
    <w:rsid w:val="00CD3F34"/>
    <w:rsid w:val="00CD4353"/>
    <w:rsid w:val="00CD4E2E"/>
    <w:rsid w:val="00CD504F"/>
    <w:rsid w:val="00CD5676"/>
    <w:rsid w:val="00CD5B1C"/>
    <w:rsid w:val="00CD5CE2"/>
    <w:rsid w:val="00CD6D17"/>
    <w:rsid w:val="00CD7656"/>
    <w:rsid w:val="00CD777C"/>
    <w:rsid w:val="00CD7959"/>
    <w:rsid w:val="00CE009A"/>
    <w:rsid w:val="00CE04C8"/>
    <w:rsid w:val="00CE103E"/>
    <w:rsid w:val="00CE1223"/>
    <w:rsid w:val="00CE17EC"/>
    <w:rsid w:val="00CE1F51"/>
    <w:rsid w:val="00CE29F7"/>
    <w:rsid w:val="00CE3288"/>
    <w:rsid w:val="00CE3308"/>
    <w:rsid w:val="00CE34A6"/>
    <w:rsid w:val="00CE41A2"/>
    <w:rsid w:val="00CE49ED"/>
    <w:rsid w:val="00CE4CCB"/>
    <w:rsid w:val="00CE533C"/>
    <w:rsid w:val="00CE64E4"/>
    <w:rsid w:val="00CE6844"/>
    <w:rsid w:val="00CE6B76"/>
    <w:rsid w:val="00CE6B7D"/>
    <w:rsid w:val="00CE716B"/>
    <w:rsid w:val="00CE77EF"/>
    <w:rsid w:val="00CE783A"/>
    <w:rsid w:val="00CE7A2A"/>
    <w:rsid w:val="00CE7FF8"/>
    <w:rsid w:val="00CF009B"/>
    <w:rsid w:val="00CF0D69"/>
    <w:rsid w:val="00CF0F16"/>
    <w:rsid w:val="00CF138E"/>
    <w:rsid w:val="00CF15E7"/>
    <w:rsid w:val="00CF1E0F"/>
    <w:rsid w:val="00CF1EC8"/>
    <w:rsid w:val="00CF26F2"/>
    <w:rsid w:val="00CF387A"/>
    <w:rsid w:val="00CF3FE0"/>
    <w:rsid w:val="00CF48ED"/>
    <w:rsid w:val="00CF4A77"/>
    <w:rsid w:val="00CF4D43"/>
    <w:rsid w:val="00CF52A7"/>
    <w:rsid w:val="00CF5346"/>
    <w:rsid w:val="00CF5409"/>
    <w:rsid w:val="00CF5725"/>
    <w:rsid w:val="00CF5CF5"/>
    <w:rsid w:val="00CF5FEB"/>
    <w:rsid w:val="00CF651D"/>
    <w:rsid w:val="00CF65EF"/>
    <w:rsid w:val="00CF69D2"/>
    <w:rsid w:val="00CF6A72"/>
    <w:rsid w:val="00CF6D6E"/>
    <w:rsid w:val="00CF724D"/>
    <w:rsid w:val="00CF77DA"/>
    <w:rsid w:val="00CF7B09"/>
    <w:rsid w:val="00CF7DDE"/>
    <w:rsid w:val="00D001FF"/>
    <w:rsid w:val="00D0094F"/>
    <w:rsid w:val="00D00AB3"/>
    <w:rsid w:val="00D0159C"/>
    <w:rsid w:val="00D01F30"/>
    <w:rsid w:val="00D02393"/>
    <w:rsid w:val="00D023ED"/>
    <w:rsid w:val="00D02F4C"/>
    <w:rsid w:val="00D030E4"/>
    <w:rsid w:val="00D03A26"/>
    <w:rsid w:val="00D03CD5"/>
    <w:rsid w:val="00D03FEC"/>
    <w:rsid w:val="00D043D3"/>
    <w:rsid w:val="00D0440E"/>
    <w:rsid w:val="00D04C14"/>
    <w:rsid w:val="00D04D68"/>
    <w:rsid w:val="00D04E56"/>
    <w:rsid w:val="00D05374"/>
    <w:rsid w:val="00D05CD0"/>
    <w:rsid w:val="00D05F45"/>
    <w:rsid w:val="00D069D7"/>
    <w:rsid w:val="00D06AB0"/>
    <w:rsid w:val="00D06F87"/>
    <w:rsid w:val="00D0708C"/>
    <w:rsid w:val="00D072D5"/>
    <w:rsid w:val="00D074B3"/>
    <w:rsid w:val="00D10332"/>
    <w:rsid w:val="00D10393"/>
    <w:rsid w:val="00D10463"/>
    <w:rsid w:val="00D10781"/>
    <w:rsid w:val="00D10838"/>
    <w:rsid w:val="00D1178E"/>
    <w:rsid w:val="00D117B5"/>
    <w:rsid w:val="00D118FC"/>
    <w:rsid w:val="00D120AA"/>
    <w:rsid w:val="00D123D6"/>
    <w:rsid w:val="00D125C0"/>
    <w:rsid w:val="00D12C4D"/>
    <w:rsid w:val="00D12EB4"/>
    <w:rsid w:val="00D12FFC"/>
    <w:rsid w:val="00D13379"/>
    <w:rsid w:val="00D13854"/>
    <w:rsid w:val="00D13B1E"/>
    <w:rsid w:val="00D14019"/>
    <w:rsid w:val="00D154BE"/>
    <w:rsid w:val="00D15EA1"/>
    <w:rsid w:val="00D16207"/>
    <w:rsid w:val="00D16590"/>
    <w:rsid w:val="00D16B0D"/>
    <w:rsid w:val="00D16D1D"/>
    <w:rsid w:val="00D16D50"/>
    <w:rsid w:val="00D173D3"/>
    <w:rsid w:val="00D1792D"/>
    <w:rsid w:val="00D179D7"/>
    <w:rsid w:val="00D2059A"/>
    <w:rsid w:val="00D20856"/>
    <w:rsid w:val="00D20A54"/>
    <w:rsid w:val="00D20DF4"/>
    <w:rsid w:val="00D2117B"/>
    <w:rsid w:val="00D213C9"/>
    <w:rsid w:val="00D22231"/>
    <w:rsid w:val="00D22513"/>
    <w:rsid w:val="00D2272A"/>
    <w:rsid w:val="00D22A8B"/>
    <w:rsid w:val="00D2329C"/>
    <w:rsid w:val="00D2381E"/>
    <w:rsid w:val="00D2384E"/>
    <w:rsid w:val="00D23A04"/>
    <w:rsid w:val="00D23ED7"/>
    <w:rsid w:val="00D247F4"/>
    <w:rsid w:val="00D253D4"/>
    <w:rsid w:val="00D25422"/>
    <w:rsid w:val="00D254AC"/>
    <w:rsid w:val="00D25B7B"/>
    <w:rsid w:val="00D2615C"/>
    <w:rsid w:val="00D26BFE"/>
    <w:rsid w:val="00D3040E"/>
    <w:rsid w:val="00D30C76"/>
    <w:rsid w:val="00D313B3"/>
    <w:rsid w:val="00D31B4E"/>
    <w:rsid w:val="00D31D35"/>
    <w:rsid w:val="00D31E12"/>
    <w:rsid w:val="00D32113"/>
    <w:rsid w:val="00D32302"/>
    <w:rsid w:val="00D326A4"/>
    <w:rsid w:val="00D335C4"/>
    <w:rsid w:val="00D33A57"/>
    <w:rsid w:val="00D33AB2"/>
    <w:rsid w:val="00D346D2"/>
    <w:rsid w:val="00D34832"/>
    <w:rsid w:val="00D34CD6"/>
    <w:rsid w:val="00D3500B"/>
    <w:rsid w:val="00D354AB"/>
    <w:rsid w:val="00D360DC"/>
    <w:rsid w:val="00D3660C"/>
    <w:rsid w:val="00D36C46"/>
    <w:rsid w:val="00D36FA1"/>
    <w:rsid w:val="00D37498"/>
    <w:rsid w:val="00D37900"/>
    <w:rsid w:val="00D379DB"/>
    <w:rsid w:val="00D37D6B"/>
    <w:rsid w:val="00D4051B"/>
    <w:rsid w:val="00D40CB5"/>
    <w:rsid w:val="00D40D45"/>
    <w:rsid w:val="00D40F3C"/>
    <w:rsid w:val="00D40F64"/>
    <w:rsid w:val="00D4119E"/>
    <w:rsid w:val="00D4123F"/>
    <w:rsid w:val="00D41560"/>
    <w:rsid w:val="00D41905"/>
    <w:rsid w:val="00D41B16"/>
    <w:rsid w:val="00D41D17"/>
    <w:rsid w:val="00D41D59"/>
    <w:rsid w:val="00D42520"/>
    <w:rsid w:val="00D443C0"/>
    <w:rsid w:val="00D44A4B"/>
    <w:rsid w:val="00D44D59"/>
    <w:rsid w:val="00D44EC3"/>
    <w:rsid w:val="00D450E9"/>
    <w:rsid w:val="00D45537"/>
    <w:rsid w:val="00D45A15"/>
    <w:rsid w:val="00D4608E"/>
    <w:rsid w:val="00D4617E"/>
    <w:rsid w:val="00D462E5"/>
    <w:rsid w:val="00D46334"/>
    <w:rsid w:val="00D468CC"/>
    <w:rsid w:val="00D46FE1"/>
    <w:rsid w:val="00D473AA"/>
    <w:rsid w:val="00D4751C"/>
    <w:rsid w:val="00D4762D"/>
    <w:rsid w:val="00D47ABC"/>
    <w:rsid w:val="00D500BB"/>
    <w:rsid w:val="00D50332"/>
    <w:rsid w:val="00D503FE"/>
    <w:rsid w:val="00D50AF2"/>
    <w:rsid w:val="00D50CEA"/>
    <w:rsid w:val="00D50DAE"/>
    <w:rsid w:val="00D513FA"/>
    <w:rsid w:val="00D51639"/>
    <w:rsid w:val="00D519B2"/>
    <w:rsid w:val="00D51A79"/>
    <w:rsid w:val="00D52D96"/>
    <w:rsid w:val="00D5382F"/>
    <w:rsid w:val="00D5383F"/>
    <w:rsid w:val="00D53AE9"/>
    <w:rsid w:val="00D53F78"/>
    <w:rsid w:val="00D5442D"/>
    <w:rsid w:val="00D545DA"/>
    <w:rsid w:val="00D54781"/>
    <w:rsid w:val="00D5497A"/>
    <w:rsid w:val="00D551FA"/>
    <w:rsid w:val="00D553BA"/>
    <w:rsid w:val="00D559C1"/>
    <w:rsid w:val="00D560A8"/>
    <w:rsid w:val="00D561C6"/>
    <w:rsid w:val="00D570ED"/>
    <w:rsid w:val="00D57106"/>
    <w:rsid w:val="00D57BF7"/>
    <w:rsid w:val="00D57D64"/>
    <w:rsid w:val="00D600F4"/>
    <w:rsid w:val="00D605B9"/>
    <w:rsid w:val="00D6091F"/>
    <w:rsid w:val="00D60ACA"/>
    <w:rsid w:val="00D60BCA"/>
    <w:rsid w:val="00D61580"/>
    <w:rsid w:val="00D61A28"/>
    <w:rsid w:val="00D61A66"/>
    <w:rsid w:val="00D6213A"/>
    <w:rsid w:val="00D624A2"/>
    <w:rsid w:val="00D62B96"/>
    <w:rsid w:val="00D62E56"/>
    <w:rsid w:val="00D62EE9"/>
    <w:rsid w:val="00D6381D"/>
    <w:rsid w:val="00D64B43"/>
    <w:rsid w:val="00D64F76"/>
    <w:rsid w:val="00D65213"/>
    <w:rsid w:val="00D65321"/>
    <w:rsid w:val="00D658C3"/>
    <w:rsid w:val="00D658C9"/>
    <w:rsid w:val="00D66105"/>
    <w:rsid w:val="00D6656B"/>
    <w:rsid w:val="00D66648"/>
    <w:rsid w:val="00D6691B"/>
    <w:rsid w:val="00D67142"/>
    <w:rsid w:val="00D673FC"/>
    <w:rsid w:val="00D70673"/>
    <w:rsid w:val="00D70A68"/>
    <w:rsid w:val="00D71F51"/>
    <w:rsid w:val="00D7211E"/>
    <w:rsid w:val="00D72271"/>
    <w:rsid w:val="00D727DE"/>
    <w:rsid w:val="00D72ACB"/>
    <w:rsid w:val="00D72B0E"/>
    <w:rsid w:val="00D72F4B"/>
    <w:rsid w:val="00D73A61"/>
    <w:rsid w:val="00D73C26"/>
    <w:rsid w:val="00D73F61"/>
    <w:rsid w:val="00D74393"/>
    <w:rsid w:val="00D746A9"/>
    <w:rsid w:val="00D746B1"/>
    <w:rsid w:val="00D74AEB"/>
    <w:rsid w:val="00D74EBD"/>
    <w:rsid w:val="00D75B70"/>
    <w:rsid w:val="00D76214"/>
    <w:rsid w:val="00D774DE"/>
    <w:rsid w:val="00D778A8"/>
    <w:rsid w:val="00D8030F"/>
    <w:rsid w:val="00D8091C"/>
    <w:rsid w:val="00D80A91"/>
    <w:rsid w:val="00D80E27"/>
    <w:rsid w:val="00D8113D"/>
    <w:rsid w:val="00D81281"/>
    <w:rsid w:val="00D8138F"/>
    <w:rsid w:val="00D8143A"/>
    <w:rsid w:val="00D81CA7"/>
    <w:rsid w:val="00D8208B"/>
    <w:rsid w:val="00D823BB"/>
    <w:rsid w:val="00D82682"/>
    <w:rsid w:val="00D82F28"/>
    <w:rsid w:val="00D82FE5"/>
    <w:rsid w:val="00D832AE"/>
    <w:rsid w:val="00D83326"/>
    <w:rsid w:val="00D83664"/>
    <w:rsid w:val="00D8379B"/>
    <w:rsid w:val="00D84822"/>
    <w:rsid w:val="00D84C38"/>
    <w:rsid w:val="00D8501E"/>
    <w:rsid w:val="00D85653"/>
    <w:rsid w:val="00D85794"/>
    <w:rsid w:val="00D85975"/>
    <w:rsid w:val="00D859EF"/>
    <w:rsid w:val="00D85AF0"/>
    <w:rsid w:val="00D860A6"/>
    <w:rsid w:val="00D862BA"/>
    <w:rsid w:val="00D86D4E"/>
    <w:rsid w:val="00D86D74"/>
    <w:rsid w:val="00D86F27"/>
    <w:rsid w:val="00D8702B"/>
    <w:rsid w:val="00D8730C"/>
    <w:rsid w:val="00D87448"/>
    <w:rsid w:val="00D87568"/>
    <w:rsid w:val="00D87CA9"/>
    <w:rsid w:val="00D90383"/>
    <w:rsid w:val="00D90AA9"/>
    <w:rsid w:val="00D90C69"/>
    <w:rsid w:val="00D915D5"/>
    <w:rsid w:val="00D918AF"/>
    <w:rsid w:val="00D91C15"/>
    <w:rsid w:val="00D91E36"/>
    <w:rsid w:val="00D91F86"/>
    <w:rsid w:val="00D92686"/>
    <w:rsid w:val="00D92770"/>
    <w:rsid w:val="00D928A9"/>
    <w:rsid w:val="00D93206"/>
    <w:rsid w:val="00D9337D"/>
    <w:rsid w:val="00D93CD1"/>
    <w:rsid w:val="00D94819"/>
    <w:rsid w:val="00D94BDF"/>
    <w:rsid w:val="00D94C61"/>
    <w:rsid w:val="00D95A8A"/>
    <w:rsid w:val="00D95B62"/>
    <w:rsid w:val="00D960C7"/>
    <w:rsid w:val="00D963B3"/>
    <w:rsid w:val="00D966D2"/>
    <w:rsid w:val="00D96C72"/>
    <w:rsid w:val="00D97036"/>
    <w:rsid w:val="00D9720D"/>
    <w:rsid w:val="00D973C1"/>
    <w:rsid w:val="00D975EC"/>
    <w:rsid w:val="00D97E68"/>
    <w:rsid w:val="00DA005B"/>
    <w:rsid w:val="00DA07F9"/>
    <w:rsid w:val="00DA0E5A"/>
    <w:rsid w:val="00DA1046"/>
    <w:rsid w:val="00DA1244"/>
    <w:rsid w:val="00DA12E2"/>
    <w:rsid w:val="00DA136F"/>
    <w:rsid w:val="00DA1602"/>
    <w:rsid w:val="00DA17A4"/>
    <w:rsid w:val="00DA1997"/>
    <w:rsid w:val="00DA1C65"/>
    <w:rsid w:val="00DA220F"/>
    <w:rsid w:val="00DA26A5"/>
    <w:rsid w:val="00DA353B"/>
    <w:rsid w:val="00DA36B2"/>
    <w:rsid w:val="00DA40D2"/>
    <w:rsid w:val="00DA4441"/>
    <w:rsid w:val="00DA44DF"/>
    <w:rsid w:val="00DA47E7"/>
    <w:rsid w:val="00DA4C1A"/>
    <w:rsid w:val="00DA54AF"/>
    <w:rsid w:val="00DA5F7B"/>
    <w:rsid w:val="00DA60BE"/>
    <w:rsid w:val="00DA60DC"/>
    <w:rsid w:val="00DA6955"/>
    <w:rsid w:val="00DA6B5F"/>
    <w:rsid w:val="00DA6BCE"/>
    <w:rsid w:val="00DA7950"/>
    <w:rsid w:val="00DA797D"/>
    <w:rsid w:val="00DA7C3D"/>
    <w:rsid w:val="00DA7F79"/>
    <w:rsid w:val="00DA7F87"/>
    <w:rsid w:val="00DB0499"/>
    <w:rsid w:val="00DB0826"/>
    <w:rsid w:val="00DB0844"/>
    <w:rsid w:val="00DB0956"/>
    <w:rsid w:val="00DB0C51"/>
    <w:rsid w:val="00DB0DCA"/>
    <w:rsid w:val="00DB0EB6"/>
    <w:rsid w:val="00DB0EBD"/>
    <w:rsid w:val="00DB16BD"/>
    <w:rsid w:val="00DB1C79"/>
    <w:rsid w:val="00DB25D4"/>
    <w:rsid w:val="00DB272B"/>
    <w:rsid w:val="00DB2760"/>
    <w:rsid w:val="00DB2903"/>
    <w:rsid w:val="00DB2B9A"/>
    <w:rsid w:val="00DB2DA4"/>
    <w:rsid w:val="00DB2F99"/>
    <w:rsid w:val="00DB2FF1"/>
    <w:rsid w:val="00DB397A"/>
    <w:rsid w:val="00DB3CAF"/>
    <w:rsid w:val="00DB4072"/>
    <w:rsid w:val="00DB430D"/>
    <w:rsid w:val="00DB437E"/>
    <w:rsid w:val="00DB4F32"/>
    <w:rsid w:val="00DB528F"/>
    <w:rsid w:val="00DB57ED"/>
    <w:rsid w:val="00DB5810"/>
    <w:rsid w:val="00DB5890"/>
    <w:rsid w:val="00DB590B"/>
    <w:rsid w:val="00DB59FA"/>
    <w:rsid w:val="00DB5C39"/>
    <w:rsid w:val="00DB602D"/>
    <w:rsid w:val="00DB60C0"/>
    <w:rsid w:val="00DB618F"/>
    <w:rsid w:val="00DB632F"/>
    <w:rsid w:val="00DB65BB"/>
    <w:rsid w:val="00DB73E9"/>
    <w:rsid w:val="00DB75AD"/>
    <w:rsid w:val="00DB7654"/>
    <w:rsid w:val="00DB7B45"/>
    <w:rsid w:val="00DC002A"/>
    <w:rsid w:val="00DC2210"/>
    <w:rsid w:val="00DC2377"/>
    <w:rsid w:val="00DC242E"/>
    <w:rsid w:val="00DC24E8"/>
    <w:rsid w:val="00DC2607"/>
    <w:rsid w:val="00DC2BBB"/>
    <w:rsid w:val="00DC2DD9"/>
    <w:rsid w:val="00DC2F1B"/>
    <w:rsid w:val="00DC2F4E"/>
    <w:rsid w:val="00DC2FAF"/>
    <w:rsid w:val="00DC34EC"/>
    <w:rsid w:val="00DC41A5"/>
    <w:rsid w:val="00DC4353"/>
    <w:rsid w:val="00DC4AC3"/>
    <w:rsid w:val="00DC4DE2"/>
    <w:rsid w:val="00DC5161"/>
    <w:rsid w:val="00DC54FF"/>
    <w:rsid w:val="00DC5B84"/>
    <w:rsid w:val="00DC5C8D"/>
    <w:rsid w:val="00DC6387"/>
    <w:rsid w:val="00DC6B0B"/>
    <w:rsid w:val="00DC6CEF"/>
    <w:rsid w:val="00DD012E"/>
    <w:rsid w:val="00DD07A8"/>
    <w:rsid w:val="00DD0AB0"/>
    <w:rsid w:val="00DD0C2F"/>
    <w:rsid w:val="00DD0EB4"/>
    <w:rsid w:val="00DD0F39"/>
    <w:rsid w:val="00DD18BA"/>
    <w:rsid w:val="00DD1B7C"/>
    <w:rsid w:val="00DD1C11"/>
    <w:rsid w:val="00DD2E22"/>
    <w:rsid w:val="00DD4363"/>
    <w:rsid w:val="00DD46EB"/>
    <w:rsid w:val="00DD4DAF"/>
    <w:rsid w:val="00DD4FCC"/>
    <w:rsid w:val="00DD52E7"/>
    <w:rsid w:val="00DD5BF2"/>
    <w:rsid w:val="00DD5E2E"/>
    <w:rsid w:val="00DD60CF"/>
    <w:rsid w:val="00DD65A6"/>
    <w:rsid w:val="00DD6BBA"/>
    <w:rsid w:val="00DD7279"/>
    <w:rsid w:val="00DD7364"/>
    <w:rsid w:val="00DD759D"/>
    <w:rsid w:val="00DD7E17"/>
    <w:rsid w:val="00DE05B4"/>
    <w:rsid w:val="00DE0900"/>
    <w:rsid w:val="00DE09C9"/>
    <w:rsid w:val="00DE17D2"/>
    <w:rsid w:val="00DE1CDD"/>
    <w:rsid w:val="00DE1DF5"/>
    <w:rsid w:val="00DE20E4"/>
    <w:rsid w:val="00DE29CC"/>
    <w:rsid w:val="00DE2B46"/>
    <w:rsid w:val="00DE2E59"/>
    <w:rsid w:val="00DE314D"/>
    <w:rsid w:val="00DE33A4"/>
    <w:rsid w:val="00DE3881"/>
    <w:rsid w:val="00DE41E4"/>
    <w:rsid w:val="00DE4390"/>
    <w:rsid w:val="00DE488D"/>
    <w:rsid w:val="00DE4AD0"/>
    <w:rsid w:val="00DE5666"/>
    <w:rsid w:val="00DE5A0F"/>
    <w:rsid w:val="00DE6822"/>
    <w:rsid w:val="00DE68DB"/>
    <w:rsid w:val="00DE73D1"/>
    <w:rsid w:val="00DE7C60"/>
    <w:rsid w:val="00DE7CC7"/>
    <w:rsid w:val="00DF0165"/>
    <w:rsid w:val="00DF0589"/>
    <w:rsid w:val="00DF0B52"/>
    <w:rsid w:val="00DF14DE"/>
    <w:rsid w:val="00DF1879"/>
    <w:rsid w:val="00DF1BC0"/>
    <w:rsid w:val="00DF250E"/>
    <w:rsid w:val="00DF25D9"/>
    <w:rsid w:val="00DF2671"/>
    <w:rsid w:val="00DF2755"/>
    <w:rsid w:val="00DF2C8E"/>
    <w:rsid w:val="00DF2DA5"/>
    <w:rsid w:val="00DF316F"/>
    <w:rsid w:val="00DF32C8"/>
    <w:rsid w:val="00DF337C"/>
    <w:rsid w:val="00DF3384"/>
    <w:rsid w:val="00DF3389"/>
    <w:rsid w:val="00DF38C4"/>
    <w:rsid w:val="00DF39A2"/>
    <w:rsid w:val="00DF3F30"/>
    <w:rsid w:val="00DF3F75"/>
    <w:rsid w:val="00DF400A"/>
    <w:rsid w:val="00DF415D"/>
    <w:rsid w:val="00DF4C42"/>
    <w:rsid w:val="00DF4D19"/>
    <w:rsid w:val="00DF4D80"/>
    <w:rsid w:val="00DF5618"/>
    <w:rsid w:val="00DF5BE2"/>
    <w:rsid w:val="00DF5C44"/>
    <w:rsid w:val="00DF6081"/>
    <w:rsid w:val="00DF60B6"/>
    <w:rsid w:val="00DF6197"/>
    <w:rsid w:val="00DF6A42"/>
    <w:rsid w:val="00DF6B33"/>
    <w:rsid w:val="00DF6B8E"/>
    <w:rsid w:val="00DF6D28"/>
    <w:rsid w:val="00DF6EFB"/>
    <w:rsid w:val="00DF75DA"/>
    <w:rsid w:val="00DF7F90"/>
    <w:rsid w:val="00E001B4"/>
    <w:rsid w:val="00E007E6"/>
    <w:rsid w:val="00E00A4F"/>
    <w:rsid w:val="00E0187D"/>
    <w:rsid w:val="00E02040"/>
    <w:rsid w:val="00E02237"/>
    <w:rsid w:val="00E0225D"/>
    <w:rsid w:val="00E03310"/>
    <w:rsid w:val="00E04C7C"/>
    <w:rsid w:val="00E04CC0"/>
    <w:rsid w:val="00E05197"/>
    <w:rsid w:val="00E0564B"/>
    <w:rsid w:val="00E05C87"/>
    <w:rsid w:val="00E064FE"/>
    <w:rsid w:val="00E06A44"/>
    <w:rsid w:val="00E07CFE"/>
    <w:rsid w:val="00E07ECD"/>
    <w:rsid w:val="00E10087"/>
    <w:rsid w:val="00E10506"/>
    <w:rsid w:val="00E10628"/>
    <w:rsid w:val="00E109BD"/>
    <w:rsid w:val="00E10FBA"/>
    <w:rsid w:val="00E11BAF"/>
    <w:rsid w:val="00E11D4A"/>
    <w:rsid w:val="00E12AFB"/>
    <w:rsid w:val="00E137F4"/>
    <w:rsid w:val="00E13F49"/>
    <w:rsid w:val="00E142B8"/>
    <w:rsid w:val="00E148C6"/>
    <w:rsid w:val="00E14CE1"/>
    <w:rsid w:val="00E15D70"/>
    <w:rsid w:val="00E1602D"/>
    <w:rsid w:val="00E16620"/>
    <w:rsid w:val="00E16B86"/>
    <w:rsid w:val="00E16D74"/>
    <w:rsid w:val="00E16FAF"/>
    <w:rsid w:val="00E17585"/>
    <w:rsid w:val="00E1780F"/>
    <w:rsid w:val="00E17E9A"/>
    <w:rsid w:val="00E20B69"/>
    <w:rsid w:val="00E21192"/>
    <w:rsid w:val="00E21A5B"/>
    <w:rsid w:val="00E21E9C"/>
    <w:rsid w:val="00E21F6A"/>
    <w:rsid w:val="00E22D39"/>
    <w:rsid w:val="00E22DE3"/>
    <w:rsid w:val="00E2314A"/>
    <w:rsid w:val="00E23539"/>
    <w:rsid w:val="00E2394A"/>
    <w:rsid w:val="00E23A29"/>
    <w:rsid w:val="00E23E34"/>
    <w:rsid w:val="00E23E9E"/>
    <w:rsid w:val="00E241D5"/>
    <w:rsid w:val="00E2469B"/>
    <w:rsid w:val="00E25082"/>
    <w:rsid w:val="00E251FB"/>
    <w:rsid w:val="00E255F6"/>
    <w:rsid w:val="00E25F17"/>
    <w:rsid w:val="00E26045"/>
    <w:rsid w:val="00E2607A"/>
    <w:rsid w:val="00E26987"/>
    <w:rsid w:val="00E26E13"/>
    <w:rsid w:val="00E30406"/>
    <w:rsid w:val="00E31091"/>
    <w:rsid w:val="00E31382"/>
    <w:rsid w:val="00E31525"/>
    <w:rsid w:val="00E31708"/>
    <w:rsid w:val="00E318B1"/>
    <w:rsid w:val="00E31B47"/>
    <w:rsid w:val="00E3264C"/>
    <w:rsid w:val="00E32C0B"/>
    <w:rsid w:val="00E32C4C"/>
    <w:rsid w:val="00E338F1"/>
    <w:rsid w:val="00E339D2"/>
    <w:rsid w:val="00E33EA1"/>
    <w:rsid w:val="00E34B7D"/>
    <w:rsid w:val="00E35307"/>
    <w:rsid w:val="00E356F5"/>
    <w:rsid w:val="00E35C74"/>
    <w:rsid w:val="00E36224"/>
    <w:rsid w:val="00E36313"/>
    <w:rsid w:val="00E364A0"/>
    <w:rsid w:val="00E3676A"/>
    <w:rsid w:val="00E36E58"/>
    <w:rsid w:val="00E370FA"/>
    <w:rsid w:val="00E376CA"/>
    <w:rsid w:val="00E402A6"/>
    <w:rsid w:val="00E40330"/>
    <w:rsid w:val="00E414CA"/>
    <w:rsid w:val="00E4179B"/>
    <w:rsid w:val="00E417CC"/>
    <w:rsid w:val="00E41AED"/>
    <w:rsid w:val="00E42911"/>
    <w:rsid w:val="00E43476"/>
    <w:rsid w:val="00E43540"/>
    <w:rsid w:val="00E435D4"/>
    <w:rsid w:val="00E43861"/>
    <w:rsid w:val="00E443B0"/>
    <w:rsid w:val="00E44778"/>
    <w:rsid w:val="00E449D2"/>
    <w:rsid w:val="00E44EAF"/>
    <w:rsid w:val="00E45406"/>
    <w:rsid w:val="00E45B7F"/>
    <w:rsid w:val="00E4636E"/>
    <w:rsid w:val="00E4677F"/>
    <w:rsid w:val="00E471FB"/>
    <w:rsid w:val="00E47349"/>
    <w:rsid w:val="00E478EC"/>
    <w:rsid w:val="00E500B1"/>
    <w:rsid w:val="00E50C57"/>
    <w:rsid w:val="00E50D17"/>
    <w:rsid w:val="00E50D98"/>
    <w:rsid w:val="00E50DA4"/>
    <w:rsid w:val="00E516AB"/>
    <w:rsid w:val="00E516B0"/>
    <w:rsid w:val="00E51A58"/>
    <w:rsid w:val="00E5282D"/>
    <w:rsid w:val="00E52914"/>
    <w:rsid w:val="00E52C00"/>
    <w:rsid w:val="00E52FE3"/>
    <w:rsid w:val="00E5321A"/>
    <w:rsid w:val="00E536A7"/>
    <w:rsid w:val="00E53986"/>
    <w:rsid w:val="00E53AD5"/>
    <w:rsid w:val="00E53DDB"/>
    <w:rsid w:val="00E548BB"/>
    <w:rsid w:val="00E54ADD"/>
    <w:rsid w:val="00E54E97"/>
    <w:rsid w:val="00E54FDC"/>
    <w:rsid w:val="00E5717C"/>
    <w:rsid w:val="00E57394"/>
    <w:rsid w:val="00E57458"/>
    <w:rsid w:val="00E57AA7"/>
    <w:rsid w:val="00E57CE7"/>
    <w:rsid w:val="00E6012B"/>
    <w:rsid w:val="00E6023F"/>
    <w:rsid w:val="00E6059A"/>
    <w:rsid w:val="00E609D6"/>
    <w:rsid w:val="00E61110"/>
    <w:rsid w:val="00E61255"/>
    <w:rsid w:val="00E613F6"/>
    <w:rsid w:val="00E6176C"/>
    <w:rsid w:val="00E618C4"/>
    <w:rsid w:val="00E61D1C"/>
    <w:rsid w:val="00E61DFC"/>
    <w:rsid w:val="00E62249"/>
    <w:rsid w:val="00E6248F"/>
    <w:rsid w:val="00E62528"/>
    <w:rsid w:val="00E62542"/>
    <w:rsid w:val="00E625D4"/>
    <w:rsid w:val="00E628A9"/>
    <w:rsid w:val="00E62AAF"/>
    <w:rsid w:val="00E62B94"/>
    <w:rsid w:val="00E64173"/>
    <w:rsid w:val="00E646E4"/>
    <w:rsid w:val="00E64888"/>
    <w:rsid w:val="00E65050"/>
    <w:rsid w:val="00E65DC4"/>
    <w:rsid w:val="00E66A72"/>
    <w:rsid w:val="00E66BF8"/>
    <w:rsid w:val="00E67799"/>
    <w:rsid w:val="00E70D9D"/>
    <w:rsid w:val="00E713A1"/>
    <w:rsid w:val="00E718BD"/>
    <w:rsid w:val="00E71CE0"/>
    <w:rsid w:val="00E71F5D"/>
    <w:rsid w:val="00E72047"/>
    <w:rsid w:val="00E722AA"/>
    <w:rsid w:val="00E72E3E"/>
    <w:rsid w:val="00E7301F"/>
    <w:rsid w:val="00E7304A"/>
    <w:rsid w:val="00E73151"/>
    <w:rsid w:val="00E73311"/>
    <w:rsid w:val="00E73DAB"/>
    <w:rsid w:val="00E74823"/>
    <w:rsid w:val="00E758C6"/>
    <w:rsid w:val="00E75A80"/>
    <w:rsid w:val="00E75D57"/>
    <w:rsid w:val="00E76343"/>
    <w:rsid w:val="00E7673C"/>
    <w:rsid w:val="00E76A91"/>
    <w:rsid w:val="00E76BD9"/>
    <w:rsid w:val="00E7701B"/>
    <w:rsid w:val="00E770AA"/>
    <w:rsid w:val="00E774E4"/>
    <w:rsid w:val="00E77833"/>
    <w:rsid w:val="00E800B7"/>
    <w:rsid w:val="00E80A33"/>
    <w:rsid w:val="00E80CE7"/>
    <w:rsid w:val="00E80EF9"/>
    <w:rsid w:val="00E80F9B"/>
    <w:rsid w:val="00E81049"/>
    <w:rsid w:val="00E81176"/>
    <w:rsid w:val="00E811C8"/>
    <w:rsid w:val="00E827BA"/>
    <w:rsid w:val="00E82F8E"/>
    <w:rsid w:val="00E830D7"/>
    <w:rsid w:val="00E83298"/>
    <w:rsid w:val="00E832AC"/>
    <w:rsid w:val="00E83592"/>
    <w:rsid w:val="00E83C81"/>
    <w:rsid w:val="00E83CDE"/>
    <w:rsid w:val="00E849AE"/>
    <w:rsid w:val="00E85150"/>
    <w:rsid w:val="00E8577C"/>
    <w:rsid w:val="00E85BF1"/>
    <w:rsid w:val="00E85CE7"/>
    <w:rsid w:val="00E85EA1"/>
    <w:rsid w:val="00E85F5E"/>
    <w:rsid w:val="00E8636E"/>
    <w:rsid w:val="00E8678C"/>
    <w:rsid w:val="00E86AF2"/>
    <w:rsid w:val="00E871FB"/>
    <w:rsid w:val="00E878D2"/>
    <w:rsid w:val="00E87FA4"/>
    <w:rsid w:val="00E90AF3"/>
    <w:rsid w:val="00E90E86"/>
    <w:rsid w:val="00E91238"/>
    <w:rsid w:val="00E91270"/>
    <w:rsid w:val="00E91544"/>
    <w:rsid w:val="00E9188B"/>
    <w:rsid w:val="00E91ACB"/>
    <w:rsid w:val="00E91D56"/>
    <w:rsid w:val="00E91E77"/>
    <w:rsid w:val="00E92F87"/>
    <w:rsid w:val="00E933C2"/>
    <w:rsid w:val="00E93621"/>
    <w:rsid w:val="00E93CF9"/>
    <w:rsid w:val="00E941E4"/>
    <w:rsid w:val="00E943A3"/>
    <w:rsid w:val="00E946F1"/>
    <w:rsid w:val="00E94FBB"/>
    <w:rsid w:val="00E950AE"/>
    <w:rsid w:val="00E95920"/>
    <w:rsid w:val="00E963D3"/>
    <w:rsid w:val="00E96692"/>
    <w:rsid w:val="00E96BCC"/>
    <w:rsid w:val="00E96EE7"/>
    <w:rsid w:val="00E972BE"/>
    <w:rsid w:val="00E97452"/>
    <w:rsid w:val="00E97670"/>
    <w:rsid w:val="00E97FB4"/>
    <w:rsid w:val="00EA0881"/>
    <w:rsid w:val="00EA0F8C"/>
    <w:rsid w:val="00EA1347"/>
    <w:rsid w:val="00EA1712"/>
    <w:rsid w:val="00EA1AD2"/>
    <w:rsid w:val="00EA2189"/>
    <w:rsid w:val="00EA272E"/>
    <w:rsid w:val="00EA28CD"/>
    <w:rsid w:val="00EA2B4E"/>
    <w:rsid w:val="00EA2D29"/>
    <w:rsid w:val="00EA3274"/>
    <w:rsid w:val="00EA352F"/>
    <w:rsid w:val="00EA370F"/>
    <w:rsid w:val="00EA4E9F"/>
    <w:rsid w:val="00EA641C"/>
    <w:rsid w:val="00EA6E12"/>
    <w:rsid w:val="00EA6EF9"/>
    <w:rsid w:val="00EA7FE4"/>
    <w:rsid w:val="00EB09F1"/>
    <w:rsid w:val="00EB1154"/>
    <w:rsid w:val="00EB148F"/>
    <w:rsid w:val="00EB1A25"/>
    <w:rsid w:val="00EB1FBC"/>
    <w:rsid w:val="00EB2126"/>
    <w:rsid w:val="00EB224A"/>
    <w:rsid w:val="00EB28F6"/>
    <w:rsid w:val="00EB2C57"/>
    <w:rsid w:val="00EB2D8C"/>
    <w:rsid w:val="00EB32A6"/>
    <w:rsid w:val="00EB35C6"/>
    <w:rsid w:val="00EB3E61"/>
    <w:rsid w:val="00EB3F0B"/>
    <w:rsid w:val="00EB4651"/>
    <w:rsid w:val="00EB4EB5"/>
    <w:rsid w:val="00EB4F7E"/>
    <w:rsid w:val="00EB602F"/>
    <w:rsid w:val="00EB63BE"/>
    <w:rsid w:val="00EB6D79"/>
    <w:rsid w:val="00EB71B1"/>
    <w:rsid w:val="00EB7AA3"/>
    <w:rsid w:val="00EB7E15"/>
    <w:rsid w:val="00EC03E0"/>
    <w:rsid w:val="00EC05D1"/>
    <w:rsid w:val="00EC0F6A"/>
    <w:rsid w:val="00EC1133"/>
    <w:rsid w:val="00EC1394"/>
    <w:rsid w:val="00EC1AA6"/>
    <w:rsid w:val="00EC2104"/>
    <w:rsid w:val="00EC249C"/>
    <w:rsid w:val="00EC29D5"/>
    <w:rsid w:val="00EC2CBA"/>
    <w:rsid w:val="00EC326B"/>
    <w:rsid w:val="00EC379E"/>
    <w:rsid w:val="00EC3F0F"/>
    <w:rsid w:val="00EC4201"/>
    <w:rsid w:val="00EC4209"/>
    <w:rsid w:val="00EC43F4"/>
    <w:rsid w:val="00EC4987"/>
    <w:rsid w:val="00EC5191"/>
    <w:rsid w:val="00EC5BB3"/>
    <w:rsid w:val="00EC5D7A"/>
    <w:rsid w:val="00EC5EBF"/>
    <w:rsid w:val="00EC5F04"/>
    <w:rsid w:val="00EC6D8B"/>
    <w:rsid w:val="00EC6E4E"/>
    <w:rsid w:val="00ED0446"/>
    <w:rsid w:val="00ED0A67"/>
    <w:rsid w:val="00ED105D"/>
    <w:rsid w:val="00ED13CA"/>
    <w:rsid w:val="00ED198D"/>
    <w:rsid w:val="00ED1D0D"/>
    <w:rsid w:val="00ED22D9"/>
    <w:rsid w:val="00ED381D"/>
    <w:rsid w:val="00ED39AC"/>
    <w:rsid w:val="00ED3CB5"/>
    <w:rsid w:val="00ED4023"/>
    <w:rsid w:val="00ED4624"/>
    <w:rsid w:val="00ED4F93"/>
    <w:rsid w:val="00ED5173"/>
    <w:rsid w:val="00ED521E"/>
    <w:rsid w:val="00ED54B4"/>
    <w:rsid w:val="00ED559B"/>
    <w:rsid w:val="00ED5CA3"/>
    <w:rsid w:val="00ED5E4D"/>
    <w:rsid w:val="00ED6270"/>
    <w:rsid w:val="00ED62CE"/>
    <w:rsid w:val="00ED6477"/>
    <w:rsid w:val="00ED65CE"/>
    <w:rsid w:val="00ED6BC2"/>
    <w:rsid w:val="00ED719B"/>
    <w:rsid w:val="00ED730B"/>
    <w:rsid w:val="00ED76CA"/>
    <w:rsid w:val="00ED7E81"/>
    <w:rsid w:val="00EE02B4"/>
    <w:rsid w:val="00EE05B0"/>
    <w:rsid w:val="00EE0A22"/>
    <w:rsid w:val="00EE0DC3"/>
    <w:rsid w:val="00EE0E5D"/>
    <w:rsid w:val="00EE0F9F"/>
    <w:rsid w:val="00EE11B5"/>
    <w:rsid w:val="00EE1977"/>
    <w:rsid w:val="00EE1C85"/>
    <w:rsid w:val="00EE2110"/>
    <w:rsid w:val="00EE22FC"/>
    <w:rsid w:val="00EE235C"/>
    <w:rsid w:val="00EE24C9"/>
    <w:rsid w:val="00EE316D"/>
    <w:rsid w:val="00EE34A3"/>
    <w:rsid w:val="00EE3699"/>
    <w:rsid w:val="00EE391C"/>
    <w:rsid w:val="00EE39AD"/>
    <w:rsid w:val="00EE3B24"/>
    <w:rsid w:val="00EE3BD9"/>
    <w:rsid w:val="00EE41CA"/>
    <w:rsid w:val="00EE4508"/>
    <w:rsid w:val="00EE490C"/>
    <w:rsid w:val="00EE4957"/>
    <w:rsid w:val="00EE4EC2"/>
    <w:rsid w:val="00EE5542"/>
    <w:rsid w:val="00EE55C3"/>
    <w:rsid w:val="00EE5654"/>
    <w:rsid w:val="00EE59B4"/>
    <w:rsid w:val="00EE6012"/>
    <w:rsid w:val="00EE649C"/>
    <w:rsid w:val="00EE65C6"/>
    <w:rsid w:val="00EE6633"/>
    <w:rsid w:val="00EE6B06"/>
    <w:rsid w:val="00EE6F3F"/>
    <w:rsid w:val="00EE75C4"/>
    <w:rsid w:val="00EE7917"/>
    <w:rsid w:val="00EE79F0"/>
    <w:rsid w:val="00EE7D9B"/>
    <w:rsid w:val="00EF0E04"/>
    <w:rsid w:val="00EF12F8"/>
    <w:rsid w:val="00EF1CF9"/>
    <w:rsid w:val="00EF1E07"/>
    <w:rsid w:val="00EF26E5"/>
    <w:rsid w:val="00EF2B6F"/>
    <w:rsid w:val="00EF35D8"/>
    <w:rsid w:val="00EF3A2E"/>
    <w:rsid w:val="00EF3B87"/>
    <w:rsid w:val="00EF3EEC"/>
    <w:rsid w:val="00EF44F5"/>
    <w:rsid w:val="00EF4897"/>
    <w:rsid w:val="00EF5639"/>
    <w:rsid w:val="00EF573E"/>
    <w:rsid w:val="00EF5CE6"/>
    <w:rsid w:val="00EF6AAB"/>
    <w:rsid w:val="00EF6B44"/>
    <w:rsid w:val="00EF6E23"/>
    <w:rsid w:val="00EF71E4"/>
    <w:rsid w:val="00EF71F8"/>
    <w:rsid w:val="00EF7291"/>
    <w:rsid w:val="00EF731D"/>
    <w:rsid w:val="00EF770A"/>
    <w:rsid w:val="00EF778F"/>
    <w:rsid w:val="00EF787B"/>
    <w:rsid w:val="00EF7E73"/>
    <w:rsid w:val="00F003FE"/>
    <w:rsid w:val="00F011EE"/>
    <w:rsid w:val="00F01459"/>
    <w:rsid w:val="00F01497"/>
    <w:rsid w:val="00F01604"/>
    <w:rsid w:val="00F01E8D"/>
    <w:rsid w:val="00F01F51"/>
    <w:rsid w:val="00F022EB"/>
    <w:rsid w:val="00F02363"/>
    <w:rsid w:val="00F0237D"/>
    <w:rsid w:val="00F03170"/>
    <w:rsid w:val="00F03698"/>
    <w:rsid w:val="00F04163"/>
    <w:rsid w:val="00F04339"/>
    <w:rsid w:val="00F04389"/>
    <w:rsid w:val="00F045F2"/>
    <w:rsid w:val="00F0483F"/>
    <w:rsid w:val="00F04CDC"/>
    <w:rsid w:val="00F05745"/>
    <w:rsid w:val="00F0583E"/>
    <w:rsid w:val="00F06240"/>
    <w:rsid w:val="00F0663A"/>
    <w:rsid w:val="00F066D4"/>
    <w:rsid w:val="00F06BA9"/>
    <w:rsid w:val="00F07142"/>
    <w:rsid w:val="00F071E4"/>
    <w:rsid w:val="00F074F4"/>
    <w:rsid w:val="00F0766F"/>
    <w:rsid w:val="00F07770"/>
    <w:rsid w:val="00F07872"/>
    <w:rsid w:val="00F07917"/>
    <w:rsid w:val="00F07D4C"/>
    <w:rsid w:val="00F1019F"/>
    <w:rsid w:val="00F101EF"/>
    <w:rsid w:val="00F10C32"/>
    <w:rsid w:val="00F10CAD"/>
    <w:rsid w:val="00F10CD2"/>
    <w:rsid w:val="00F10E2A"/>
    <w:rsid w:val="00F11D39"/>
    <w:rsid w:val="00F1202F"/>
    <w:rsid w:val="00F124B4"/>
    <w:rsid w:val="00F12599"/>
    <w:rsid w:val="00F125F7"/>
    <w:rsid w:val="00F129B9"/>
    <w:rsid w:val="00F13245"/>
    <w:rsid w:val="00F13557"/>
    <w:rsid w:val="00F1413E"/>
    <w:rsid w:val="00F150E4"/>
    <w:rsid w:val="00F154DD"/>
    <w:rsid w:val="00F157B5"/>
    <w:rsid w:val="00F15B08"/>
    <w:rsid w:val="00F15E1A"/>
    <w:rsid w:val="00F16015"/>
    <w:rsid w:val="00F16272"/>
    <w:rsid w:val="00F162F1"/>
    <w:rsid w:val="00F16BCE"/>
    <w:rsid w:val="00F16BDA"/>
    <w:rsid w:val="00F17643"/>
    <w:rsid w:val="00F178DA"/>
    <w:rsid w:val="00F17D00"/>
    <w:rsid w:val="00F17F96"/>
    <w:rsid w:val="00F2106D"/>
    <w:rsid w:val="00F2127B"/>
    <w:rsid w:val="00F21359"/>
    <w:rsid w:val="00F21378"/>
    <w:rsid w:val="00F2149C"/>
    <w:rsid w:val="00F21685"/>
    <w:rsid w:val="00F21805"/>
    <w:rsid w:val="00F21C7A"/>
    <w:rsid w:val="00F21CB9"/>
    <w:rsid w:val="00F22353"/>
    <w:rsid w:val="00F2282F"/>
    <w:rsid w:val="00F23202"/>
    <w:rsid w:val="00F23437"/>
    <w:rsid w:val="00F23539"/>
    <w:rsid w:val="00F236F5"/>
    <w:rsid w:val="00F23918"/>
    <w:rsid w:val="00F23AC8"/>
    <w:rsid w:val="00F23BDD"/>
    <w:rsid w:val="00F23BDF"/>
    <w:rsid w:val="00F23ED8"/>
    <w:rsid w:val="00F240E1"/>
    <w:rsid w:val="00F24ABB"/>
    <w:rsid w:val="00F24C97"/>
    <w:rsid w:val="00F24E66"/>
    <w:rsid w:val="00F24ECA"/>
    <w:rsid w:val="00F250C2"/>
    <w:rsid w:val="00F2529E"/>
    <w:rsid w:val="00F25AC1"/>
    <w:rsid w:val="00F263A6"/>
    <w:rsid w:val="00F26B11"/>
    <w:rsid w:val="00F27247"/>
    <w:rsid w:val="00F27D9E"/>
    <w:rsid w:val="00F302A4"/>
    <w:rsid w:val="00F305FE"/>
    <w:rsid w:val="00F30CBB"/>
    <w:rsid w:val="00F30E9D"/>
    <w:rsid w:val="00F31428"/>
    <w:rsid w:val="00F31CC5"/>
    <w:rsid w:val="00F32F3D"/>
    <w:rsid w:val="00F3312B"/>
    <w:rsid w:val="00F33501"/>
    <w:rsid w:val="00F335F6"/>
    <w:rsid w:val="00F3396D"/>
    <w:rsid w:val="00F342DE"/>
    <w:rsid w:val="00F34E6A"/>
    <w:rsid w:val="00F34EDA"/>
    <w:rsid w:val="00F350BC"/>
    <w:rsid w:val="00F35870"/>
    <w:rsid w:val="00F359E1"/>
    <w:rsid w:val="00F35B32"/>
    <w:rsid w:val="00F35E2D"/>
    <w:rsid w:val="00F35FE3"/>
    <w:rsid w:val="00F36556"/>
    <w:rsid w:val="00F36E29"/>
    <w:rsid w:val="00F40C19"/>
    <w:rsid w:val="00F41FD6"/>
    <w:rsid w:val="00F42146"/>
    <w:rsid w:val="00F42676"/>
    <w:rsid w:val="00F42938"/>
    <w:rsid w:val="00F42A79"/>
    <w:rsid w:val="00F42FC5"/>
    <w:rsid w:val="00F4335A"/>
    <w:rsid w:val="00F44605"/>
    <w:rsid w:val="00F451D0"/>
    <w:rsid w:val="00F45763"/>
    <w:rsid w:val="00F501A2"/>
    <w:rsid w:val="00F50AC5"/>
    <w:rsid w:val="00F50ADD"/>
    <w:rsid w:val="00F50F6B"/>
    <w:rsid w:val="00F516B1"/>
    <w:rsid w:val="00F52933"/>
    <w:rsid w:val="00F529B0"/>
    <w:rsid w:val="00F52A5C"/>
    <w:rsid w:val="00F52D73"/>
    <w:rsid w:val="00F52F3F"/>
    <w:rsid w:val="00F530FF"/>
    <w:rsid w:val="00F53873"/>
    <w:rsid w:val="00F53C17"/>
    <w:rsid w:val="00F53E71"/>
    <w:rsid w:val="00F54879"/>
    <w:rsid w:val="00F548BF"/>
    <w:rsid w:val="00F55136"/>
    <w:rsid w:val="00F5541F"/>
    <w:rsid w:val="00F55815"/>
    <w:rsid w:val="00F55BCD"/>
    <w:rsid w:val="00F55D6A"/>
    <w:rsid w:val="00F55F11"/>
    <w:rsid w:val="00F55F98"/>
    <w:rsid w:val="00F55FBE"/>
    <w:rsid w:val="00F56EA0"/>
    <w:rsid w:val="00F5720A"/>
    <w:rsid w:val="00F57471"/>
    <w:rsid w:val="00F6043F"/>
    <w:rsid w:val="00F60651"/>
    <w:rsid w:val="00F608C0"/>
    <w:rsid w:val="00F60B73"/>
    <w:rsid w:val="00F613BA"/>
    <w:rsid w:val="00F614A3"/>
    <w:rsid w:val="00F619F1"/>
    <w:rsid w:val="00F61B2D"/>
    <w:rsid w:val="00F623A2"/>
    <w:rsid w:val="00F62AAF"/>
    <w:rsid w:val="00F63656"/>
    <w:rsid w:val="00F63943"/>
    <w:rsid w:val="00F64951"/>
    <w:rsid w:val="00F64B4B"/>
    <w:rsid w:val="00F65893"/>
    <w:rsid w:val="00F65B81"/>
    <w:rsid w:val="00F66032"/>
    <w:rsid w:val="00F6610A"/>
    <w:rsid w:val="00F6616A"/>
    <w:rsid w:val="00F6655E"/>
    <w:rsid w:val="00F666EB"/>
    <w:rsid w:val="00F66FD0"/>
    <w:rsid w:val="00F66FE1"/>
    <w:rsid w:val="00F6735E"/>
    <w:rsid w:val="00F67779"/>
    <w:rsid w:val="00F6786C"/>
    <w:rsid w:val="00F70440"/>
    <w:rsid w:val="00F7122F"/>
    <w:rsid w:val="00F71769"/>
    <w:rsid w:val="00F722FC"/>
    <w:rsid w:val="00F72412"/>
    <w:rsid w:val="00F72A1A"/>
    <w:rsid w:val="00F72A28"/>
    <w:rsid w:val="00F72AE3"/>
    <w:rsid w:val="00F72E9A"/>
    <w:rsid w:val="00F73023"/>
    <w:rsid w:val="00F734C9"/>
    <w:rsid w:val="00F73584"/>
    <w:rsid w:val="00F7387F"/>
    <w:rsid w:val="00F74A3B"/>
    <w:rsid w:val="00F74DA0"/>
    <w:rsid w:val="00F7540F"/>
    <w:rsid w:val="00F757B3"/>
    <w:rsid w:val="00F765C6"/>
    <w:rsid w:val="00F769DE"/>
    <w:rsid w:val="00F76DE7"/>
    <w:rsid w:val="00F77C39"/>
    <w:rsid w:val="00F77E0E"/>
    <w:rsid w:val="00F77EE7"/>
    <w:rsid w:val="00F801CD"/>
    <w:rsid w:val="00F804B5"/>
    <w:rsid w:val="00F80691"/>
    <w:rsid w:val="00F80F56"/>
    <w:rsid w:val="00F811D8"/>
    <w:rsid w:val="00F81303"/>
    <w:rsid w:val="00F82293"/>
    <w:rsid w:val="00F82AFF"/>
    <w:rsid w:val="00F82B61"/>
    <w:rsid w:val="00F82C73"/>
    <w:rsid w:val="00F83310"/>
    <w:rsid w:val="00F83803"/>
    <w:rsid w:val="00F83901"/>
    <w:rsid w:val="00F843DE"/>
    <w:rsid w:val="00F844DA"/>
    <w:rsid w:val="00F84A45"/>
    <w:rsid w:val="00F84AF4"/>
    <w:rsid w:val="00F84C72"/>
    <w:rsid w:val="00F84D05"/>
    <w:rsid w:val="00F8521F"/>
    <w:rsid w:val="00F85388"/>
    <w:rsid w:val="00F857B6"/>
    <w:rsid w:val="00F85843"/>
    <w:rsid w:val="00F85A00"/>
    <w:rsid w:val="00F85A5B"/>
    <w:rsid w:val="00F86268"/>
    <w:rsid w:val="00F86737"/>
    <w:rsid w:val="00F86A72"/>
    <w:rsid w:val="00F86B11"/>
    <w:rsid w:val="00F8730F"/>
    <w:rsid w:val="00F8780A"/>
    <w:rsid w:val="00F90227"/>
    <w:rsid w:val="00F903DF"/>
    <w:rsid w:val="00F90563"/>
    <w:rsid w:val="00F90AD8"/>
    <w:rsid w:val="00F90D8B"/>
    <w:rsid w:val="00F90D92"/>
    <w:rsid w:val="00F90FEE"/>
    <w:rsid w:val="00F91259"/>
    <w:rsid w:val="00F9270D"/>
    <w:rsid w:val="00F92CCA"/>
    <w:rsid w:val="00F92D49"/>
    <w:rsid w:val="00F92DE7"/>
    <w:rsid w:val="00F937AE"/>
    <w:rsid w:val="00F9398B"/>
    <w:rsid w:val="00F93B55"/>
    <w:rsid w:val="00F9402D"/>
    <w:rsid w:val="00F9484F"/>
    <w:rsid w:val="00F94E59"/>
    <w:rsid w:val="00F9506D"/>
    <w:rsid w:val="00F9536C"/>
    <w:rsid w:val="00F960D5"/>
    <w:rsid w:val="00F96376"/>
    <w:rsid w:val="00F96738"/>
    <w:rsid w:val="00F968B7"/>
    <w:rsid w:val="00F96FCA"/>
    <w:rsid w:val="00F9741E"/>
    <w:rsid w:val="00F9761A"/>
    <w:rsid w:val="00F97A48"/>
    <w:rsid w:val="00FA0509"/>
    <w:rsid w:val="00FA0C3A"/>
    <w:rsid w:val="00FA1097"/>
    <w:rsid w:val="00FA128F"/>
    <w:rsid w:val="00FA25BB"/>
    <w:rsid w:val="00FA25E8"/>
    <w:rsid w:val="00FA3592"/>
    <w:rsid w:val="00FA3ACE"/>
    <w:rsid w:val="00FA3C81"/>
    <w:rsid w:val="00FA3FF5"/>
    <w:rsid w:val="00FA4DF2"/>
    <w:rsid w:val="00FA4E99"/>
    <w:rsid w:val="00FA5417"/>
    <w:rsid w:val="00FA54CF"/>
    <w:rsid w:val="00FA5A21"/>
    <w:rsid w:val="00FA5C0A"/>
    <w:rsid w:val="00FA6250"/>
    <w:rsid w:val="00FA62EA"/>
    <w:rsid w:val="00FA6532"/>
    <w:rsid w:val="00FA7374"/>
    <w:rsid w:val="00FA74EA"/>
    <w:rsid w:val="00FA76D3"/>
    <w:rsid w:val="00FA7B2B"/>
    <w:rsid w:val="00FA7C7C"/>
    <w:rsid w:val="00FA7CA6"/>
    <w:rsid w:val="00FA7E38"/>
    <w:rsid w:val="00FB0099"/>
    <w:rsid w:val="00FB0633"/>
    <w:rsid w:val="00FB07FE"/>
    <w:rsid w:val="00FB10FD"/>
    <w:rsid w:val="00FB1252"/>
    <w:rsid w:val="00FB130B"/>
    <w:rsid w:val="00FB136C"/>
    <w:rsid w:val="00FB1920"/>
    <w:rsid w:val="00FB2406"/>
    <w:rsid w:val="00FB27A4"/>
    <w:rsid w:val="00FB2829"/>
    <w:rsid w:val="00FB2836"/>
    <w:rsid w:val="00FB2A76"/>
    <w:rsid w:val="00FB2CC8"/>
    <w:rsid w:val="00FB2E90"/>
    <w:rsid w:val="00FB303D"/>
    <w:rsid w:val="00FB316A"/>
    <w:rsid w:val="00FB37A0"/>
    <w:rsid w:val="00FB3B26"/>
    <w:rsid w:val="00FB3F47"/>
    <w:rsid w:val="00FB405E"/>
    <w:rsid w:val="00FB47CB"/>
    <w:rsid w:val="00FB49F9"/>
    <w:rsid w:val="00FB4F2C"/>
    <w:rsid w:val="00FB5041"/>
    <w:rsid w:val="00FB5A79"/>
    <w:rsid w:val="00FB5F75"/>
    <w:rsid w:val="00FB5FE6"/>
    <w:rsid w:val="00FB6319"/>
    <w:rsid w:val="00FB6B6B"/>
    <w:rsid w:val="00FB7BE3"/>
    <w:rsid w:val="00FB7D82"/>
    <w:rsid w:val="00FC061A"/>
    <w:rsid w:val="00FC0E84"/>
    <w:rsid w:val="00FC17BD"/>
    <w:rsid w:val="00FC2443"/>
    <w:rsid w:val="00FC2B3E"/>
    <w:rsid w:val="00FC303B"/>
    <w:rsid w:val="00FC3A26"/>
    <w:rsid w:val="00FC3A66"/>
    <w:rsid w:val="00FC3EE7"/>
    <w:rsid w:val="00FC4352"/>
    <w:rsid w:val="00FC4680"/>
    <w:rsid w:val="00FC46E0"/>
    <w:rsid w:val="00FC4B93"/>
    <w:rsid w:val="00FC521E"/>
    <w:rsid w:val="00FC5AC7"/>
    <w:rsid w:val="00FC6332"/>
    <w:rsid w:val="00FC66C2"/>
    <w:rsid w:val="00FC6A03"/>
    <w:rsid w:val="00FC6ACB"/>
    <w:rsid w:val="00FC6FE4"/>
    <w:rsid w:val="00FC70C2"/>
    <w:rsid w:val="00FC731C"/>
    <w:rsid w:val="00FC7A21"/>
    <w:rsid w:val="00FC7A4A"/>
    <w:rsid w:val="00FC7CC9"/>
    <w:rsid w:val="00FC7E97"/>
    <w:rsid w:val="00FC7FF8"/>
    <w:rsid w:val="00FD0287"/>
    <w:rsid w:val="00FD074F"/>
    <w:rsid w:val="00FD120D"/>
    <w:rsid w:val="00FD122C"/>
    <w:rsid w:val="00FD184E"/>
    <w:rsid w:val="00FD18F6"/>
    <w:rsid w:val="00FD190D"/>
    <w:rsid w:val="00FD1B96"/>
    <w:rsid w:val="00FD1D9C"/>
    <w:rsid w:val="00FD1DF1"/>
    <w:rsid w:val="00FD2C03"/>
    <w:rsid w:val="00FD31BD"/>
    <w:rsid w:val="00FD3BC7"/>
    <w:rsid w:val="00FD3CC6"/>
    <w:rsid w:val="00FD3F72"/>
    <w:rsid w:val="00FD412E"/>
    <w:rsid w:val="00FD44CB"/>
    <w:rsid w:val="00FD4505"/>
    <w:rsid w:val="00FD4A49"/>
    <w:rsid w:val="00FD54F8"/>
    <w:rsid w:val="00FD56C6"/>
    <w:rsid w:val="00FD5A23"/>
    <w:rsid w:val="00FD63D4"/>
    <w:rsid w:val="00FD6590"/>
    <w:rsid w:val="00FD6AF9"/>
    <w:rsid w:val="00FD7223"/>
    <w:rsid w:val="00FE05A3"/>
    <w:rsid w:val="00FE06C0"/>
    <w:rsid w:val="00FE1E28"/>
    <w:rsid w:val="00FE201A"/>
    <w:rsid w:val="00FE20FB"/>
    <w:rsid w:val="00FE26AF"/>
    <w:rsid w:val="00FE2E98"/>
    <w:rsid w:val="00FE38F2"/>
    <w:rsid w:val="00FE3927"/>
    <w:rsid w:val="00FE3C9D"/>
    <w:rsid w:val="00FE3E50"/>
    <w:rsid w:val="00FE4463"/>
    <w:rsid w:val="00FE508B"/>
    <w:rsid w:val="00FE5483"/>
    <w:rsid w:val="00FE56FD"/>
    <w:rsid w:val="00FE5A11"/>
    <w:rsid w:val="00FE614E"/>
    <w:rsid w:val="00FE658B"/>
    <w:rsid w:val="00FE6E78"/>
    <w:rsid w:val="00FE7014"/>
    <w:rsid w:val="00FF0B91"/>
    <w:rsid w:val="00FF0D64"/>
    <w:rsid w:val="00FF11A3"/>
    <w:rsid w:val="00FF1677"/>
    <w:rsid w:val="00FF183F"/>
    <w:rsid w:val="00FF1AEB"/>
    <w:rsid w:val="00FF1C66"/>
    <w:rsid w:val="00FF1D61"/>
    <w:rsid w:val="00FF2C3B"/>
    <w:rsid w:val="00FF30D6"/>
    <w:rsid w:val="00FF311B"/>
    <w:rsid w:val="00FF3134"/>
    <w:rsid w:val="00FF33F1"/>
    <w:rsid w:val="00FF3651"/>
    <w:rsid w:val="00FF4367"/>
    <w:rsid w:val="00FF460F"/>
    <w:rsid w:val="00FF4CA5"/>
    <w:rsid w:val="00FF4D26"/>
    <w:rsid w:val="00FF4E24"/>
    <w:rsid w:val="00FF4FC1"/>
    <w:rsid w:val="00FF529A"/>
    <w:rsid w:val="00FF52C8"/>
    <w:rsid w:val="00FF5423"/>
    <w:rsid w:val="00FF5770"/>
    <w:rsid w:val="00FF5D99"/>
    <w:rsid w:val="00FF6393"/>
    <w:rsid w:val="00FF6E96"/>
    <w:rsid w:val="00FF6FC4"/>
    <w:rsid w:val="00FF6FEB"/>
    <w:rsid w:val="00FF7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2C1BC"/>
  <w15:chartTrackingRefBased/>
  <w15:docId w15:val="{939BBF00-0383-436C-9785-1A65A0AA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2F8"/>
    <w:pPr>
      <w:keepNext/>
      <w:keepLines/>
      <w:numPr>
        <w:numId w:val="3"/>
      </w:numPr>
      <w:spacing w:before="240" w:after="0"/>
      <w:outlineLvl w:val="0"/>
    </w:pPr>
    <w:rPr>
      <w:rFonts w:asciiTheme="majorHAnsi" w:eastAsiaTheme="majorEastAsia" w:hAnsiTheme="majorHAnsi" w:cstheme="majorBidi"/>
      <w:color w:val="1A0FA4" w:themeColor="accent1" w:themeShade="BF"/>
      <w:sz w:val="32"/>
      <w:szCs w:val="32"/>
    </w:rPr>
  </w:style>
  <w:style w:type="paragraph" w:styleId="Heading2">
    <w:name w:val="heading 2"/>
    <w:basedOn w:val="Normal"/>
    <w:next w:val="Normal"/>
    <w:link w:val="Heading2Char"/>
    <w:uiPriority w:val="9"/>
    <w:unhideWhenUsed/>
    <w:qFormat/>
    <w:rsid w:val="003A5250"/>
    <w:pPr>
      <w:keepNext/>
      <w:keepLines/>
      <w:numPr>
        <w:ilvl w:val="1"/>
        <w:numId w:val="3"/>
      </w:numPr>
      <w:spacing w:before="40" w:after="0"/>
      <w:outlineLvl w:val="1"/>
    </w:pPr>
    <w:rPr>
      <w:rFonts w:asciiTheme="majorHAnsi" w:eastAsiaTheme="majorEastAsia" w:hAnsiTheme="majorHAnsi" w:cstheme="majorBidi"/>
      <w:color w:val="1A0FA4" w:themeColor="accent1" w:themeShade="BF"/>
      <w:sz w:val="26"/>
      <w:szCs w:val="26"/>
    </w:rPr>
  </w:style>
  <w:style w:type="paragraph" w:styleId="Heading3">
    <w:name w:val="heading 3"/>
    <w:basedOn w:val="Normal"/>
    <w:next w:val="Normal"/>
    <w:link w:val="Heading3Char"/>
    <w:autoRedefine/>
    <w:uiPriority w:val="9"/>
    <w:unhideWhenUsed/>
    <w:qFormat/>
    <w:rsid w:val="004A127F"/>
    <w:pPr>
      <w:keepNext/>
      <w:keepLines/>
      <w:numPr>
        <w:ilvl w:val="2"/>
        <w:numId w:val="3"/>
      </w:numPr>
      <w:spacing w:before="40" w:after="0"/>
      <w:ind w:left="1440"/>
      <w:outlineLvl w:val="2"/>
    </w:pPr>
    <w:rPr>
      <w:rFonts w:ascii="Arial" w:eastAsiaTheme="majorEastAsia" w:hAnsi="Arial" w:cstheme="majorBidi"/>
      <w:b/>
      <w:color w:val="110A6D" w:themeColor="accent1" w:themeShade="7F"/>
      <w:sz w:val="24"/>
      <w:szCs w:val="24"/>
    </w:rPr>
  </w:style>
  <w:style w:type="paragraph" w:styleId="Heading4">
    <w:name w:val="heading 4"/>
    <w:basedOn w:val="Normal"/>
    <w:next w:val="Normal"/>
    <w:link w:val="Heading4Char"/>
    <w:uiPriority w:val="9"/>
    <w:unhideWhenUsed/>
    <w:qFormat/>
    <w:rsid w:val="004B5F4F"/>
    <w:pPr>
      <w:keepNext/>
      <w:keepLines/>
      <w:numPr>
        <w:ilvl w:val="3"/>
        <w:numId w:val="3"/>
      </w:numPr>
      <w:spacing w:before="40" w:after="0"/>
      <w:outlineLvl w:val="3"/>
    </w:pPr>
    <w:rPr>
      <w:rFonts w:asciiTheme="majorHAnsi" w:eastAsiaTheme="majorEastAsia" w:hAnsiTheme="majorHAnsi" w:cstheme="majorBidi"/>
      <w:i/>
      <w:iCs/>
      <w:color w:val="1A0FA4" w:themeColor="accent1" w:themeShade="BF"/>
    </w:rPr>
  </w:style>
  <w:style w:type="paragraph" w:styleId="Heading5">
    <w:name w:val="heading 5"/>
    <w:basedOn w:val="Normal"/>
    <w:next w:val="Normal"/>
    <w:link w:val="Heading5Char"/>
    <w:uiPriority w:val="9"/>
    <w:unhideWhenUsed/>
    <w:qFormat/>
    <w:rsid w:val="00805AB8"/>
    <w:pPr>
      <w:keepNext/>
      <w:keepLines/>
      <w:numPr>
        <w:ilvl w:val="4"/>
        <w:numId w:val="3"/>
      </w:numPr>
      <w:spacing w:before="40" w:after="0"/>
      <w:outlineLvl w:val="4"/>
    </w:pPr>
    <w:rPr>
      <w:rFonts w:asciiTheme="majorHAnsi" w:eastAsiaTheme="majorEastAsia" w:hAnsiTheme="majorHAnsi" w:cstheme="majorBidi"/>
      <w:color w:val="1A0FA4" w:themeColor="accent1" w:themeShade="BF"/>
    </w:rPr>
  </w:style>
  <w:style w:type="paragraph" w:styleId="Heading6">
    <w:name w:val="heading 6"/>
    <w:basedOn w:val="Normal"/>
    <w:next w:val="Normal"/>
    <w:link w:val="Heading6Char"/>
    <w:uiPriority w:val="9"/>
    <w:semiHidden/>
    <w:unhideWhenUsed/>
    <w:qFormat/>
    <w:rsid w:val="004B5F4F"/>
    <w:pPr>
      <w:keepNext/>
      <w:keepLines/>
      <w:numPr>
        <w:ilvl w:val="5"/>
        <w:numId w:val="3"/>
      </w:numPr>
      <w:spacing w:before="40" w:after="0"/>
      <w:outlineLvl w:val="5"/>
    </w:pPr>
    <w:rPr>
      <w:rFonts w:asciiTheme="majorHAnsi" w:eastAsiaTheme="majorEastAsia" w:hAnsiTheme="majorHAnsi" w:cstheme="majorBidi"/>
      <w:color w:val="110A6D" w:themeColor="accent1" w:themeShade="7F"/>
    </w:rPr>
  </w:style>
  <w:style w:type="paragraph" w:styleId="Heading7">
    <w:name w:val="heading 7"/>
    <w:basedOn w:val="Normal"/>
    <w:next w:val="Normal"/>
    <w:link w:val="Heading7Char"/>
    <w:uiPriority w:val="9"/>
    <w:semiHidden/>
    <w:unhideWhenUsed/>
    <w:qFormat/>
    <w:rsid w:val="004B5F4F"/>
    <w:pPr>
      <w:keepNext/>
      <w:keepLines/>
      <w:numPr>
        <w:ilvl w:val="6"/>
        <w:numId w:val="3"/>
      </w:numPr>
      <w:spacing w:before="40" w:after="0"/>
      <w:outlineLvl w:val="6"/>
    </w:pPr>
    <w:rPr>
      <w:rFonts w:asciiTheme="majorHAnsi" w:eastAsiaTheme="majorEastAsia" w:hAnsiTheme="majorHAnsi" w:cstheme="majorBidi"/>
      <w:i/>
      <w:iCs/>
      <w:color w:val="110A6D" w:themeColor="accent1" w:themeShade="7F"/>
    </w:rPr>
  </w:style>
  <w:style w:type="paragraph" w:styleId="Heading8">
    <w:name w:val="heading 8"/>
    <w:basedOn w:val="Normal"/>
    <w:next w:val="Normal"/>
    <w:link w:val="Heading8Char"/>
    <w:uiPriority w:val="9"/>
    <w:semiHidden/>
    <w:unhideWhenUsed/>
    <w:qFormat/>
    <w:rsid w:val="004B5F4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A525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2F8"/>
    <w:rPr>
      <w:rFonts w:asciiTheme="majorHAnsi" w:eastAsiaTheme="majorEastAsia" w:hAnsiTheme="majorHAnsi" w:cstheme="majorBidi"/>
      <w:color w:val="1A0FA4" w:themeColor="accent1" w:themeShade="BF"/>
      <w:sz w:val="32"/>
      <w:szCs w:val="32"/>
    </w:rPr>
  </w:style>
  <w:style w:type="character" w:customStyle="1" w:styleId="Heading2Char">
    <w:name w:val="Heading 2 Char"/>
    <w:basedOn w:val="DefaultParagraphFont"/>
    <w:link w:val="Heading2"/>
    <w:uiPriority w:val="9"/>
    <w:rsid w:val="003A5250"/>
    <w:rPr>
      <w:rFonts w:asciiTheme="majorHAnsi" w:eastAsiaTheme="majorEastAsia" w:hAnsiTheme="majorHAnsi" w:cstheme="majorBidi"/>
      <w:color w:val="1A0FA4" w:themeColor="accent1" w:themeShade="BF"/>
      <w:sz w:val="26"/>
      <w:szCs w:val="26"/>
    </w:rPr>
  </w:style>
  <w:style w:type="character" w:customStyle="1" w:styleId="Heading3Char">
    <w:name w:val="Heading 3 Char"/>
    <w:basedOn w:val="DefaultParagraphFont"/>
    <w:link w:val="Heading3"/>
    <w:uiPriority w:val="9"/>
    <w:rsid w:val="004A127F"/>
    <w:rPr>
      <w:rFonts w:ascii="Arial" w:eastAsiaTheme="majorEastAsia" w:hAnsi="Arial" w:cstheme="majorBidi"/>
      <w:b/>
      <w:color w:val="110A6D" w:themeColor="accent1" w:themeShade="7F"/>
      <w:sz w:val="24"/>
      <w:szCs w:val="24"/>
    </w:rPr>
  </w:style>
  <w:style w:type="character" w:customStyle="1" w:styleId="Heading4Char">
    <w:name w:val="Heading 4 Char"/>
    <w:basedOn w:val="DefaultParagraphFont"/>
    <w:link w:val="Heading4"/>
    <w:uiPriority w:val="9"/>
    <w:rsid w:val="004B5F4F"/>
    <w:rPr>
      <w:rFonts w:asciiTheme="majorHAnsi" w:eastAsiaTheme="majorEastAsia" w:hAnsiTheme="majorHAnsi" w:cstheme="majorBidi"/>
      <w:i/>
      <w:iCs/>
      <w:color w:val="1A0FA4" w:themeColor="accent1" w:themeShade="BF"/>
    </w:rPr>
  </w:style>
  <w:style w:type="character" w:customStyle="1" w:styleId="Heading5Char">
    <w:name w:val="Heading 5 Char"/>
    <w:basedOn w:val="DefaultParagraphFont"/>
    <w:link w:val="Heading5"/>
    <w:uiPriority w:val="9"/>
    <w:rsid w:val="00805AB8"/>
    <w:rPr>
      <w:rFonts w:asciiTheme="majorHAnsi" w:eastAsiaTheme="majorEastAsia" w:hAnsiTheme="majorHAnsi" w:cstheme="majorBidi"/>
      <w:color w:val="1A0FA4" w:themeColor="accent1" w:themeShade="BF"/>
    </w:rPr>
  </w:style>
  <w:style w:type="character" w:customStyle="1" w:styleId="Heading6Char">
    <w:name w:val="Heading 6 Char"/>
    <w:basedOn w:val="DefaultParagraphFont"/>
    <w:link w:val="Heading6"/>
    <w:uiPriority w:val="9"/>
    <w:semiHidden/>
    <w:rsid w:val="004B5F4F"/>
    <w:rPr>
      <w:rFonts w:asciiTheme="majorHAnsi" w:eastAsiaTheme="majorEastAsia" w:hAnsiTheme="majorHAnsi" w:cstheme="majorBidi"/>
      <w:color w:val="110A6D" w:themeColor="accent1" w:themeShade="7F"/>
    </w:rPr>
  </w:style>
  <w:style w:type="character" w:customStyle="1" w:styleId="Heading7Char">
    <w:name w:val="Heading 7 Char"/>
    <w:basedOn w:val="DefaultParagraphFont"/>
    <w:link w:val="Heading7"/>
    <w:uiPriority w:val="9"/>
    <w:semiHidden/>
    <w:rsid w:val="004B5F4F"/>
    <w:rPr>
      <w:rFonts w:asciiTheme="majorHAnsi" w:eastAsiaTheme="majorEastAsia" w:hAnsiTheme="majorHAnsi" w:cstheme="majorBidi"/>
      <w:i/>
      <w:iCs/>
      <w:color w:val="110A6D" w:themeColor="accent1" w:themeShade="7F"/>
    </w:rPr>
  </w:style>
  <w:style w:type="character" w:customStyle="1" w:styleId="Heading8Char">
    <w:name w:val="Heading 8 Char"/>
    <w:basedOn w:val="DefaultParagraphFont"/>
    <w:link w:val="Heading8"/>
    <w:uiPriority w:val="9"/>
    <w:semiHidden/>
    <w:rsid w:val="004B5F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A5250"/>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32B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32B6A"/>
    <w:rPr>
      <w:rFonts w:eastAsiaTheme="minorEastAsia"/>
      <w:lang w:val="en-US"/>
    </w:rPr>
  </w:style>
  <w:style w:type="character" w:styleId="Hyperlink">
    <w:name w:val="Hyperlink"/>
    <w:basedOn w:val="DefaultParagraphFont"/>
    <w:uiPriority w:val="99"/>
    <w:unhideWhenUsed/>
    <w:rsid w:val="003A5250"/>
    <w:rPr>
      <w:color w:val="0000FF"/>
      <w:u w:val="single"/>
    </w:rPr>
  </w:style>
  <w:style w:type="paragraph" w:styleId="TOC1">
    <w:name w:val="toc 1"/>
    <w:basedOn w:val="Normal"/>
    <w:next w:val="Normal"/>
    <w:autoRedefine/>
    <w:uiPriority w:val="39"/>
    <w:unhideWhenUsed/>
    <w:qFormat/>
    <w:rsid w:val="00D85975"/>
    <w:pPr>
      <w:tabs>
        <w:tab w:val="right" w:leader="dot" w:pos="9923"/>
      </w:tabs>
      <w:spacing w:after="100" w:line="240" w:lineRule="auto"/>
      <w:ind w:left="675" w:right="454" w:hanging="675"/>
    </w:pPr>
    <w:rPr>
      <w:rFonts w:ascii="Arial" w:eastAsia="Times New Roman" w:hAnsi="Arial" w:cs="Arial"/>
      <w:b/>
      <w:bCs/>
      <w:noProof/>
      <w:sz w:val="20"/>
      <w:szCs w:val="24"/>
      <w:lang w:eastAsia="en-GB"/>
    </w:rPr>
  </w:style>
  <w:style w:type="paragraph" w:styleId="Header">
    <w:name w:val="header"/>
    <w:basedOn w:val="Normal"/>
    <w:link w:val="HeaderChar"/>
    <w:uiPriority w:val="99"/>
    <w:unhideWhenUsed/>
    <w:rsid w:val="00CD3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F34"/>
  </w:style>
  <w:style w:type="paragraph" w:styleId="Footer">
    <w:name w:val="footer"/>
    <w:basedOn w:val="Normal"/>
    <w:link w:val="FooterChar"/>
    <w:uiPriority w:val="99"/>
    <w:unhideWhenUsed/>
    <w:rsid w:val="00CD3F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F34"/>
  </w:style>
  <w:style w:type="paragraph" w:styleId="ListParagraph">
    <w:name w:val="List Paragraph"/>
    <w:basedOn w:val="Normal"/>
    <w:uiPriority w:val="34"/>
    <w:qFormat/>
    <w:rsid w:val="006D5DBE"/>
    <w:pPr>
      <w:ind w:left="720"/>
      <w:contextualSpacing/>
    </w:pPr>
  </w:style>
  <w:style w:type="character" w:styleId="UnresolvedMention">
    <w:name w:val="Unresolved Mention"/>
    <w:basedOn w:val="DefaultParagraphFont"/>
    <w:uiPriority w:val="99"/>
    <w:semiHidden/>
    <w:unhideWhenUsed/>
    <w:rsid w:val="007D5BC9"/>
    <w:rPr>
      <w:color w:val="605E5C"/>
      <w:shd w:val="clear" w:color="auto" w:fill="E1DFDD"/>
    </w:rPr>
  </w:style>
  <w:style w:type="character" w:customStyle="1" w:styleId="contentauthor--name">
    <w:name w:val="content__author--name"/>
    <w:basedOn w:val="DefaultParagraphFont"/>
    <w:rsid w:val="00727AD1"/>
  </w:style>
  <w:style w:type="character" w:customStyle="1" w:styleId="contentauthor--date">
    <w:name w:val="content__author--date"/>
    <w:basedOn w:val="DefaultParagraphFont"/>
    <w:rsid w:val="00727AD1"/>
  </w:style>
  <w:style w:type="character" w:customStyle="1" w:styleId="display-block">
    <w:name w:val="display-block"/>
    <w:basedOn w:val="DefaultParagraphFont"/>
    <w:rsid w:val="00727AD1"/>
  </w:style>
  <w:style w:type="paragraph" w:styleId="Caption">
    <w:name w:val="caption"/>
    <w:basedOn w:val="Normal"/>
    <w:next w:val="Normal"/>
    <w:uiPriority w:val="35"/>
    <w:unhideWhenUsed/>
    <w:qFormat/>
    <w:rsid w:val="00727AD1"/>
    <w:pPr>
      <w:spacing w:after="200" w:line="240" w:lineRule="auto"/>
    </w:pPr>
    <w:rPr>
      <w:i/>
      <w:iCs/>
      <w:color w:val="333333" w:themeColor="text2"/>
      <w:sz w:val="18"/>
      <w:szCs w:val="18"/>
    </w:rPr>
  </w:style>
  <w:style w:type="paragraph" w:styleId="NormalWeb">
    <w:name w:val="Normal (Web)"/>
    <w:basedOn w:val="Normal"/>
    <w:uiPriority w:val="99"/>
    <w:semiHidden/>
    <w:unhideWhenUsed/>
    <w:rsid w:val="009874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11AAD"/>
    <w:rPr>
      <w:sz w:val="16"/>
      <w:szCs w:val="16"/>
    </w:rPr>
  </w:style>
  <w:style w:type="paragraph" w:styleId="CommentText">
    <w:name w:val="annotation text"/>
    <w:basedOn w:val="Normal"/>
    <w:link w:val="CommentTextChar"/>
    <w:uiPriority w:val="99"/>
    <w:unhideWhenUsed/>
    <w:rsid w:val="00C11AAD"/>
    <w:pPr>
      <w:spacing w:line="240" w:lineRule="auto"/>
    </w:pPr>
    <w:rPr>
      <w:sz w:val="20"/>
      <w:szCs w:val="20"/>
    </w:rPr>
  </w:style>
  <w:style w:type="character" w:customStyle="1" w:styleId="CommentTextChar">
    <w:name w:val="Comment Text Char"/>
    <w:basedOn w:val="DefaultParagraphFont"/>
    <w:link w:val="CommentText"/>
    <w:uiPriority w:val="99"/>
    <w:rsid w:val="00C11AAD"/>
    <w:rPr>
      <w:sz w:val="20"/>
      <w:szCs w:val="20"/>
    </w:rPr>
  </w:style>
  <w:style w:type="paragraph" w:styleId="CommentSubject">
    <w:name w:val="annotation subject"/>
    <w:basedOn w:val="CommentText"/>
    <w:next w:val="CommentText"/>
    <w:link w:val="CommentSubjectChar"/>
    <w:uiPriority w:val="99"/>
    <w:semiHidden/>
    <w:unhideWhenUsed/>
    <w:rsid w:val="00C11AAD"/>
    <w:rPr>
      <w:b/>
      <w:bCs/>
    </w:rPr>
  </w:style>
  <w:style w:type="character" w:customStyle="1" w:styleId="CommentSubjectChar">
    <w:name w:val="Comment Subject Char"/>
    <w:basedOn w:val="CommentTextChar"/>
    <w:link w:val="CommentSubject"/>
    <w:uiPriority w:val="99"/>
    <w:semiHidden/>
    <w:rsid w:val="00C11AAD"/>
    <w:rPr>
      <w:b/>
      <w:bCs/>
      <w:sz w:val="20"/>
      <w:szCs w:val="20"/>
    </w:rPr>
  </w:style>
  <w:style w:type="paragraph" w:styleId="BalloonText">
    <w:name w:val="Balloon Text"/>
    <w:basedOn w:val="Normal"/>
    <w:link w:val="BalloonTextChar"/>
    <w:uiPriority w:val="99"/>
    <w:semiHidden/>
    <w:unhideWhenUsed/>
    <w:rsid w:val="00C11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AAD"/>
    <w:rPr>
      <w:rFonts w:ascii="Segoe UI" w:hAnsi="Segoe UI" w:cs="Segoe UI"/>
      <w:sz w:val="18"/>
      <w:szCs w:val="18"/>
    </w:rPr>
  </w:style>
  <w:style w:type="paragraph" w:styleId="TOC2">
    <w:name w:val="toc 2"/>
    <w:basedOn w:val="Normal"/>
    <w:next w:val="Normal"/>
    <w:autoRedefine/>
    <w:uiPriority w:val="39"/>
    <w:unhideWhenUsed/>
    <w:rsid w:val="009F38E9"/>
    <w:pPr>
      <w:spacing w:after="100"/>
      <w:ind w:left="220"/>
    </w:pPr>
  </w:style>
  <w:style w:type="paragraph" w:customStyle="1" w:styleId="Default">
    <w:name w:val="Default"/>
    <w:rsid w:val="00382092"/>
    <w:pPr>
      <w:autoSpaceDE w:val="0"/>
      <w:autoSpaceDN w:val="0"/>
      <w:adjustRightInd w:val="0"/>
      <w:spacing w:after="0" w:line="240" w:lineRule="auto"/>
    </w:pPr>
    <w:rPr>
      <w:rFonts w:ascii="JCFDE K+ Gulliver" w:hAnsi="JCFDE K+ Gulliver" w:cs="JCFDE K+ Gulliver"/>
      <w:color w:val="000000"/>
      <w:sz w:val="24"/>
      <w:szCs w:val="24"/>
    </w:rPr>
  </w:style>
  <w:style w:type="character" w:styleId="PlaceholderText">
    <w:name w:val="Placeholder Text"/>
    <w:basedOn w:val="DefaultParagraphFont"/>
    <w:uiPriority w:val="99"/>
    <w:semiHidden/>
    <w:rsid w:val="00596308"/>
    <w:rPr>
      <w:color w:val="808080"/>
    </w:rPr>
  </w:style>
  <w:style w:type="character" w:styleId="FollowedHyperlink">
    <w:name w:val="FollowedHyperlink"/>
    <w:basedOn w:val="DefaultParagraphFont"/>
    <w:uiPriority w:val="99"/>
    <w:semiHidden/>
    <w:unhideWhenUsed/>
    <w:rsid w:val="00A330B9"/>
    <w:rPr>
      <w:color w:val="FF8714" w:themeColor="followedHyperlink"/>
      <w:u w:val="single"/>
    </w:rPr>
  </w:style>
  <w:style w:type="paragraph" w:styleId="TableofFigures">
    <w:name w:val="table of figures"/>
    <w:basedOn w:val="Normal"/>
    <w:next w:val="Normal"/>
    <w:uiPriority w:val="99"/>
    <w:unhideWhenUsed/>
    <w:rsid w:val="004E771D"/>
    <w:pPr>
      <w:spacing w:after="0"/>
    </w:pPr>
  </w:style>
  <w:style w:type="paragraph" w:customStyle="1" w:styleId="nova-e-listitem">
    <w:name w:val="nova-e-list__item"/>
    <w:basedOn w:val="Normal"/>
    <w:rsid w:val="003033F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FF30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4130F"/>
    <w:pPr>
      <w:numPr>
        <w:numId w:val="0"/>
      </w:numPr>
      <w:outlineLvl w:val="9"/>
    </w:pPr>
    <w:rPr>
      <w:lang w:val="en-US"/>
    </w:rPr>
  </w:style>
  <w:style w:type="paragraph" w:styleId="TOC3">
    <w:name w:val="toc 3"/>
    <w:basedOn w:val="Normal"/>
    <w:next w:val="Normal"/>
    <w:autoRedefine/>
    <w:uiPriority w:val="39"/>
    <w:unhideWhenUsed/>
    <w:rsid w:val="00C4130F"/>
    <w:pPr>
      <w:spacing w:after="100"/>
      <w:ind w:left="440"/>
    </w:pPr>
  </w:style>
  <w:style w:type="paragraph" w:styleId="Revision">
    <w:name w:val="Revision"/>
    <w:hidden/>
    <w:uiPriority w:val="99"/>
    <w:semiHidden/>
    <w:rsid w:val="00A661BE"/>
    <w:pPr>
      <w:spacing w:after="0" w:line="240" w:lineRule="auto"/>
    </w:pPr>
  </w:style>
  <w:style w:type="paragraph" w:customStyle="1" w:styleId="msonormal0">
    <w:name w:val="msonormal"/>
    <w:basedOn w:val="Normal"/>
    <w:rsid w:val="009838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9838F8"/>
    <w:pPr>
      <w:spacing w:before="100" w:beforeAutospacing="1" w:after="100" w:afterAutospacing="1" w:line="240" w:lineRule="auto"/>
    </w:pPr>
    <w:rPr>
      <w:rFonts w:ascii="Arial" w:eastAsia="Times New Roman" w:hAnsi="Arial" w:cs="Arial"/>
      <w:sz w:val="24"/>
      <w:szCs w:val="24"/>
      <w:lang w:eastAsia="en-GB"/>
    </w:rPr>
  </w:style>
  <w:style w:type="paragraph" w:customStyle="1" w:styleId="xl64">
    <w:name w:val="xl64"/>
    <w:basedOn w:val="Normal"/>
    <w:rsid w:val="009838F8"/>
    <w:pP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65">
    <w:name w:val="xl65"/>
    <w:basedOn w:val="Normal"/>
    <w:rsid w:val="009838F8"/>
    <w:pPr>
      <w:spacing w:before="100" w:beforeAutospacing="1" w:after="100" w:afterAutospacing="1" w:line="240" w:lineRule="auto"/>
      <w:textAlignment w:val="center"/>
    </w:pPr>
    <w:rPr>
      <w:rFonts w:ascii="Arial" w:eastAsia="Times New Roman" w:hAnsi="Arial" w:cs="Arial"/>
      <w:b/>
      <w:bCs/>
      <w:color w:val="FF0000"/>
      <w:sz w:val="24"/>
      <w:szCs w:val="24"/>
      <w:lang w:eastAsia="en-GB"/>
    </w:rPr>
  </w:style>
  <w:style w:type="paragraph" w:customStyle="1" w:styleId="xl66">
    <w:name w:val="xl66"/>
    <w:basedOn w:val="Normal"/>
    <w:rsid w:val="009838F8"/>
    <w:pP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67">
    <w:name w:val="xl67"/>
    <w:basedOn w:val="Normal"/>
    <w:rsid w:val="009838F8"/>
    <w:pP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68">
    <w:name w:val="xl68"/>
    <w:basedOn w:val="Normal"/>
    <w:rsid w:val="009838F8"/>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69">
    <w:name w:val="xl69"/>
    <w:basedOn w:val="Normal"/>
    <w:rsid w:val="009838F8"/>
    <w:pPr>
      <w:spacing w:before="100" w:beforeAutospacing="1" w:after="100" w:afterAutospacing="1" w:line="240" w:lineRule="auto"/>
    </w:pPr>
    <w:rPr>
      <w:rFonts w:ascii="Arial" w:eastAsia="Times New Roman" w:hAnsi="Arial" w:cs="Arial"/>
      <w:sz w:val="24"/>
      <w:szCs w:val="24"/>
      <w:lang w:eastAsia="en-GB"/>
    </w:rPr>
  </w:style>
  <w:style w:type="paragraph" w:customStyle="1" w:styleId="xl70">
    <w:name w:val="xl70"/>
    <w:basedOn w:val="Normal"/>
    <w:rsid w:val="009838F8"/>
    <w:pP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1">
    <w:name w:val="xl71"/>
    <w:basedOn w:val="Normal"/>
    <w:rsid w:val="009838F8"/>
    <w:pPr>
      <w:spacing w:before="100" w:beforeAutospacing="1" w:after="100" w:afterAutospacing="1" w:line="240" w:lineRule="auto"/>
    </w:pPr>
    <w:rPr>
      <w:rFonts w:ascii="Arial" w:eastAsia="Times New Roman" w:hAnsi="Arial" w:cs="Arial"/>
      <w:sz w:val="24"/>
      <w:szCs w:val="24"/>
      <w:lang w:eastAsia="en-GB"/>
    </w:rPr>
  </w:style>
  <w:style w:type="paragraph" w:customStyle="1" w:styleId="xl72">
    <w:name w:val="xl72"/>
    <w:basedOn w:val="Normal"/>
    <w:rsid w:val="009838F8"/>
    <w:pPr>
      <w:spacing w:before="100" w:beforeAutospacing="1" w:after="100" w:afterAutospacing="1" w:line="240" w:lineRule="auto"/>
    </w:pPr>
    <w:rPr>
      <w:rFonts w:ascii="Arial" w:eastAsia="Times New Roman" w:hAnsi="Arial" w:cs="Arial"/>
      <w:sz w:val="24"/>
      <w:szCs w:val="24"/>
      <w:lang w:eastAsia="en-GB"/>
    </w:rPr>
  </w:style>
  <w:style w:type="paragraph" w:customStyle="1" w:styleId="xl73">
    <w:name w:val="xl73"/>
    <w:basedOn w:val="Normal"/>
    <w:rsid w:val="009838F8"/>
    <w:pPr>
      <w:spacing w:before="100" w:beforeAutospacing="1" w:after="100" w:afterAutospacing="1" w:line="240" w:lineRule="auto"/>
    </w:pPr>
    <w:rPr>
      <w:rFonts w:ascii="Arial" w:eastAsia="Times New Roman" w:hAnsi="Arial" w:cs="Arial"/>
      <w:sz w:val="20"/>
      <w:szCs w:val="20"/>
      <w:lang w:eastAsia="en-GB"/>
    </w:rPr>
  </w:style>
  <w:style w:type="paragraph" w:customStyle="1" w:styleId="xl74">
    <w:name w:val="xl74"/>
    <w:basedOn w:val="Normal"/>
    <w:rsid w:val="009838F8"/>
    <w:pPr>
      <w:spacing w:before="100" w:beforeAutospacing="1" w:after="100" w:afterAutospacing="1" w:line="240" w:lineRule="auto"/>
    </w:pPr>
    <w:rPr>
      <w:rFonts w:ascii="Arial" w:eastAsia="Times New Roman" w:hAnsi="Arial" w:cs="Arial"/>
      <w:sz w:val="20"/>
      <w:szCs w:val="20"/>
      <w:lang w:eastAsia="en-GB"/>
    </w:rPr>
  </w:style>
  <w:style w:type="paragraph" w:customStyle="1" w:styleId="xl75">
    <w:name w:val="xl75"/>
    <w:basedOn w:val="Normal"/>
    <w:rsid w:val="009838F8"/>
    <w:pPr>
      <w:spacing w:before="100" w:beforeAutospacing="1" w:after="100" w:afterAutospacing="1" w:line="240" w:lineRule="auto"/>
    </w:pPr>
    <w:rPr>
      <w:rFonts w:ascii="Arial" w:eastAsia="Times New Roman" w:hAnsi="Arial" w:cs="Arial"/>
      <w:sz w:val="24"/>
      <w:szCs w:val="24"/>
      <w:lang w:eastAsia="en-GB"/>
    </w:rPr>
  </w:style>
  <w:style w:type="paragraph" w:customStyle="1" w:styleId="xl76">
    <w:name w:val="xl76"/>
    <w:basedOn w:val="Normal"/>
    <w:rsid w:val="009838F8"/>
    <w:pPr>
      <w:spacing w:before="100" w:beforeAutospacing="1" w:after="100" w:afterAutospacing="1" w:line="240" w:lineRule="auto"/>
    </w:pPr>
    <w:rPr>
      <w:rFonts w:ascii="Arial" w:eastAsia="Times New Roman" w:hAnsi="Arial" w:cs="Arial"/>
      <w:sz w:val="24"/>
      <w:szCs w:val="24"/>
      <w:lang w:eastAsia="en-GB"/>
    </w:rPr>
  </w:style>
  <w:style w:type="paragraph" w:customStyle="1" w:styleId="xl77">
    <w:name w:val="xl77"/>
    <w:basedOn w:val="Normal"/>
    <w:rsid w:val="009838F8"/>
    <w:pPr>
      <w:pBdr>
        <w:left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78">
    <w:name w:val="xl78"/>
    <w:basedOn w:val="Normal"/>
    <w:rsid w:val="009838F8"/>
    <w:pPr>
      <w:spacing w:before="100" w:beforeAutospacing="1" w:after="100" w:afterAutospacing="1" w:line="240" w:lineRule="auto"/>
    </w:pPr>
    <w:rPr>
      <w:rFonts w:ascii="Arial" w:eastAsia="Times New Roman" w:hAnsi="Arial" w:cs="Arial"/>
      <w:sz w:val="24"/>
      <w:szCs w:val="24"/>
      <w:lang w:eastAsia="en-GB"/>
    </w:rPr>
  </w:style>
  <w:style w:type="paragraph" w:customStyle="1" w:styleId="xl79">
    <w:name w:val="xl79"/>
    <w:basedOn w:val="Normal"/>
    <w:rsid w:val="009838F8"/>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80">
    <w:name w:val="xl80"/>
    <w:basedOn w:val="Normal"/>
    <w:rsid w:val="00716897"/>
    <w:pPr>
      <w:spacing w:before="100" w:beforeAutospacing="1" w:after="100" w:afterAutospacing="1" w:line="240" w:lineRule="auto"/>
    </w:pPr>
    <w:rPr>
      <w:rFonts w:ascii="Arial" w:eastAsia="Times New Roman" w:hAnsi="Arial" w:cs="Arial"/>
      <w:color w:val="FF0000"/>
      <w:sz w:val="24"/>
      <w:szCs w:val="24"/>
      <w:lang w:eastAsia="en-GB"/>
    </w:rPr>
  </w:style>
  <w:style w:type="paragraph" w:customStyle="1" w:styleId="xl81">
    <w:name w:val="xl81"/>
    <w:basedOn w:val="Normal"/>
    <w:rsid w:val="00716897"/>
    <w:pPr>
      <w:pBdr>
        <w:top w:val="single" w:sz="4" w:space="0" w:color="D9D9D9"/>
        <w:left w:val="single" w:sz="4" w:space="0" w:color="D9D9D9"/>
        <w:right w:val="single" w:sz="4" w:space="0" w:color="D9D9D9"/>
      </w:pBdr>
      <w:spacing w:before="100" w:beforeAutospacing="1" w:after="100" w:afterAutospacing="1" w:line="240" w:lineRule="auto"/>
    </w:pPr>
    <w:rPr>
      <w:rFonts w:ascii="Arial" w:eastAsia="Times New Roman" w:hAnsi="Arial" w:cs="Arial"/>
      <w:sz w:val="24"/>
      <w:szCs w:val="24"/>
      <w:lang w:eastAsia="en-GB"/>
    </w:rPr>
  </w:style>
  <w:style w:type="paragraph" w:customStyle="1" w:styleId="xl82">
    <w:name w:val="xl82"/>
    <w:basedOn w:val="Normal"/>
    <w:rsid w:val="00716897"/>
    <w:pPr>
      <w:pBdr>
        <w:top w:val="single" w:sz="4" w:space="0" w:color="D9D9D9"/>
        <w:left w:val="single" w:sz="4" w:space="0" w:color="D9D9D9"/>
        <w:bottom w:val="single" w:sz="4" w:space="0" w:color="D9D9D9"/>
      </w:pBdr>
      <w:spacing w:before="100" w:beforeAutospacing="1" w:after="100" w:afterAutospacing="1" w:line="240" w:lineRule="auto"/>
    </w:pPr>
    <w:rPr>
      <w:rFonts w:ascii="Arial" w:eastAsia="Times New Roman" w:hAnsi="Arial" w:cs="Arial"/>
      <w:sz w:val="24"/>
      <w:szCs w:val="24"/>
      <w:lang w:eastAsia="en-GB"/>
    </w:rPr>
  </w:style>
  <w:style w:type="paragraph" w:customStyle="1" w:styleId="xl83">
    <w:name w:val="xl83"/>
    <w:basedOn w:val="Normal"/>
    <w:rsid w:val="00716897"/>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4">
    <w:name w:val="xl84"/>
    <w:basedOn w:val="Normal"/>
    <w:rsid w:val="00716897"/>
    <w:pPr>
      <w:pBdr>
        <w:left w:val="single" w:sz="4" w:space="0" w:color="D9D9D9"/>
        <w:bottom w:val="single" w:sz="4" w:space="0" w:color="D9D9D9"/>
        <w:right w:val="single" w:sz="4" w:space="0" w:color="D9D9D9"/>
      </w:pBdr>
      <w:spacing w:before="100" w:beforeAutospacing="1" w:after="100" w:afterAutospacing="1" w:line="240" w:lineRule="auto"/>
    </w:pPr>
    <w:rPr>
      <w:rFonts w:ascii="Arial" w:eastAsia="Times New Roman" w:hAnsi="Arial" w:cs="Arial"/>
      <w:sz w:val="24"/>
      <w:szCs w:val="24"/>
      <w:lang w:eastAsia="en-GB"/>
    </w:rPr>
  </w:style>
  <w:style w:type="paragraph" w:customStyle="1" w:styleId="xl85">
    <w:name w:val="xl85"/>
    <w:basedOn w:val="Normal"/>
    <w:rsid w:val="00716897"/>
    <w:pPr>
      <w:spacing w:before="100" w:beforeAutospacing="1" w:after="100" w:afterAutospacing="1" w:line="240" w:lineRule="auto"/>
    </w:pPr>
    <w:rPr>
      <w:rFonts w:ascii="Arial" w:eastAsia="Times New Roman" w:hAnsi="Arial" w:cs="Arial"/>
      <w:color w:val="FF0000"/>
      <w:sz w:val="24"/>
      <w:szCs w:val="24"/>
      <w:lang w:eastAsia="en-GB"/>
    </w:rPr>
  </w:style>
  <w:style w:type="paragraph" w:customStyle="1" w:styleId="xl86">
    <w:name w:val="xl86"/>
    <w:basedOn w:val="Normal"/>
    <w:rsid w:val="00716897"/>
    <w:pPr>
      <w:spacing w:before="100" w:beforeAutospacing="1" w:after="100" w:afterAutospacing="1" w:line="240" w:lineRule="auto"/>
    </w:pPr>
    <w:rPr>
      <w:rFonts w:ascii="Arial" w:eastAsia="Times New Roman" w:hAnsi="Arial" w:cs="Arial"/>
      <w:b/>
      <w:bCs/>
      <w:color w:val="FF0000"/>
      <w:sz w:val="24"/>
      <w:szCs w:val="24"/>
      <w:lang w:eastAsia="en-GB"/>
    </w:rPr>
  </w:style>
  <w:style w:type="paragraph" w:customStyle="1" w:styleId="xl87">
    <w:name w:val="xl87"/>
    <w:basedOn w:val="Normal"/>
    <w:rsid w:val="00E31091"/>
    <w:pPr>
      <w:spacing w:before="100" w:beforeAutospacing="1" w:after="100" w:afterAutospacing="1" w:line="240" w:lineRule="auto"/>
    </w:pPr>
    <w:rPr>
      <w:rFonts w:ascii="Arial" w:eastAsia="Times New Roman" w:hAnsi="Arial" w:cs="Arial"/>
      <w:sz w:val="24"/>
      <w:szCs w:val="24"/>
      <w:lang w:eastAsia="en-GB"/>
    </w:rPr>
  </w:style>
  <w:style w:type="paragraph" w:customStyle="1" w:styleId="xl88">
    <w:name w:val="xl88"/>
    <w:basedOn w:val="Normal"/>
    <w:rsid w:val="00E31091"/>
    <w:pPr>
      <w:pBdr>
        <w:left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n-GB"/>
    </w:rPr>
  </w:style>
  <w:style w:type="character" w:customStyle="1" w:styleId="textlayer--absolute">
    <w:name w:val="textlayer--absolute"/>
    <w:basedOn w:val="DefaultParagraphFont"/>
    <w:rsid w:val="0082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853">
      <w:bodyDiv w:val="1"/>
      <w:marLeft w:val="0"/>
      <w:marRight w:val="0"/>
      <w:marTop w:val="0"/>
      <w:marBottom w:val="0"/>
      <w:divBdr>
        <w:top w:val="none" w:sz="0" w:space="0" w:color="auto"/>
        <w:left w:val="none" w:sz="0" w:space="0" w:color="auto"/>
        <w:bottom w:val="none" w:sz="0" w:space="0" w:color="auto"/>
        <w:right w:val="none" w:sz="0" w:space="0" w:color="auto"/>
      </w:divBdr>
    </w:div>
    <w:div w:id="50931820">
      <w:bodyDiv w:val="1"/>
      <w:marLeft w:val="0"/>
      <w:marRight w:val="0"/>
      <w:marTop w:val="0"/>
      <w:marBottom w:val="0"/>
      <w:divBdr>
        <w:top w:val="none" w:sz="0" w:space="0" w:color="auto"/>
        <w:left w:val="none" w:sz="0" w:space="0" w:color="auto"/>
        <w:bottom w:val="none" w:sz="0" w:space="0" w:color="auto"/>
        <w:right w:val="none" w:sz="0" w:space="0" w:color="auto"/>
      </w:divBdr>
    </w:div>
    <w:div w:id="57947231">
      <w:bodyDiv w:val="1"/>
      <w:marLeft w:val="0"/>
      <w:marRight w:val="0"/>
      <w:marTop w:val="0"/>
      <w:marBottom w:val="0"/>
      <w:divBdr>
        <w:top w:val="none" w:sz="0" w:space="0" w:color="auto"/>
        <w:left w:val="none" w:sz="0" w:space="0" w:color="auto"/>
        <w:bottom w:val="none" w:sz="0" w:space="0" w:color="auto"/>
        <w:right w:val="none" w:sz="0" w:space="0" w:color="auto"/>
      </w:divBdr>
      <w:divsChild>
        <w:div w:id="160241433">
          <w:marLeft w:val="0"/>
          <w:marRight w:val="0"/>
          <w:marTop w:val="0"/>
          <w:marBottom w:val="0"/>
          <w:divBdr>
            <w:top w:val="none" w:sz="0" w:space="0" w:color="auto"/>
            <w:left w:val="none" w:sz="0" w:space="0" w:color="auto"/>
            <w:bottom w:val="none" w:sz="0" w:space="0" w:color="auto"/>
            <w:right w:val="none" w:sz="0" w:space="0" w:color="auto"/>
          </w:divBdr>
        </w:div>
        <w:div w:id="852844204">
          <w:marLeft w:val="0"/>
          <w:marRight w:val="0"/>
          <w:marTop w:val="0"/>
          <w:marBottom w:val="0"/>
          <w:divBdr>
            <w:top w:val="none" w:sz="0" w:space="0" w:color="auto"/>
            <w:left w:val="none" w:sz="0" w:space="0" w:color="auto"/>
            <w:bottom w:val="none" w:sz="0" w:space="0" w:color="auto"/>
            <w:right w:val="none" w:sz="0" w:space="0" w:color="auto"/>
          </w:divBdr>
        </w:div>
      </w:divsChild>
    </w:div>
    <w:div w:id="99226008">
      <w:bodyDiv w:val="1"/>
      <w:marLeft w:val="0"/>
      <w:marRight w:val="0"/>
      <w:marTop w:val="0"/>
      <w:marBottom w:val="0"/>
      <w:divBdr>
        <w:top w:val="none" w:sz="0" w:space="0" w:color="auto"/>
        <w:left w:val="none" w:sz="0" w:space="0" w:color="auto"/>
        <w:bottom w:val="none" w:sz="0" w:space="0" w:color="auto"/>
        <w:right w:val="none" w:sz="0" w:space="0" w:color="auto"/>
      </w:divBdr>
    </w:div>
    <w:div w:id="123818362">
      <w:bodyDiv w:val="1"/>
      <w:marLeft w:val="0"/>
      <w:marRight w:val="0"/>
      <w:marTop w:val="0"/>
      <w:marBottom w:val="0"/>
      <w:divBdr>
        <w:top w:val="none" w:sz="0" w:space="0" w:color="auto"/>
        <w:left w:val="none" w:sz="0" w:space="0" w:color="auto"/>
        <w:bottom w:val="none" w:sz="0" w:space="0" w:color="auto"/>
        <w:right w:val="none" w:sz="0" w:space="0" w:color="auto"/>
      </w:divBdr>
    </w:div>
    <w:div w:id="140463125">
      <w:bodyDiv w:val="1"/>
      <w:marLeft w:val="0"/>
      <w:marRight w:val="0"/>
      <w:marTop w:val="0"/>
      <w:marBottom w:val="0"/>
      <w:divBdr>
        <w:top w:val="none" w:sz="0" w:space="0" w:color="auto"/>
        <w:left w:val="none" w:sz="0" w:space="0" w:color="auto"/>
        <w:bottom w:val="none" w:sz="0" w:space="0" w:color="auto"/>
        <w:right w:val="none" w:sz="0" w:space="0" w:color="auto"/>
      </w:divBdr>
    </w:div>
    <w:div w:id="222914156">
      <w:bodyDiv w:val="1"/>
      <w:marLeft w:val="0"/>
      <w:marRight w:val="0"/>
      <w:marTop w:val="0"/>
      <w:marBottom w:val="0"/>
      <w:divBdr>
        <w:top w:val="none" w:sz="0" w:space="0" w:color="auto"/>
        <w:left w:val="none" w:sz="0" w:space="0" w:color="auto"/>
        <w:bottom w:val="none" w:sz="0" w:space="0" w:color="auto"/>
        <w:right w:val="none" w:sz="0" w:space="0" w:color="auto"/>
      </w:divBdr>
    </w:div>
    <w:div w:id="226696194">
      <w:bodyDiv w:val="1"/>
      <w:marLeft w:val="0"/>
      <w:marRight w:val="0"/>
      <w:marTop w:val="0"/>
      <w:marBottom w:val="0"/>
      <w:divBdr>
        <w:top w:val="none" w:sz="0" w:space="0" w:color="auto"/>
        <w:left w:val="none" w:sz="0" w:space="0" w:color="auto"/>
        <w:bottom w:val="none" w:sz="0" w:space="0" w:color="auto"/>
        <w:right w:val="none" w:sz="0" w:space="0" w:color="auto"/>
      </w:divBdr>
      <w:divsChild>
        <w:div w:id="97257597">
          <w:marLeft w:val="806"/>
          <w:marRight w:val="0"/>
          <w:marTop w:val="125"/>
          <w:marBottom w:val="0"/>
          <w:divBdr>
            <w:top w:val="none" w:sz="0" w:space="0" w:color="auto"/>
            <w:left w:val="none" w:sz="0" w:space="0" w:color="auto"/>
            <w:bottom w:val="none" w:sz="0" w:space="0" w:color="auto"/>
            <w:right w:val="none" w:sz="0" w:space="0" w:color="auto"/>
          </w:divBdr>
        </w:div>
        <w:div w:id="496925010">
          <w:marLeft w:val="806"/>
          <w:marRight w:val="0"/>
          <w:marTop w:val="125"/>
          <w:marBottom w:val="0"/>
          <w:divBdr>
            <w:top w:val="none" w:sz="0" w:space="0" w:color="auto"/>
            <w:left w:val="none" w:sz="0" w:space="0" w:color="auto"/>
            <w:bottom w:val="none" w:sz="0" w:space="0" w:color="auto"/>
            <w:right w:val="none" w:sz="0" w:space="0" w:color="auto"/>
          </w:divBdr>
        </w:div>
        <w:div w:id="915169027">
          <w:marLeft w:val="806"/>
          <w:marRight w:val="0"/>
          <w:marTop w:val="125"/>
          <w:marBottom w:val="0"/>
          <w:divBdr>
            <w:top w:val="none" w:sz="0" w:space="0" w:color="auto"/>
            <w:left w:val="none" w:sz="0" w:space="0" w:color="auto"/>
            <w:bottom w:val="none" w:sz="0" w:space="0" w:color="auto"/>
            <w:right w:val="none" w:sz="0" w:space="0" w:color="auto"/>
          </w:divBdr>
        </w:div>
        <w:div w:id="1877698981">
          <w:marLeft w:val="806"/>
          <w:marRight w:val="0"/>
          <w:marTop w:val="125"/>
          <w:marBottom w:val="0"/>
          <w:divBdr>
            <w:top w:val="none" w:sz="0" w:space="0" w:color="auto"/>
            <w:left w:val="none" w:sz="0" w:space="0" w:color="auto"/>
            <w:bottom w:val="none" w:sz="0" w:space="0" w:color="auto"/>
            <w:right w:val="none" w:sz="0" w:space="0" w:color="auto"/>
          </w:divBdr>
        </w:div>
        <w:div w:id="359014502">
          <w:marLeft w:val="806"/>
          <w:marRight w:val="0"/>
          <w:marTop w:val="125"/>
          <w:marBottom w:val="0"/>
          <w:divBdr>
            <w:top w:val="none" w:sz="0" w:space="0" w:color="auto"/>
            <w:left w:val="none" w:sz="0" w:space="0" w:color="auto"/>
            <w:bottom w:val="none" w:sz="0" w:space="0" w:color="auto"/>
            <w:right w:val="none" w:sz="0" w:space="0" w:color="auto"/>
          </w:divBdr>
        </w:div>
      </w:divsChild>
    </w:div>
    <w:div w:id="257298052">
      <w:bodyDiv w:val="1"/>
      <w:marLeft w:val="0"/>
      <w:marRight w:val="0"/>
      <w:marTop w:val="0"/>
      <w:marBottom w:val="0"/>
      <w:divBdr>
        <w:top w:val="none" w:sz="0" w:space="0" w:color="auto"/>
        <w:left w:val="none" w:sz="0" w:space="0" w:color="auto"/>
        <w:bottom w:val="none" w:sz="0" w:space="0" w:color="auto"/>
        <w:right w:val="none" w:sz="0" w:space="0" w:color="auto"/>
      </w:divBdr>
    </w:div>
    <w:div w:id="307981880">
      <w:bodyDiv w:val="1"/>
      <w:marLeft w:val="0"/>
      <w:marRight w:val="0"/>
      <w:marTop w:val="0"/>
      <w:marBottom w:val="0"/>
      <w:divBdr>
        <w:top w:val="none" w:sz="0" w:space="0" w:color="auto"/>
        <w:left w:val="none" w:sz="0" w:space="0" w:color="auto"/>
        <w:bottom w:val="none" w:sz="0" w:space="0" w:color="auto"/>
        <w:right w:val="none" w:sz="0" w:space="0" w:color="auto"/>
      </w:divBdr>
    </w:div>
    <w:div w:id="322662857">
      <w:bodyDiv w:val="1"/>
      <w:marLeft w:val="0"/>
      <w:marRight w:val="0"/>
      <w:marTop w:val="0"/>
      <w:marBottom w:val="0"/>
      <w:divBdr>
        <w:top w:val="none" w:sz="0" w:space="0" w:color="auto"/>
        <w:left w:val="none" w:sz="0" w:space="0" w:color="auto"/>
        <w:bottom w:val="none" w:sz="0" w:space="0" w:color="auto"/>
        <w:right w:val="none" w:sz="0" w:space="0" w:color="auto"/>
      </w:divBdr>
    </w:div>
    <w:div w:id="332296939">
      <w:bodyDiv w:val="1"/>
      <w:marLeft w:val="0"/>
      <w:marRight w:val="0"/>
      <w:marTop w:val="0"/>
      <w:marBottom w:val="0"/>
      <w:divBdr>
        <w:top w:val="none" w:sz="0" w:space="0" w:color="auto"/>
        <w:left w:val="none" w:sz="0" w:space="0" w:color="auto"/>
        <w:bottom w:val="none" w:sz="0" w:space="0" w:color="auto"/>
        <w:right w:val="none" w:sz="0" w:space="0" w:color="auto"/>
      </w:divBdr>
    </w:div>
    <w:div w:id="399863366">
      <w:bodyDiv w:val="1"/>
      <w:marLeft w:val="0"/>
      <w:marRight w:val="0"/>
      <w:marTop w:val="0"/>
      <w:marBottom w:val="0"/>
      <w:divBdr>
        <w:top w:val="none" w:sz="0" w:space="0" w:color="auto"/>
        <w:left w:val="none" w:sz="0" w:space="0" w:color="auto"/>
        <w:bottom w:val="none" w:sz="0" w:space="0" w:color="auto"/>
        <w:right w:val="none" w:sz="0" w:space="0" w:color="auto"/>
      </w:divBdr>
    </w:div>
    <w:div w:id="435095944">
      <w:bodyDiv w:val="1"/>
      <w:marLeft w:val="0"/>
      <w:marRight w:val="0"/>
      <w:marTop w:val="0"/>
      <w:marBottom w:val="0"/>
      <w:divBdr>
        <w:top w:val="none" w:sz="0" w:space="0" w:color="auto"/>
        <w:left w:val="none" w:sz="0" w:space="0" w:color="auto"/>
        <w:bottom w:val="none" w:sz="0" w:space="0" w:color="auto"/>
        <w:right w:val="none" w:sz="0" w:space="0" w:color="auto"/>
      </w:divBdr>
      <w:divsChild>
        <w:div w:id="946738725">
          <w:marLeft w:val="547"/>
          <w:marRight w:val="0"/>
          <w:marTop w:val="134"/>
          <w:marBottom w:val="0"/>
          <w:divBdr>
            <w:top w:val="none" w:sz="0" w:space="0" w:color="auto"/>
            <w:left w:val="none" w:sz="0" w:space="0" w:color="auto"/>
            <w:bottom w:val="none" w:sz="0" w:space="0" w:color="auto"/>
            <w:right w:val="none" w:sz="0" w:space="0" w:color="auto"/>
          </w:divBdr>
        </w:div>
        <w:div w:id="1478380166">
          <w:marLeft w:val="547"/>
          <w:marRight w:val="0"/>
          <w:marTop w:val="134"/>
          <w:marBottom w:val="0"/>
          <w:divBdr>
            <w:top w:val="none" w:sz="0" w:space="0" w:color="auto"/>
            <w:left w:val="none" w:sz="0" w:space="0" w:color="auto"/>
            <w:bottom w:val="none" w:sz="0" w:space="0" w:color="auto"/>
            <w:right w:val="none" w:sz="0" w:space="0" w:color="auto"/>
          </w:divBdr>
        </w:div>
        <w:div w:id="387068987">
          <w:marLeft w:val="547"/>
          <w:marRight w:val="0"/>
          <w:marTop w:val="134"/>
          <w:marBottom w:val="0"/>
          <w:divBdr>
            <w:top w:val="none" w:sz="0" w:space="0" w:color="auto"/>
            <w:left w:val="none" w:sz="0" w:space="0" w:color="auto"/>
            <w:bottom w:val="none" w:sz="0" w:space="0" w:color="auto"/>
            <w:right w:val="none" w:sz="0" w:space="0" w:color="auto"/>
          </w:divBdr>
        </w:div>
        <w:div w:id="70978792">
          <w:marLeft w:val="547"/>
          <w:marRight w:val="0"/>
          <w:marTop w:val="134"/>
          <w:marBottom w:val="0"/>
          <w:divBdr>
            <w:top w:val="none" w:sz="0" w:space="0" w:color="auto"/>
            <w:left w:val="none" w:sz="0" w:space="0" w:color="auto"/>
            <w:bottom w:val="none" w:sz="0" w:space="0" w:color="auto"/>
            <w:right w:val="none" w:sz="0" w:space="0" w:color="auto"/>
          </w:divBdr>
        </w:div>
      </w:divsChild>
    </w:div>
    <w:div w:id="472479612">
      <w:bodyDiv w:val="1"/>
      <w:marLeft w:val="0"/>
      <w:marRight w:val="0"/>
      <w:marTop w:val="0"/>
      <w:marBottom w:val="0"/>
      <w:divBdr>
        <w:top w:val="none" w:sz="0" w:space="0" w:color="auto"/>
        <w:left w:val="none" w:sz="0" w:space="0" w:color="auto"/>
        <w:bottom w:val="none" w:sz="0" w:space="0" w:color="auto"/>
        <w:right w:val="none" w:sz="0" w:space="0" w:color="auto"/>
      </w:divBdr>
      <w:divsChild>
        <w:div w:id="683557701">
          <w:marLeft w:val="547"/>
          <w:marRight w:val="0"/>
          <w:marTop w:val="173"/>
          <w:marBottom w:val="0"/>
          <w:divBdr>
            <w:top w:val="none" w:sz="0" w:space="0" w:color="auto"/>
            <w:left w:val="none" w:sz="0" w:space="0" w:color="auto"/>
            <w:bottom w:val="none" w:sz="0" w:space="0" w:color="auto"/>
            <w:right w:val="none" w:sz="0" w:space="0" w:color="auto"/>
          </w:divBdr>
        </w:div>
        <w:div w:id="1376276392">
          <w:marLeft w:val="547"/>
          <w:marRight w:val="0"/>
          <w:marTop w:val="173"/>
          <w:marBottom w:val="0"/>
          <w:divBdr>
            <w:top w:val="none" w:sz="0" w:space="0" w:color="auto"/>
            <w:left w:val="none" w:sz="0" w:space="0" w:color="auto"/>
            <w:bottom w:val="none" w:sz="0" w:space="0" w:color="auto"/>
            <w:right w:val="none" w:sz="0" w:space="0" w:color="auto"/>
          </w:divBdr>
        </w:div>
        <w:div w:id="526412711">
          <w:marLeft w:val="547"/>
          <w:marRight w:val="0"/>
          <w:marTop w:val="173"/>
          <w:marBottom w:val="0"/>
          <w:divBdr>
            <w:top w:val="none" w:sz="0" w:space="0" w:color="auto"/>
            <w:left w:val="none" w:sz="0" w:space="0" w:color="auto"/>
            <w:bottom w:val="none" w:sz="0" w:space="0" w:color="auto"/>
            <w:right w:val="none" w:sz="0" w:space="0" w:color="auto"/>
          </w:divBdr>
        </w:div>
        <w:div w:id="961569948">
          <w:marLeft w:val="547"/>
          <w:marRight w:val="0"/>
          <w:marTop w:val="173"/>
          <w:marBottom w:val="0"/>
          <w:divBdr>
            <w:top w:val="none" w:sz="0" w:space="0" w:color="auto"/>
            <w:left w:val="none" w:sz="0" w:space="0" w:color="auto"/>
            <w:bottom w:val="none" w:sz="0" w:space="0" w:color="auto"/>
            <w:right w:val="none" w:sz="0" w:space="0" w:color="auto"/>
          </w:divBdr>
        </w:div>
        <w:div w:id="1123965709">
          <w:marLeft w:val="547"/>
          <w:marRight w:val="0"/>
          <w:marTop w:val="173"/>
          <w:marBottom w:val="0"/>
          <w:divBdr>
            <w:top w:val="none" w:sz="0" w:space="0" w:color="auto"/>
            <w:left w:val="none" w:sz="0" w:space="0" w:color="auto"/>
            <w:bottom w:val="none" w:sz="0" w:space="0" w:color="auto"/>
            <w:right w:val="none" w:sz="0" w:space="0" w:color="auto"/>
          </w:divBdr>
        </w:div>
      </w:divsChild>
    </w:div>
    <w:div w:id="545946845">
      <w:bodyDiv w:val="1"/>
      <w:marLeft w:val="0"/>
      <w:marRight w:val="0"/>
      <w:marTop w:val="0"/>
      <w:marBottom w:val="0"/>
      <w:divBdr>
        <w:top w:val="none" w:sz="0" w:space="0" w:color="auto"/>
        <w:left w:val="none" w:sz="0" w:space="0" w:color="auto"/>
        <w:bottom w:val="none" w:sz="0" w:space="0" w:color="auto"/>
        <w:right w:val="none" w:sz="0" w:space="0" w:color="auto"/>
      </w:divBdr>
    </w:div>
    <w:div w:id="712845487">
      <w:bodyDiv w:val="1"/>
      <w:marLeft w:val="0"/>
      <w:marRight w:val="0"/>
      <w:marTop w:val="0"/>
      <w:marBottom w:val="0"/>
      <w:divBdr>
        <w:top w:val="none" w:sz="0" w:space="0" w:color="auto"/>
        <w:left w:val="none" w:sz="0" w:space="0" w:color="auto"/>
        <w:bottom w:val="none" w:sz="0" w:space="0" w:color="auto"/>
        <w:right w:val="none" w:sz="0" w:space="0" w:color="auto"/>
      </w:divBdr>
    </w:div>
    <w:div w:id="750011194">
      <w:bodyDiv w:val="1"/>
      <w:marLeft w:val="0"/>
      <w:marRight w:val="0"/>
      <w:marTop w:val="0"/>
      <w:marBottom w:val="0"/>
      <w:divBdr>
        <w:top w:val="none" w:sz="0" w:space="0" w:color="auto"/>
        <w:left w:val="none" w:sz="0" w:space="0" w:color="auto"/>
        <w:bottom w:val="none" w:sz="0" w:space="0" w:color="auto"/>
        <w:right w:val="none" w:sz="0" w:space="0" w:color="auto"/>
      </w:divBdr>
      <w:divsChild>
        <w:div w:id="789982469">
          <w:marLeft w:val="806"/>
          <w:marRight w:val="0"/>
          <w:marTop w:val="134"/>
          <w:marBottom w:val="0"/>
          <w:divBdr>
            <w:top w:val="none" w:sz="0" w:space="0" w:color="auto"/>
            <w:left w:val="none" w:sz="0" w:space="0" w:color="auto"/>
            <w:bottom w:val="none" w:sz="0" w:space="0" w:color="auto"/>
            <w:right w:val="none" w:sz="0" w:space="0" w:color="auto"/>
          </w:divBdr>
        </w:div>
        <w:div w:id="175116711">
          <w:marLeft w:val="806"/>
          <w:marRight w:val="0"/>
          <w:marTop w:val="134"/>
          <w:marBottom w:val="0"/>
          <w:divBdr>
            <w:top w:val="none" w:sz="0" w:space="0" w:color="auto"/>
            <w:left w:val="none" w:sz="0" w:space="0" w:color="auto"/>
            <w:bottom w:val="none" w:sz="0" w:space="0" w:color="auto"/>
            <w:right w:val="none" w:sz="0" w:space="0" w:color="auto"/>
          </w:divBdr>
        </w:div>
        <w:div w:id="769203418">
          <w:marLeft w:val="806"/>
          <w:marRight w:val="0"/>
          <w:marTop w:val="134"/>
          <w:marBottom w:val="0"/>
          <w:divBdr>
            <w:top w:val="none" w:sz="0" w:space="0" w:color="auto"/>
            <w:left w:val="none" w:sz="0" w:space="0" w:color="auto"/>
            <w:bottom w:val="none" w:sz="0" w:space="0" w:color="auto"/>
            <w:right w:val="none" w:sz="0" w:space="0" w:color="auto"/>
          </w:divBdr>
        </w:div>
        <w:div w:id="1161232460">
          <w:marLeft w:val="806"/>
          <w:marRight w:val="0"/>
          <w:marTop w:val="134"/>
          <w:marBottom w:val="0"/>
          <w:divBdr>
            <w:top w:val="none" w:sz="0" w:space="0" w:color="auto"/>
            <w:left w:val="none" w:sz="0" w:space="0" w:color="auto"/>
            <w:bottom w:val="none" w:sz="0" w:space="0" w:color="auto"/>
            <w:right w:val="none" w:sz="0" w:space="0" w:color="auto"/>
          </w:divBdr>
        </w:div>
        <w:div w:id="1979187731">
          <w:marLeft w:val="806"/>
          <w:marRight w:val="0"/>
          <w:marTop w:val="134"/>
          <w:marBottom w:val="0"/>
          <w:divBdr>
            <w:top w:val="none" w:sz="0" w:space="0" w:color="auto"/>
            <w:left w:val="none" w:sz="0" w:space="0" w:color="auto"/>
            <w:bottom w:val="none" w:sz="0" w:space="0" w:color="auto"/>
            <w:right w:val="none" w:sz="0" w:space="0" w:color="auto"/>
          </w:divBdr>
        </w:div>
      </w:divsChild>
    </w:div>
    <w:div w:id="793866371">
      <w:bodyDiv w:val="1"/>
      <w:marLeft w:val="0"/>
      <w:marRight w:val="0"/>
      <w:marTop w:val="0"/>
      <w:marBottom w:val="0"/>
      <w:divBdr>
        <w:top w:val="none" w:sz="0" w:space="0" w:color="auto"/>
        <w:left w:val="none" w:sz="0" w:space="0" w:color="auto"/>
        <w:bottom w:val="none" w:sz="0" w:space="0" w:color="auto"/>
        <w:right w:val="none" w:sz="0" w:space="0" w:color="auto"/>
      </w:divBdr>
    </w:div>
    <w:div w:id="807894350">
      <w:bodyDiv w:val="1"/>
      <w:marLeft w:val="0"/>
      <w:marRight w:val="0"/>
      <w:marTop w:val="0"/>
      <w:marBottom w:val="0"/>
      <w:divBdr>
        <w:top w:val="none" w:sz="0" w:space="0" w:color="auto"/>
        <w:left w:val="none" w:sz="0" w:space="0" w:color="auto"/>
        <w:bottom w:val="none" w:sz="0" w:space="0" w:color="auto"/>
        <w:right w:val="none" w:sz="0" w:space="0" w:color="auto"/>
      </w:divBdr>
    </w:div>
    <w:div w:id="847476291">
      <w:bodyDiv w:val="1"/>
      <w:marLeft w:val="0"/>
      <w:marRight w:val="0"/>
      <w:marTop w:val="0"/>
      <w:marBottom w:val="0"/>
      <w:divBdr>
        <w:top w:val="none" w:sz="0" w:space="0" w:color="auto"/>
        <w:left w:val="none" w:sz="0" w:space="0" w:color="auto"/>
        <w:bottom w:val="none" w:sz="0" w:space="0" w:color="auto"/>
        <w:right w:val="none" w:sz="0" w:space="0" w:color="auto"/>
      </w:divBdr>
    </w:div>
    <w:div w:id="908466351">
      <w:bodyDiv w:val="1"/>
      <w:marLeft w:val="0"/>
      <w:marRight w:val="0"/>
      <w:marTop w:val="0"/>
      <w:marBottom w:val="0"/>
      <w:divBdr>
        <w:top w:val="none" w:sz="0" w:space="0" w:color="auto"/>
        <w:left w:val="none" w:sz="0" w:space="0" w:color="auto"/>
        <w:bottom w:val="none" w:sz="0" w:space="0" w:color="auto"/>
        <w:right w:val="none" w:sz="0" w:space="0" w:color="auto"/>
      </w:divBdr>
    </w:div>
    <w:div w:id="944464277">
      <w:bodyDiv w:val="1"/>
      <w:marLeft w:val="0"/>
      <w:marRight w:val="0"/>
      <w:marTop w:val="0"/>
      <w:marBottom w:val="0"/>
      <w:divBdr>
        <w:top w:val="none" w:sz="0" w:space="0" w:color="auto"/>
        <w:left w:val="none" w:sz="0" w:space="0" w:color="auto"/>
        <w:bottom w:val="none" w:sz="0" w:space="0" w:color="auto"/>
        <w:right w:val="none" w:sz="0" w:space="0" w:color="auto"/>
      </w:divBdr>
    </w:div>
    <w:div w:id="962030490">
      <w:bodyDiv w:val="1"/>
      <w:marLeft w:val="0"/>
      <w:marRight w:val="0"/>
      <w:marTop w:val="0"/>
      <w:marBottom w:val="0"/>
      <w:divBdr>
        <w:top w:val="none" w:sz="0" w:space="0" w:color="auto"/>
        <w:left w:val="none" w:sz="0" w:space="0" w:color="auto"/>
        <w:bottom w:val="none" w:sz="0" w:space="0" w:color="auto"/>
        <w:right w:val="none" w:sz="0" w:space="0" w:color="auto"/>
      </w:divBdr>
    </w:div>
    <w:div w:id="967660412">
      <w:bodyDiv w:val="1"/>
      <w:marLeft w:val="0"/>
      <w:marRight w:val="0"/>
      <w:marTop w:val="0"/>
      <w:marBottom w:val="0"/>
      <w:divBdr>
        <w:top w:val="none" w:sz="0" w:space="0" w:color="auto"/>
        <w:left w:val="none" w:sz="0" w:space="0" w:color="auto"/>
        <w:bottom w:val="none" w:sz="0" w:space="0" w:color="auto"/>
        <w:right w:val="none" w:sz="0" w:space="0" w:color="auto"/>
      </w:divBdr>
      <w:divsChild>
        <w:div w:id="932319963">
          <w:marLeft w:val="806"/>
          <w:marRight w:val="0"/>
          <w:marTop w:val="134"/>
          <w:marBottom w:val="0"/>
          <w:divBdr>
            <w:top w:val="none" w:sz="0" w:space="0" w:color="auto"/>
            <w:left w:val="none" w:sz="0" w:space="0" w:color="auto"/>
            <w:bottom w:val="none" w:sz="0" w:space="0" w:color="auto"/>
            <w:right w:val="none" w:sz="0" w:space="0" w:color="auto"/>
          </w:divBdr>
        </w:div>
        <w:div w:id="1449426111">
          <w:marLeft w:val="806"/>
          <w:marRight w:val="0"/>
          <w:marTop w:val="134"/>
          <w:marBottom w:val="0"/>
          <w:divBdr>
            <w:top w:val="none" w:sz="0" w:space="0" w:color="auto"/>
            <w:left w:val="none" w:sz="0" w:space="0" w:color="auto"/>
            <w:bottom w:val="none" w:sz="0" w:space="0" w:color="auto"/>
            <w:right w:val="none" w:sz="0" w:space="0" w:color="auto"/>
          </w:divBdr>
        </w:div>
        <w:div w:id="1941064327">
          <w:marLeft w:val="806"/>
          <w:marRight w:val="0"/>
          <w:marTop w:val="134"/>
          <w:marBottom w:val="0"/>
          <w:divBdr>
            <w:top w:val="none" w:sz="0" w:space="0" w:color="auto"/>
            <w:left w:val="none" w:sz="0" w:space="0" w:color="auto"/>
            <w:bottom w:val="none" w:sz="0" w:space="0" w:color="auto"/>
            <w:right w:val="none" w:sz="0" w:space="0" w:color="auto"/>
          </w:divBdr>
        </w:div>
        <w:div w:id="2007006258">
          <w:marLeft w:val="806"/>
          <w:marRight w:val="0"/>
          <w:marTop w:val="134"/>
          <w:marBottom w:val="0"/>
          <w:divBdr>
            <w:top w:val="none" w:sz="0" w:space="0" w:color="auto"/>
            <w:left w:val="none" w:sz="0" w:space="0" w:color="auto"/>
            <w:bottom w:val="none" w:sz="0" w:space="0" w:color="auto"/>
            <w:right w:val="none" w:sz="0" w:space="0" w:color="auto"/>
          </w:divBdr>
        </w:div>
        <w:div w:id="1402018412">
          <w:marLeft w:val="806"/>
          <w:marRight w:val="0"/>
          <w:marTop w:val="134"/>
          <w:marBottom w:val="0"/>
          <w:divBdr>
            <w:top w:val="none" w:sz="0" w:space="0" w:color="auto"/>
            <w:left w:val="none" w:sz="0" w:space="0" w:color="auto"/>
            <w:bottom w:val="none" w:sz="0" w:space="0" w:color="auto"/>
            <w:right w:val="none" w:sz="0" w:space="0" w:color="auto"/>
          </w:divBdr>
        </w:div>
      </w:divsChild>
    </w:div>
    <w:div w:id="968898138">
      <w:bodyDiv w:val="1"/>
      <w:marLeft w:val="0"/>
      <w:marRight w:val="0"/>
      <w:marTop w:val="0"/>
      <w:marBottom w:val="0"/>
      <w:divBdr>
        <w:top w:val="none" w:sz="0" w:space="0" w:color="auto"/>
        <w:left w:val="none" w:sz="0" w:space="0" w:color="auto"/>
        <w:bottom w:val="none" w:sz="0" w:space="0" w:color="auto"/>
        <w:right w:val="none" w:sz="0" w:space="0" w:color="auto"/>
      </w:divBdr>
      <w:divsChild>
        <w:div w:id="719671079">
          <w:marLeft w:val="547"/>
          <w:marRight w:val="0"/>
          <w:marTop w:val="134"/>
          <w:marBottom w:val="0"/>
          <w:divBdr>
            <w:top w:val="none" w:sz="0" w:space="0" w:color="auto"/>
            <w:left w:val="none" w:sz="0" w:space="0" w:color="auto"/>
            <w:bottom w:val="none" w:sz="0" w:space="0" w:color="auto"/>
            <w:right w:val="none" w:sz="0" w:space="0" w:color="auto"/>
          </w:divBdr>
        </w:div>
      </w:divsChild>
    </w:div>
    <w:div w:id="1043483935">
      <w:bodyDiv w:val="1"/>
      <w:marLeft w:val="0"/>
      <w:marRight w:val="0"/>
      <w:marTop w:val="0"/>
      <w:marBottom w:val="0"/>
      <w:divBdr>
        <w:top w:val="none" w:sz="0" w:space="0" w:color="auto"/>
        <w:left w:val="none" w:sz="0" w:space="0" w:color="auto"/>
        <w:bottom w:val="none" w:sz="0" w:space="0" w:color="auto"/>
        <w:right w:val="none" w:sz="0" w:space="0" w:color="auto"/>
      </w:divBdr>
    </w:div>
    <w:div w:id="1063528373">
      <w:bodyDiv w:val="1"/>
      <w:marLeft w:val="0"/>
      <w:marRight w:val="0"/>
      <w:marTop w:val="0"/>
      <w:marBottom w:val="0"/>
      <w:divBdr>
        <w:top w:val="none" w:sz="0" w:space="0" w:color="auto"/>
        <w:left w:val="none" w:sz="0" w:space="0" w:color="auto"/>
        <w:bottom w:val="none" w:sz="0" w:space="0" w:color="auto"/>
        <w:right w:val="none" w:sz="0" w:space="0" w:color="auto"/>
      </w:divBdr>
    </w:div>
    <w:div w:id="1121338807">
      <w:bodyDiv w:val="1"/>
      <w:marLeft w:val="0"/>
      <w:marRight w:val="0"/>
      <w:marTop w:val="0"/>
      <w:marBottom w:val="0"/>
      <w:divBdr>
        <w:top w:val="none" w:sz="0" w:space="0" w:color="auto"/>
        <w:left w:val="none" w:sz="0" w:space="0" w:color="auto"/>
        <w:bottom w:val="none" w:sz="0" w:space="0" w:color="auto"/>
        <w:right w:val="none" w:sz="0" w:space="0" w:color="auto"/>
      </w:divBdr>
    </w:div>
    <w:div w:id="1137456846">
      <w:bodyDiv w:val="1"/>
      <w:marLeft w:val="0"/>
      <w:marRight w:val="0"/>
      <w:marTop w:val="0"/>
      <w:marBottom w:val="0"/>
      <w:divBdr>
        <w:top w:val="none" w:sz="0" w:space="0" w:color="auto"/>
        <w:left w:val="none" w:sz="0" w:space="0" w:color="auto"/>
        <w:bottom w:val="none" w:sz="0" w:space="0" w:color="auto"/>
        <w:right w:val="none" w:sz="0" w:space="0" w:color="auto"/>
      </w:divBdr>
      <w:divsChild>
        <w:div w:id="348066768">
          <w:marLeft w:val="806"/>
          <w:marRight w:val="0"/>
          <w:marTop w:val="134"/>
          <w:marBottom w:val="0"/>
          <w:divBdr>
            <w:top w:val="none" w:sz="0" w:space="0" w:color="auto"/>
            <w:left w:val="none" w:sz="0" w:space="0" w:color="auto"/>
            <w:bottom w:val="none" w:sz="0" w:space="0" w:color="auto"/>
            <w:right w:val="none" w:sz="0" w:space="0" w:color="auto"/>
          </w:divBdr>
        </w:div>
        <w:div w:id="1594588344">
          <w:marLeft w:val="806"/>
          <w:marRight w:val="0"/>
          <w:marTop w:val="134"/>
          <w:marBottom w:val="0"/>
          <w:divBdr>
            <w:top w:val="none" w:sz="0" w:space="0" w:color="auto"/>
            <w:left w:val="none" w:sz="0" w:space="0" w:color="auto"/>
            <w:bottom w:val="none" w:sz="0" w:space="0" w:color="auto"/>
            <w:right w:val="none" w:sz="0" w:space="0" w:color="auto"/>
          </w:divBdr>
        </w:div>
        <w:div w:id="331690728">
          <w:marLeft w:val="806"/>
          <w:marRight w:val="0"/>
          <w:marTop w:val="134"/>
          <w:marBottom w:val="0"/>
          <w:divBdr>
            <w:top w:val="none" w:sz="0" w:space="0" w:color="auto"/>
            <w:left w:val="none" w:sz="0" w:space="0" w:color="auto"/>
            <w:bottom w:val="none" w:sz="0" w:space="0" w:color="auto"/>
            <w:right w:val="none" w:sz="0" w:space="0" w:color="auto"/>
          </w:divBdr>
        </w:div>
        <w:div w:id="2056194570">
          <w:marLeft w:val="806"/>
          <w:marRight w:val="0"/>
          <w:marTop w:val="134"/>
          <w:marBottom w:val="0"/>
          <w:divBdr>
            <w:top w:val="none" w:sz="0" w:space="0" w:color="auto"/>
            <w:left w:val="none" w:sz="0" w:space="0" w:color="auto"/>
            <w:bottom w:val="none" w:sz="0" w:space="0" w:color="auto"/>
            <w:right w:val="none" w:sz="0" w:space="0" w:color="auto"/>
          </w:divBdr>
        </w:div>
        <w:div w:id="343359054">
          <w:marLeft w:val="806"/>
          <w:marRight w:val="0"/>
          <w:marTop w:val="134"/>
          <w:marBottom w:val="0"/>
          <w:divBdr>
            <w:top w:val="none" w:sz="0" w:space="0" w:color="auto"/>
            <w:left w:val="none" w:sz="0" w:space="0" w:color="auto"/>
            <w:bottom w:val="none" w:sz="0" w:space="0" w:color="auto"/>
            <w:right w:val="none" w:sz="0" w:space="0" w:color="auto"/>
          </w:divBdr>
        </w:div>
      </w:divsChild>
    </w:div>
    <w:div w:id="1154641930">
      <w:bodyDiv w:val="1"/>
      <w:marLeft w:val="0"/>
      <w:marRight w:val="0"/>
      <w:marTop w:val="0"/>
      <w:marBottom w:val="0"/>
      <w:divBdr>
        <w:top w:val="none" w:sz="0" w:space="0" w:color="auto"/>
        <w:left w:val="none" w:sz="0" w:space="0" w:color="auto"/>
        <w:bottom w:val="none" w:sz="0" w:space="0" w:color="auto"/>
        <w:right w:val="none" w:sz="0" w:space="0" w:color="auto"/>
      </w:divBdr>
    </w:div>
    <w:div w:id="1159810467">
      <w:bodyDiv w:val="1"/>
      <w:marLeft w:val="0"/>
      <w:marRight w:val="0"/>
      <w:marTop w:val="0"/>
      <w:marBottom w:val="0"/>
      <w:divBdr>
        <w:top w:val="none" w:sz="0" w:space="0" w:color="auto"/>
        <w:left w:val="none" w:sz="0" w:space="0" w:color="auto"/>
        <w:bottom w:val="none" w:sz="0" w:space="0" w:color="auto"/>
        <w:right w:val="none" w:sz="0" w:space="0" w:color="auto"/>
      </w:divBdr>
    </w:div>
    <w:div w:id="1189680277">
      <w:bodyDiv w:val="1"/>
      <w:marLeft w:val="0"/>
      <w:marRight w:val="0"/>
      <w:marTop w:val="0"/>
      <w:marBottom w:val="0"/>
      <w:divBdr>
        <w:top w:val="none" w:sz="0" w:space="0" w:color="auto"/>
        <w:left w:val="none" w:sz="0" w:space="0" w:color="auto"/>
        <w:bottom w:val="none" w:sz="0" w:space="0" w:color="auto"/>
        <w:right w:val="none" w:sz="0" w:space="0" w:color="auto"/>
      </w:divBdr>
    </w:div>
    <w:div w:id="1195727324">
      <w:bodyDiv w:val="1"/>
      <w:marLeft w:val="0"/>
      <w:marRight w:val="0"/>
      <w:marTop w:val="0"/>
      <w:marBottom w:val="0"/>
      <w:divBdr>
        <w:top w:val="none" w:sz="0" w:space="0" w:color="auto"/>
        <w:left w:val="none" w:sz="0" w:space="0" w:color="auto"/>
        <w:bottom w:val="none" w:sz="0" w:space="0" w:color="auto"/>
        <w:right w:val="none" w:sz="0" w:space="0" w:color="auto"/>
      </w:divBdr>
    </w:div>
    <w:div w:id="1306548077">
      <w:bodyDiv w:val="1"/>
      <w:marLeft w:val="0"/>
      <w:marRight w:val="0"/>
      <w:marTop w:val="0"/>
      <w:marBottom w:val="0"/>
      <w:divBdr>
        <w:top w:val="none" w:sz="0" w:space="0" w:color="auto"/>
        <w:left w:val="none" w:sz="0" w:space="0" w:color="auto"/>
        <w:bottom w:val="none" w:sz="0" w:space="0" w:color="auto"/>
        <w:right w:val="none" w:sz="0" w:space="0" w:color="auto"/>
      </w:divBdr>
      <w:divsChild>
        <w:div w:id="208996011">
          <w:marLeft w:val="0"/>
          <w:marRight w:val="0"/>
          <w:marTop w:val="0"/>
          <w:marBottom w:val="0"/>
          <w:divBdr>
            <w:top w:val="none" w:sz="0" w:space="0" w:color="auto"/>
            <w:left w:val="none" w:sz="0" w:space="0" w:color="auto"/>
            <w:bottom w:val="none" w:sz="0" w:space="0" w:color="auto"/>
            <w:right w:val="none" w:sz="0" w:space="0" w:color="auto"/>
          </w:divBdr>
          <w:divsChild>
            <w:div w:id="1491828305">
              <w:marLeft w:val="0"/>
              <w:marRight w:val="0"/>
              <w:marTop w:val="0"/>
              <w:marBottom w:val="0"/>
              <w:divBdr>
                <w:top w:val="none" w:sz="0" w:space="0" w:color="auto"/>
                <w:left w:val="none" w:sz="0" w:space="0" w:color="auto"/>
                <w:bottom w:val="none" w:sz="0" w:space="0" w:color="auto"/>
                <w:right w:val="none" w:sz="0" w:space="0" w:color="auto"/>
              </w:divBdr>
            </w:div>
            <w:div w:id="1084842615">
              <w:marLeft w:val="0"/>
              <w:marRight w:val="0"/>
              <w:marTop w:val="0"/>
              <w:marBottom w:val="0"/>
              <w:divBdr>
                <w:top w:val="none" w:sz="0" w:space="0" w:color="auto"/>
                <w:left w:val="none" w:sz="0" w:space="0" w:color="auto"/>
                <w:bottom w:val="none" w:sz="0" w:space="0" w:color="auto"/>
                <w:right w:val="none" w:sz="0" w:space="0" w:color="auto"/>
              </w:divBdr>
              <w:divsChild>
                <w:div w:id="3254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0317">
      <w:bodyDiv w:val="1"/>
      <w:marLeft w:val="0"/>
      <w:marRight w:val="0"/>
      <w:marTop w:val="0"/>
      <w:marBottom w:val="0"/>
      <w:divBdr>
        <w:top w:val="none" w:sz="0" w:space="0" w:color="auto"/>
        <w:left w:val="none" w:sz="0" w:space="0" w:color="auto"/>
        <w:bottom w:val="none" w:sz="0" w:space="0" w:color="auto"/>
        <w:right w:val="none" w:sz="0" w:space="0" w:color="auto"/>
      </w:divBdr>
    </w:div>
    <w:div w:id="1401978479">
      <w:bodyDiv w:val="1"/>
      <w:marLeft w:val="0"/>
      <w:marRight w:val="0"/>
      <w:marTop w:val="0"/>
      <w:marBottom w:val="0"/>
      <w:divBdr>
        <w:top w:val="none" w:sz="0" w:space="0" w:color="auto"/>
        <w:left w:val="none" w:sz="0" w:space="0" w:color="auto"/>
        <w:bottom w:val="none" w:sz="0" w:space="0" w:color="auto"/>
        <w:right w:val="none" w:sz="0" w:space="0" w:color="auto"/>
      </w:divBdr>
    </w:div>
    <w:div w:id="1455177606">
      <w:bodyDiv w:val="1"/>
      <w:marLeft w:val="0"/>
      <w:marRight w:val="0"/>
      <w:marTop w:val="0"/>
      <w:marBottom w:val="0"/>
      <w:divBdr>
        <w:top w:val="none" w:sz="0" w:space="0" w:color="auto"/>
        <w:left w:val="none" w:sz="0" w:space="0" w:color="auto"/>
        <w:bottom w:val="none" w:sz="0" w:space="0" w:color="auto"/>
        <w:right w:val="none" w:sz="0" w:space="0" w:color="auto"/>
      </w:divBdr>
    </w:div>
    <w:div w:id="1545364933">
      <w:bodyDiv w:val="1"/>
      <w:marLeft w:val="0"/>
      <w:marRight w:val="0"/>
      <w:marTop w:val="0"/>
      <w:marBottom w:val="0"/>
      <w:divBdr>
        <w:top w:val="none" w:sz="0" w:space="0" w:color="auto"/>
        <w:left w:val="none" w:sz="0" w:space="0" w:color="auto"/>
        <w:bottom w:val="none" w:sz="0" w:space="0" w:color="auto"/>
        <w:right w:val="none" w:sz="0" w:space="0" w:color="auto"/>
      </w:divBdr>
    </w:div>
    <w:div w:id="1568565844">
      <w:bodyDiv w:val="1"/>
      <w:marLeft w:val="0"/>
      <w:marRight w:val="0"/>
      <w:marTop w:val="0"/>
      <w:marBottom w:val="0"/>
      <w:divBdr>
        <w:top w:val="none" w:sz="0" w:space="0" w:color="auto"/>
        <w:left w:val="none" w:sz="0" w:space="0" w:color="auto"/>
        <w:bottom w:val="none" w:sz="0" w:space="0" w:color="auto"/>
        <w:right w:val="none" w:sz="0" w:space="0" w:color="auto"/>
      </w:divBdr>
    </w:div>
    <w:div w:id="1669210644">
      <w:bodyDiv w:val="1"/>
      <w:marLeft w:val="0"/>
      <w:marRight w:val="0"/>
      <w:marTop w:val="0"/>
      <w:marBottom w:val="0"/>
      <w:divBdr>
        <w:top w:val="none" w:sz="0" w:space="0" w:color="auto"/>
        <w:left w:val="none" w:sz="0" w:space="0" w:color="auto"/>
        <w:bottom w:val="none" w:sz="0" w:space="0" w:color="auto"/>
        <w:right w:val="none" w:sz="0" w:space="0" w:color="auto"/>
      </w:divBdr>
    </w:div>
    <w:div w:id="1669400611">
      <w:bodyDiv w:val="1"/>
      <w:marLeft w:val="0"/>
      <w:marRight w:val="0"/>
      <w:marTop w:val="0"/>
      <w:marBottom w:val="0"/>
      <w:divBdr>
        <w:top w:val="none" w:sz="0" w:space="0" w:color="auto"/>
        <w:left w:val="none" w:sz="0" w:space="0" w:color="auto"/>
        <w:bottom w:val="none" w:sz="0" w:space="0" w:color="auto"/>
        <w:right w:val="none" w:sz="0" w:space="0" w:color="auto"/>
      </w:divBdr>
    </w:div>
    <w:div w:id="1713338107">
      <w:bodyDiv w:val="1"/>
      <w:marLeft w:val="0"/>
      <w:marRight w:val="0"/>
      <w:marTop w:val="0"/>
      <w:marBottom w:val="0"/>
      <w:divBdr>
        <w:top w:val="none" w:sz="0" w:space="0" w:color="auto"/>
        <w:left w:val="none" w:sz="0" w:space="0" w:color="auto"/>
        <w:bottom w:val="none" w:sz="0" w:space="0" w:color="auto"/>
        <w:right w:val="none" w:sz="0" w:space="0" w:color="auto"/>
      </w:divBdr>
      <w:divsChild>
        <w:div w:id="2061707122">
          <w:marLeft w:val="547"/>
          <w:marRight w:val="0"/>
          <w:marTop w:val="134"/>
          <w:marBottom w:val="0"/>
          <w:divBdr>
            <w:top w:val="none" w:sz="0" w:space="0" w:color="auto"/>
            <w:left w:val="none" w:sz="0" w:space="0" w:color="auto"/>
            <w:bottom w:val="none" w:sz="0" w:space="0" w:color="auto"/>
            <w:right w:val="none" w:sz="0" w:space="0" w:color="auto"/>
          </w:divBdr>
        </w:div>
        <w:div w:id="1218592453">
          <w:marLeft w:val="547"/>
          <w:marRight w:val="0"/>
          <w:marTop w:val="134"/>
          <w:marBottom w:val="0"/>
          <w:divBdr>
            <w:top w:val="none" w:sz="0" w:space="0" w:color="auto"/>
            <w:left w:val="none" w:sz="0" w:space="0" w:color="auto"/>
            <w:bottom w:val="none" w:sz="0" w:space="0" w:color="auto"/>
            <w:right w:val="none" w:sz="0" w:space="0" w:color="auto"/>
          </w:divBdr>
        </w:div>
        <w:div w:id="411780668">
          <w:marLeft w:val="1166"/>
          <w:marRight w:val="0"/>
          <w:marTop w:val="115"/>
          <w:marBottom w:val="0"/>
          <w:divBdr>
            <w:top w:val="none" w:sz="0" w:space="0" w:color="auto"/>
            <w:left w:val="none" w:sz="0" w:space="0" w:color="auto"/>
            <w:bottom w:val="none" w:sz="0" w:space="0" w:color="auto"/>
            <w:right w:val="none" w:sz="0" w:space="0" w:color="auto"/>
          </w:divBdr>
        </w:div>
        <w:div w:id="374475689">
          <w:marLeft w:val="1166"/>
          <w:marRight w:val="0"/>
          <w:marTop w:val="115"/>
          <w:marBottom w:val="0"/>
          <w:divBdr>
            <w:top w:val="none" w:sz="0" w:space="0" w:color="auto"/>
            <w:left w:val="none" w:sz="0" w:space="0" w:color="auto"/>
            <w:bottom w:val="none" w:sz="0" w:space="0" w:color="auto"/>
            <w:right w:val="none" w:sz="0" w:space="0" w:color="auto"/>
          </w:divBdr>
        </w:div>
        <w:div w:id="2131319268">
          <w:marLeft w:val="1166"/>
          <w:marRight w:val="0"/>
          <w:marTop w:val="115"/>
          <w:marBottom w:val="0"/>
          <w:divBdr>
            <w:top w:val="none" w:sz="0" w:space="0" w:color="auto"/>
            <w:left w:val="none" w:sz="0" w:space="0" w:color="auto"/>
            <w:bottom w:val="none" w:sz="0" w:space="0" w:color="auto"/>
            <w:right w:val="none" w:sz="0" w:space="0" w:color="auto"/>
          </w:divBdr>
        </w:div>
        <w:div w:id="839465404">
          <w:marLeft w:val="547"/>
          <w:marRight w:val="0"/>
          <w:marTop w:val="134"/>
          <w:marBottom w:val="0"/>
          <w:divBdr>
            <w:top w:val="none" w:sz="0" w:space="0" w:color="auto"/>
            <w:left w:val="none" w:sz="0" w:space="0" w:color="auto"/>
            <w:bottom w:val="none" w:sz="0" w:space="0" w:color="auto"/>
            <w:right w:val="none" w:sz="0" w:space="0" w:color="auto"/>
          </w:divBdr>
        </w:div>
        <w:div w:id="1485900326">
          <w:marLeft w:val="547"/>
          <w:marRight w:val="0"/>
          <w:marTop w:val="134"/>
          <w:marBottom w:val="0"/>
          <w:divBdr>
            <w:top w:val="none" w:sz="0" w:space="0" w:color="auto"/>
            <w:left w:val="none" w:sz="0" w:space="0" w:color="auto"/>
            <w:bottom w:val="none" w:sz="0" w:space="0" w:color="auto"/>
            <w:right w:val="none" w:sz="0" w:space="0" w:color="auto"/>
          </w:divBdr>
        </w:div>
      </w:divsChild>
    </w:div>
    <w:div w:id="1818648852">
      <w:bodyDiv w:val="1"/>
      <w:marLeft w:val="0"/>
      <w:marRight w:val="0"/>
      <w:marTop w:val="0"/>
      <w:marBottom w:val="0"/>
      <w:divBdr>
        <w:top w:val="none" w:sz="0" w:space="0" w:color="auto"/>
        <w:left w:val="none" w:sz="0" w:space="0" w:color="auto"/>
        <w:bottom w:val="none" w:sz="0" w:space="0" w:color="auto"/>
        <w:right w:val="none" w:sz="0" w:space="0" w:color="auto"/>
      </w:divBdr>
    </w:div>
    <w:div w:id="1824613789">
      <w:bodyDiv w:val="1"/>
      <w:marLeft w:val="0"/>
      <w:marRight w:val="0"/>
      <w:marTop w:val="0"/>
      <w:marBottom w:val="0"/>
      <w:divBdr>
        <w:top w:val="none" w:sz="0" w:space="0" w:color="auto"/>
        <w:left w:val="none" w:sz="0" w:space="0" w:color="auto"/>
        <w:bottom w:val="none" w:sz="0" w:space="0" w:color="auto"/>
        <w:right w:val="none" w:sz="0" w:space="0" w:color="auto"/>
      </w:divBdr>
    </w:div>
    <w:div w:id="1854342189">
      <w:bodyDiv w:val="1"/>
      <w:marLeft w:val="0"/>
      <w:marRight w:val="0"/>
      <w:marTop w:val="0"/>
      <w:marBottom w:val="0"/>
      <w:divBdr>
        <w:top w:val="none" w:sz="0" w:space="0" w:color="auto"/>
        <w:left w:val="none" w:sz="0" w:space="0" w:color="auto"/>
        <w:bottom w:val="none" w:sz="0" w:space="0" w:color="auto"/>
        <w:right w:val="none" w:sz="0" w:space="0" w:color="auto"/>
      </w:divBdr>
    </w:div>
    <w:div w:id="1954288630">
      <w:bodyDiv w:val="1"/>
      <w:marLeft w:val="0"/>
      <w:marRight w:val="0"/>
      <w:marTop w:val="0"/>
      <w:marBottom w:val="0"/>
      <w:divBdr>
        <w:top w:val="none" w:sz="0" w:space="0" w:color="auto"/>
        <w:left w:val="none" w:sz="0" w:space="0" w:color="auto"/>
        <w:bottom w:val="none" w:sz="0" w:space="0" w:color="auto"/>
        <w:right w:val="none" w:sz="0" w:space="0" w:color="auto"/>
      </w:divBdr>
    </w:div>
    <w:div w:id="1959482424">
      <w:bodyDiv w:val="1"/>
      <w:marLeft w:val="0"/>
      <w:marRight w:val="0"/>
      <w:marTop w:val="0"/>
      <w:marBottom w:val="0"/>
      <w:divBdr>
        <w:top w:val="none" w:sz="0" w:space="0" w:color="auto"/>
        <w:left w:val="none" w:sz="0" w:space="0" w:color="auto"/>
        <w:bottom w:val="none" w:sz="0" w:space="0" w:color="auto"/>
        <w:right w:val="none" w:sz="0" w:space="0" w:color="auto"/>
      </w:divBdr>
    </w:div>
    <w:div w:id="2034499677">
      <w:bodyDiv w:val="1"/>
      <w:marLeft w:val="0"/>
      <w:marRight w:val="0"/>
      <w:marTop w:val="0"/>
      <w:marBottom w:val="0"/>
      <w:divBdr>
        <w:top w:val="none" w:sz="0" w:space="0" w:color="auto"/>
        <w:left w:val="none" w:sz="0" w:space="0" w:color="auto"/>
        <w:bottom w:val="none" w:sz="0" w:space="0" w:color="auto"/>
        <w:right w:val="none" w:sz="0" w:space="0" w:color="auto"/>
      </w:divBdr>
    </w:div>
    <w:div w:id="2110195011">
      <w:bodyDiv w:val="1"/>
      <w:marLeft w:val="0"/>
      <w:marRight w:val="0"/>
      <w:marTop w:val="0"/>
      <w:marBottom w:val="0"/>
      <w:divBdr>
        <w:top w:val="none" w:sz="0" w:space="0" w:color="auto"/>
        <w:left w:val="none" w:sz="0" w:space="0" w:color="auto"/>
        <w:bottom w:val="none" w:sz="0" w:space="0" w:color="auto"/>
        <w:right w:val="none" w:sz="0" w:space="0" w:color="auto"/>
      </w:divBdr>
    </w:div>
    <w:div w:id="2132629409">
      <w:bodyDiv w:val="1"/>
      <w:marLeft w:val="0"/>
      <w:marRight w:val="0"/>
      <w:marTop w:val="0"/>
      <w:marBottom w:val="0"/>
      <w:divBdr>
        <w:top w:val="none" w:sz="0" w:space="0" w:color="auto"/>
        <w:left w:val="none" w:sz="0" w:space="0" w:color="auto"/>
        <w:bottom w:val="none" w:sz="0" w:space="0" w:color="auto"/>
        <w:right w:val="none" w:sz="0" w:space="0" w:color="auto"/>
      </w:divBdr>
    </w:div>
    <w:div w:id="21343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hyperlink" Target="https://www.researchgate.net/deref/http%3A%2F%2Fdx.doi.org%2F10.1155%2F2012%2F643543?_sg%5B0%5D=Q026A6t_gmeudaaEqsAq6umbIbjMWDcaVme3EbzXWNWFXqERxk6iYtl5yMnIiJEs5FMOhwv6bv9w6bRpXQitmjYvJA.0QfchUA7zlZkyyNYsYEgmflj8BuxGa6-YGj1G1SQc8HLsLKXHwrqYZsqyulgUaQIWJWh23hDlwbZlpghfscaow" TargetMode="External"/><Relationship Id="rId21" Type="http://schemas.openxmlformats.org/officeDocument/2006/relationships/chart" Target="charts/chart6.xml"/><Relationship Id="rId34" Type="http://schemas.openxmlformats.org/officeDocument/2006/relationships/hyperlink" Target="https://www.gov.uk/government/collections/carbon-valuation--2" TargetMode="External"/><Relationship Id="rId42" Type="http://schemas.openxmlformats.org/officeDocument/2006/relationships/hyperlink" Target="https://www.racfoundation.org/research/economy/council-bridge-maintenance-backlog-grows" TargetMode="External"/><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9.xml"/><Relationship Id="rId32" Type="http://schemas.openxmlformats.org/officeDocument/2006/relationships/hyperlink" Target="https://www.ciht.org.uk/ukrlg-home/guidance/structures-asset-management-valuation-toolkit/" TargetMode="External"/><Relationship Id="rId37" Type="http://schemas.openxmlformats.org/officeDocument/2006/relationships/hyperlink" Target="https://www.gov.uk/government/publications/the-green-book-appraisal-and-evaluation-in-central-governent" TargetMode="External"/><Relationship Id="rId40" Type="http://schemas.openxmlformats.org/officeDocument/2006/relationships/hyperlink" Target="https://www.lobeg.com/technical-advice/" TargetMode="External"/><Relationship Id="rId45" Type="http://schemas.openxmlformats.org/officeDocument/2006/relationships/hyperlink" Target="https://publications.parliament.uk/pa/cm201719/cmselect/cmtrans/1486/full-report.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hyperlink" Target="https://doi.org/10.1016/j.jclepro.2018.04.097" TargetMode="External"/><Relationship Id="rId10" Type="http://schemas.openxmlformats.org/officeDocument/2006/relationships/footnotes" Target="footnotes.xml"/><Relationship Id="rId19" Type="http://schemas.openxmlformats.org/officeDocument/2006/relationships/chart" Target="charts/chart4.xml"/><Relationship Id="rId31" Type="http://schemas.openxmlformats.org/officeDocument/2006/relationships/hyperlink" Target="https://docplayer.net/19773268-Whole-life-costing-for-option-appraisal-of-maintenance-schemes-for-local-highway-authorities-june-2011.html" TargetMode="External"/><Relationship Id="rId44" Type="http://schemas.openxmlformats.org/officeDocument/2006/relationships/hyperlink" Target="https://www.statista.com/statistics/486106/co2-emission-from-the-construction-industry-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hyperlink" Target="https://adeptnet.org.uk/system/files/documents/Guidance%20Document%20for%20Performance%20Measurement-%20Part%20B1%20Condition%20PI.pdf" TargetMode="External"/><Relationship Id="rId35" Type="http://schemas.openxmlformats.org/officeDocument/2006/relationships/hyperlink" Target="https://www.gov.uk/government/publications/guidance-on-estimating-carbon-values-beyond-2050-an-interim-approach" TargetMode="External"/><Relationship Id="rId43" Type="http://schemas.openxmlformats.org/officeDocument/2006/relationships/hyperlink" Target="https://doi.org/10.1680/jbren.15.00027"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yperlink" Target="https://www.gov.uk/government/publications/road-traffic-forecasts-2018" TargetMode="External"/><Relationship Id="rId38" Type="http://schemas.openxmlformats.org/officeDocument/2006/relationships/hyperlink" Target="https://doi.org/10.1016/S0141-0296(02)00167-0" TargetMode="External"/><Relationship Id="rId46" Type="http://schemas.openxmlformats.org/officeDocument/2006/relationships/fontTable" Target="fontTable.xml"/><Relationship Id="rId20" Type="http://schemas.openxmlformats.org/officeDocument/2006/relationships/chart" Target="charts/chart5.xml"/><Relationship Id="rId41" Type="http://schemas.openxmlformats.org/officeDocument/2006/relationships/hyperlink" Target="https://sci-network.eu/fileadmin/templates/sci%20network/files/SCI_Monetised_Carbon_Final.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jacobsengineering-my.sharepoint.com/personal/sam_freeman_jacobs_com/Documents/Documents/BEng%20(Hons)%20Civil%20Engineering/Dissertation/Literature%20Review/FINAL/Life%20Cycle%20Plans%20rev%20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jacobsengineering-my.sharepoint.com/personal/sam_freeman_jacobs_com/Documents/Documents/BEng%20(Hons)%20Civil%20Engineering/Dissertation/Literature%20Review/FINAL/Life%20Cycle%20Plans%20rev%20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jacobsengineering-my.sharepoint.com/personal/sam_freeman_jacobs_com/Documents/Documents/BEng%20(Hons)%20Civil%20Engineering/Dissertation/Literature%20Review/FINAL/Life%20Cycle%20Plans%20rev%20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jacobsengineering-my.sharepoint.com/personal/sam_freeman_jacobs_com/Documents/Documents/BEng%20(Hons)%20Civil%20Engineering/Dissertation/Literature%20Review/FINAL/Life%20Cycle%20Plans%20rev%20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jacobsengineering-my.sharepoint.com/personal/sam_freeman_jacobs_com/Documents/Documents/BEng%20(Hons)%20Civil%20Engineering/Dissertation/Literature%20Review/FINAL/Life%20Cycle%20Plans%20rev%20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jacobsengineering-my.sharepoint.com/personal/sam_freeman_jacobs_com/Documents/Documents/BEng%20(Hons)%20Civil%20Engineering/Dissertation/Literature%20Review/FINAL/Life%20Cycle%20Plans%20rev%201.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https://jacobsengineering-my.sharepoint.com/personal/sam_freeman_jacobs_com/Documents/Documents/BEng%20(Hons)%20Civil%20Engineering/Dissertation/Literature%20Review/FINAL/Life%20Cycle%20Plans%20rev%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jacobsengineering-my.sharepoint.com/personal/sam_freeman_jacobs_com/Documents/Documents/BEng%20(Hons)%20Civil%20Engineering/Dissertation/Literature%20Review/FINAL/Life%20Cycle%20Plans%20rev%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jacobsengineering-my.sharepoint.com/personal/sam_freeman_jacobs_com/Documents/Documents/BEng%20(Hons)%20Civil%20Engineering/Dissertation/Literature%20Review/FINAL/Life%20Cycle%20Plans%20rev%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jacobsengineering-my.sharepoint.com/personal/sam_freeman_jacobs_com/Documents/Documents/BEng%20(Hons)%20Civil%20Engineering/Dissertation/Literature%20Review/FINAL/Life%20Cycle%20Plans%20rev%2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jacobsengineering-my.sharepoint.com/personal/sam_freeman_jacobs_com/Documents/Documents/BEng%20(Hons)%20Civil%20Engineering/Dissertation/Literature%20Review/FINAL/Life%20Cycle%20Plans%20rev%20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jacobsengineering-my.sharepoint.com/personal/sam_freeman_jacobs_com/Documents/Documents/BEng%20(Hons)%20Civil%20Engineering/Dissertation/Literature%20Review/FINAL/Life%20Cycle%20Plans%20rev%20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jacobsengineering-my.sharepoint.com/personal/sam_freeman_jacobs_com/Documents/Documents/BEng%20(Hons)%20Civil%20Engineering/Dissertation/Literature%20Review/FINAL/Life%20Cycle%20Plans%20rev%20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jacobsengineering-my.sharepoint.com/personal/sam_freeman_jacobs_com/Documents/Documents/BEng%20(Hons)%20Civil%20Engineering/Dissertation/Literature%20Review/FINAL/Life%20Cycle%20Plans%20rev%2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Dashboard!$C$169</c:f>
              <c:strCache>
                <c:ptCount val="1"/>
                <c:pt idx="0">
                  <c:v>Discounted Scheme Cost</c:v>
                </c:pt>
              </c:strCache>
            </c:strRef>
          </c:tx>
          <c:spPr>
            <a:solidFill>
              <a:schemeClr val="bg1">
                <a:lumMod val="75000"/>
              </a:schemeClr>
            </a:solidFill>
            <a:ln>
              <a:noFill/>
            </a:ln>
            <a:effectLst/>
          </c:spPr>
          <c:invertIfNegative val="0"/>
          <c:dLbls>
            <c:dLbl>
              <c:idx val="28"/>
              <c:spPr>
                <a:noFill/>
                <a:ln>
                  <a:noFill/>
                </a:ln>
                <a:effectLst/>
              </c:spPr>
              <c:txPr>
                <a:bodyPr rot="-5400000" spcFirstLastPara="1" vertOverflow="overflow" horzOverflow="overflow" wrap="square"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81-4AB5-B495-8B1A1BC56D03}"/>
                </c:ext>
              </c:extLst>
            </c:dLbl>
            <c:spPr>
              <a:noFill/>
              <a:ln>
                <a:noFill/>
              </a:ln>
              <a:effectLst/>
            </c:spPr>
            <c:txPr>
              <a:bodyPr rot="-5400000" spcFirstLastPara="1" vertOverflow="ellipsis" wrap="square" anchor="ctr" anchorCtr="1"/>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Dashboard!$B$170:$B$270</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Dashboard!$C$170:$C$270</c:f>
              <c:numCache>
                <c:formatCode>General</c:formatCode>
                <c:ptCount val="101"/>
                <c:pt idx="3" formatCode="&quot;£&quot;#,##0">
                  <c:v>117429.17692836843</c:v>
                </c:pt>
                <c:pt idx="6" formatCode="&quot;£&quot;#,##0">
                  <c:v>120824.44794537433</c:v>
                </c:pt>
                <c:pt idx="9" formatCode="&quot;£&quot;#,##0">
                  <c:v>335.22243189404088</c:v>
                </c:pt>
                <c:pt idx="10" formatCode="&quot;£&quot;#,##0">
                  <c:v>1205.4366082475347</c:v>
                </c:pt>
                <c:pt idx="11" formatCode="&quot;£&quot;#,##0">
                  <c:v>14837.919234308905</c:v>
                </c:pt>
                <c:pt idx="12" formatCode="&quot;£&quot;#,##0">
                  <c:v>302.35142722312554</c:v>
                </c:pt>
                <c:pt idx="15" formatCode="&quot;£&quot;#,##0">
                  <c:v>15194.707297010546</c:v>
                </c:pt>
                <c:pt idx="17" formatCode="&quot;£&quot;#,##0">
                  <c:v>6286.3696738144226</c:v>
                </c:pt>
                <c:pt idx="18" formatCode="&quot;£&quot;#,##0">
                  <c:v>245.96308085338129</c:v>
                </c:pt>
                <c:pt idx="19" formatCode="&quot;£&quot;#,##0">
                  <c:v>32646.939554981283</c:v>
                </c:pt>
                <c:pt idx="20" formatCode="&quot;£&quot;#,##0">
                  <c:v>7017.7860534986894</c:v>
                </c:pt>
                <c:pt idx="21" formatCode="&quot;£&quot;#,##0">
                  <c:v>221.84460663934129</c:v>
                </c:pt>
                <c:pt idx="23" formatCode="&quot;£&quot;#,##0">
                  <c:v>770.76117341498957</c:v>
                </c:pt>
                <c:pt idx="24" formatCode="&quot;£&quot;#,##0">
                  <c:v>200.09112475014561</c:v>
                </c:pt>
                <c:pt idx="27" formatCode="&quot;£&quot;#,##0">
                  <c:v>8632.7818535152237</c:v>
                </c:pt>
                <c:pt idx="28" formatCode="&quot;£&quot;#,##0">
                  <c:v>174023.51599624261</c:v>
                </c:pt>
                <c:pt idx="30" formatCode="&quot;£&quot;#,##0">
                  <c:v>4087.7773755062194</c:v>
                </c:pt>
                <c:pt idx="31" formatCode="&quot;£&quot;#,##0">
                  <c:v>10056.134660505963</c:v>
                </c:pt>
                <c:pt idx="33" formatCode="&quot;£&quot;#,##0">
                  <c:v>172.25340091776889</c:v>
                </c:pt>
                <c:pt idx="34" formatCode="&quot;£&quot;#,##0">
                  <c:v>15044.764407019595</c:v>
                </c:pt>
                <c:pt idx="35" formatCode="&quot;£&quot;#,##0">
                  <c:v>7698.6395391614096</c:v>
                </c:pt>
                <c:pt idx="36" formatCode="&quot;£&quot;#,##0">
                  <c:v>695.47422520402108</c:v>
                </c:pt>
                <c:pt idx="37" formatCode="&quot;£&quot;#,##0">
                  <c:v>4677.6724324092265</c:v>
                </c:pt>
                <c:pt idx="39" formatCode="&quot;£&quot;#,##0">
                  <c:v>144.25951142884918</c:v>
                </c:pt>
                <c:pt idx="42" formatCode="&quot;£&quot;#,##0">
                  <c:v>132.01788866647314</c:v>
                </c:pt>
                <c:pt idx="43" formatCode="&quot;£&quot;#,##0">
                  <c:v>8904.3667662965563</c:v>
                </c:pt>
                <c:pt idx="45" formatCode="&quot;£&quot;#,##0">
                  <c:v>120.81506969853693</c:v>
                </c:pt>
                <c:pt idx="47" formatCode="&quot;£&quot;#,##0">
                  <c:v>6266.6506567728047</c:v>
                </c:pt>
                <c:pt idx="48" formatCode="&quot;£&quot;#,##0">
                  <c:v>110.56290335878671</c:v>
                </c:pt>
                <c:pt idx="49" formatCode="&quot;£&quot;#,##0">
                  <c:v>10056.168293486495</c:v>
                </c:pt>
                <c:pt idx="50" formatCode="&quot;£&quot;#,##0">
                  <c:v>33790.069739846738</c:v>
                </c:pt>
                <c:pt idx="51" formatCode="&quot;£&quot;#,##0">
                  <c:v>4890.3393283416717</c:v>
                </c:pt>
                <c:pt idx="54" formatCode="&quot;£&quot;#,##0">
                  <c:v>2922.6634408185155</c:v>
                </c:pt>
                <c:pt idx="56" formatCode="&quot;£&quot;#,##0">
                  <c:v>2198.7258491048933</c:v>
                </c:pt>
                <c:pt idx="57" formatCode="&quot;£&quot;#,##0">
                  <c:v>84.737259110665534</c:v>
                </c:pt>
                <c:pt idx="59" formatCode="&quot;£&quot;#,##0">
                  <c:v>12085.930899831275</c:v>
                </c:pt>
                <c:pt idx="60" formatCode="&quot;£&quot;#,##0">
                  <c:v>77.546595911573093</c:v>
                </c:pt>
                <c:pt idx="61" formatCode="&quot;£&quot;#,##0">
                  <c:v>37.487128687026647</c:v>
                </c:pt>
                <c:pt idx="62" formatCode="&quot;£&quot;#,##0">
                  <c:v>272.04449541242968</c:v>
                </c:pt>
                <c:pt idx="63" formatCode="&quot;£&quot;#,##0">
                  <c:v>3954.14352436424</c:v>
                </c:pt>
                <c:pt idx="64" formatCode="&quot;£&quot;#,##0">
                  <c:v>6198.243735728257</c:v>
                </c:pt>
                <c:pt idx="65" formatCode="&quot;£&quot;#,##0">
                  <c:v>43335.777924686663</c:v>
                </c:pt>
                <c:pt idx="66" formatCode="&quot;£&quot;#,##0">
                  <c:v>97.280779742120316</c:v>
                </c:pt>
                <c:pt idx="67" formatCode="&quot;£&quot;#,##0">
                  <c:v>43203.554093907107</c:v>
                </c:pt>
                <c:pt idx="69" formatCode="&quot;£&quot;#,##0">
                  <c:v>1492.5511547333854</c:v>
                </c:pt>
                <c:pt idx="70" formatCode="&quot;£&quot;#,##0">
                  <c:v>4949.1388893293351</c:v>
                </c:pt>
                <c:pt idx="71" formatCode="&quot;£&quot;#,##0">
                  <c:v>1717.1950074543552</c:v>
                </c:pt>
                <c:pt idx="72" formatCode="&quot;£&quot;#,##0">
                  <c:v>17681.40367765402</c:v>
                </c:pt>
                <c:pt idx="75" formatCode="&quot;£&quot;#,##0">
                  <c:v>2545.6221265214208</c:v>
                </c:pt>
                <c:pt idx="76" formatCode="&quot;£&quot;#,##0">
                  <c:v>34.828848348831073</c:v>
                </c:pt>
                <c:pt idx="77" formatCode="&quot;£&quot;#,##0">
                  <c:v>12208.225755624664</c:v>
                </c:pt>
                <c:pt idx="78" formatCode="&quot;£&quot;#,##0">
                  <c:v>66.57860939494141</c:v>
                </c:pt>
                <c:pt idx="79" formatCode="&quot;£&quot;#,##0">
                  <c:v>9417.7720915821046</c:v>
                </c:pt>
                <c:pt idx="81" formatCode="&quot;£&quot;#,##0">
                  <c:v>92.608484409614647</c:v>
                </c:pt>
                <c:pt idx="82" formatCode="&quot;£&quot;#,##0">
                  <c:v>1489.4601926453515</c:v>
                </c:pt>
                <c:pt idx="83" formatCode="&quot;£&quot;#,##0">
                  <c:v>2790.2044242140469</c:v>
                </c:pt>
                <c:pt idx="84" formatCode="&quot;£&quot;#,##0">
                  <c:v>57.410526221266572</c:v>
                </c:pt>
                <c:pt idx="86" formatCode="&quot;£&quot;#,##0">
                  <c:v>27.208240664054557</c:v>
                </c:pt>
                <c:pt idx="87" formatCode="&quot;£&quot;#,##0">
                  <c:v>53.311380829660934</c:v>
                </c:pt>
                <c:pt idx="88" formatCode="&quot;£&quot;#,##0">
                  <c:v>1783.2442626365703</c:v>
                </c:pt>
                <c:pt idx="90" formatCode="&quot;£&quot;#,##0">
                  <c:v>6441.4751849604581</c:v>
                </c:pt>
                <c:pt idx="91" formatCode="&quot;£&quot;#,##0">
                  <c:v>2314.0988332104334</c:v>
                </c:pt>
                <c:pt idx="93" formatCode="&quot;£&quot;#,##0">
                  <c:v>45.970236609443546</c:v>
                </c:pt>
                <c:pt idx="94" formatCode="&quot;£&quot;#,##0">
                  <c:v>16408.63913516617</c:v>
                </c:pt>
                <c:pt idx="95" formatCode="&quot;£&quot;#,##0">
                  <c:v>3426.6800758360951</c:v>
                </c:pt>
                <c:pt idx="96" formatCode="&quot;£&quot;#,##0">
                  <c:v>63.942968755899109</c:v>
                </c:pt>
                <c:pt idx="99" formatCode="&quot;£&quot;#,##0">
                  <c:v>1896.1711617579963</c:v>
                </c:pt>
              </c:numCache>
            </c:numRef>
          </c:val>
          <c:extLst>
            <c:ext xmlns:c16="http://schemas.microsoft.com/office/drawing/2014/chart" uri="{C3380CC4-5D6E-409C-BE32-E72D297353CC}">
              <c16:uniqueId val="{00000000-CE81-4AB5-B495-8B1A1BC56D03}"/>
            </c:ext>
          </c:extLst>
        </c:ser>
        <c:dLbls>
          <c:showLegendKey val="0"/>
          <c:showVal val="1"/>
          <c:showCatName val="0"/>
          <c:showSerName val="0"/>
          <c:showPercent val="0"/>
          <c:showBubbleSize val="0"/>
        </c:dLbls>
        <c:gapWidth val="150"/>
        <c:overlap val="-25"/>
        <c:axId val="1119079096"/>
        <c:axId val="1119078112"/>
      </c:barChart>
      <c:catAx>
        <c:axId val="1119079096"/>
        <c:scaling>
          <c:orientation val="minMax"/>
        </c:scaling>
        <c:delete val="0"/>
        <c:axPos val="b"/>
        <c:title>
          <c:tx>
            <c:rich>
              <a:bodyPr rot="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r>
                  <a:rPr lang="en-GB" sz="900" b="0" cap="none">
                    <a:solidFill>
                      <a:sysClr val="windowText" lastClr="000000"/>
                    </a:solidFill>
                  </a:rPr>
                  <a:t>Year in Analysis Period</a:t>
                </a:r>
              </a:p>
            </c:rich>
          </c:tx>
          <c:layout>
            <c:manualLayout>
              <c:xMode val="edge"/>
              <c:yMode val="edge"/>
              <c:x val="0.43981145738892163"/>
              <c:y val="0.88210926698553682"/>
            </c:manualLayout>
          </c:layout>
          <c:overlay val="0"/>
          <c:spPr>
            <a:noFill/>
            <a:ln>
              <a:noFill/>
            </a:ln>
            <a:effectLst/>
          </c:spPr>
          <c:txPr>
            <a:bodyPr rot="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cap="none" spc="0" normalizeH="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19078112"/>
        <c:crosses val="autoZero"/>
        <c:auto val="1"/>
        <c:lblAlgn val="ctr"/>
        <c:lblOffset val="100"/>
        <c:noMultiLvlLbl val="0"/>
      </c:catAx>
      <c:valAx>
        <c:axId val="1119078112"/>
        <c:scaling>
          <c:orientation val="minMax"/>
          <c:min val="0"/>
        </c:scaling>
        <c:delete val="1"/>
        <c:axPos val="l"/>
        <c:numFmt formatCode="&quot;£&quot;0#" sourceLinked="0"/>
        <c:majorTickMark val="none"/>
        <c:minorTickMark val="none"/>
        <c:tickLblPos val="nextTo"/>
        <c:crossAx val="1119079096"/>
        <c:crosses val="autoZero"/>
        <c:crossBetween val="between"/>
        <c:minorUnit val="4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r>
              <a:rPr lang="en-GB" sz="1200">
                <a:solidFill>
                  <a:sysClr val="windowText" lastClr="000000"/>
                </a:solidFill>
              </a:rPr>
              <a:t>Expenditure</a:t>
            </a:r>
            <a:r>
              <a:rPr lang="en-GB" sz="1200" baseline="0">
                <a:solidFill>
                  <a:sysClr val="windowText" lastClr="000000"/>
                </a:solidFill>
              </a:rPr>
              <a:t> </a:t>
            </a:r>
            <a:r>
              <a:rPr lang="en-GB" sz="1200">
                <a:solidFill>
                  <a:sysClr val="windowText" lastClr="000000"/>
                </a:solidFill>
              </a:rPr>
              <a:t>(Unplanned Re-active)</a:t>
            </a:r>
          </a:p>
        </c:rich>
      </c:tx>
      <c:layout>
        <c:manualLayout>
          <c:xMode val="edge"/>
          <c:yMode val="edge"/>
          <c:x val="0.30118537697744574"/>
          <c:y val="2.4364775495997214E-2"/>
        </c:manualLayout>
      </c:layout>
      <c:overlay val="0"/>
      <c:spPr>
        <a:noFill/>
        <a:ln>
          <a:noFill/>
        </a:ln>
        <a:effectLst/>
      </c:spPr>
      <c:txPr>
        <a:bodyPr rot="0" spcFirstLastPara="1" vertOverflow="ellipsis" vert="horz" wrap="square" anchor="ctr" anchorCtr="1"/>
        <a:lstStyle/>
        <a:p>
          <a:pPr>
            <a:defRPr sz="1200" b="0"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endParaRPr lang="en-US"/>
        </a:p>
      </c:txPr>
    </c:title>
    <c:autoTitleDeleted val="0"/>
    <c:plotArea>
      <c:layout/>
      <c:barChart>
        <c:barDir val="col"/>
        <c:grouping val="clustered"/>
        <c:varyColors val="0"/>
        <c:ser>
          <c:idx val="0"/>
          <c:order val="0"/>
          <c:tx>
            <c:strRef>
              <c:f>Dashboard!$K$4</c:f>
              <c:strCache>
                <c:ptCount val="1"/>
                <c:pt idx="0">
                  <c:v>Year of Analysis</c:v>
                </c:pt>
              </c:strCache>
            </c:strRef>
          </c:tx>
          <c:spPr>
            <a:solidFill>
              <a:schemeClr val="accent1"/>
            </a:solidFill>
            <a:ln>
              <a:noFill/>
            </a:ln>
            <a:effectLst/>
          </c:spPr>
          <c:invertIfNegative val="0"/>
          <c:val>
            <c:numRef>
              <c:f>Dashboard!$K$5:$K$105</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val>
          <c:extLst>
            <c:ext xmlns:c16="http://schemas.microsoft.com/office/drawing/2014/chart" uri="{C3380CC4-5D6E-409C-BE32-E72D297353CC}">
              <c16:uniqueId val="{00000000-D5C8-4CF3-844F-AFD2AE319DB2}"/>
            </c:ext>
          </c:extLst>
        </c:ser>
        <c:ser>
          <c:idx val="1"/>
          <c:order val="1"/>
          <c:tx>
            <c:strRef>
              <c:f>Dashboard!$L$4</c:f>
              <c:strCache>
                <c:ptCount val="1"/>
                <c:pt idx="0">
                  <c:v>Expenditure </c:v>
                </c:pt>
              </c:strCache>
            </c:strRef>
          </c:tx>
          <c:spPr>
            <a:solidFill>
              <a:schemeClr val="accent2"/>
            </a:solidFill>
            <a:ln>
              <a:solidFill>
                <a:schemeClr val="tx1"/>
              </a:solidFill>
            </a:ln>
            <a:effectLst/>
          </c:spPr>
          <c:invertIfNegative val="0"/>
          <c:trendline>
            <c:spPr>
              <a:ln w="19050" cap="rnd">
                <a:solidFill>
                  <a:schemeClr val="accent2"/>
                </a:solidFill>
                <a:round/>
              </a:ln>
              <a:effectLst/>
            </c:spPr>
            <c:trendlineType val="linear"/>
            <c:forward val="2"/>
            <c:dispRSqr val="0"/>
            <c:dispEq val="0"/>
          </c:trendline>
          <c:val>
            <c:numRef>
              <c:f>Dashboard!$L$5:$L$105</c:f>
              <c:numCache>
                <c:formatCode>"£"#,##0</c:formatCode>
                <c:ptCount val="101"/>
                <c:pt idx="1">
                  <c:v>0</c:v>
                </c:pt>
                <c:pt idx="2">
                  <c:v>21662.912748986371</c:v>
                </c:pt>
                <c:pt idx="3">
                  <c:v>0</c:v>
                </c:pt>
                <c:pt idx="4">
                  <c:v>0</c:v>
                </c:pt>
                <c:pt idx="5">
                  <c:v>0</c:v>
                </c:pt>
                <c:pt idx="6">
                  <c:v>0</c:v>
                </c:pt>
                <c:pt idx="7">
                  <c:v>148132.49010504631</c:v>
                </c:pt>
                <c:pt idx="8">
                  <c:v>0</c:v>
                </c:pt>
                <c:pt idx="9">
                  <c:v>0</c:v>
                </c:pt>
                <c:pt idx="10">
                  <c:v>0</c:v>
                </c:pt>
                <c:pt idx="11">
                  <c:v>0</c:v>
                </c:pt>
                <c:pt idx="12">
                  <c:v>21662.912748986371</c:v>
                </c:pt>
                <c:pt idx="13">
                  <c:v>0</c:v>
                </c:pt>
                <c:pt idx="14">
                  <c:v>0</c:v>
                </c:pt>
                <c:pt idx="15">
                  <c:v>37339.867275584664</c:v>
                </c:pt>
                <c:pt idx="16">
                  <c:v>0</c:v>
                </c:pt>
                <c:pt idx="17">
                  <c:v>0</c:v>
                </c:pt>
                <c:pt idx="18">
                  <c:v>0</c:v>
                </c:pt>
                <c:pt idx="19">
                  <c:v>3876.7873742632373</c:v>
                </c:pt>
                <c:pt idx="20">
                  <c:v>0</c:v>
                </c:pt>
                <c:pt idx="21">
                  <c:v>0</c:v>
                </c:pt>
                <c:pt idx="22">
                  <c:v>76496.45932395781</c:v>
                </c:pt>
                <c:pt idx="23">
                  <c:v>0</c:v>
                </c:pt>
                <c:pt idx="24">
                  <c:v>0</c:v>
                </c:pt>
                <c:pt idx="25">
                  <c:v>0</c:v>
                </c:pt>
                <c:pt idx="26">
                  <c:v>0</c:v>
                </c:pt>
                <c:pt idx="27">
                  <c:v>0</c:v>
                </c:pt>
                <c:pt idx="28">
                  <c:v>0</c:v>
                </c:pt>
                <c:pt idx="29">
                  <c:v>102267.928951686</c:v>
                </c:pt>
                <c:pt idx="30">
                  <c:v>0</c:v>
                </c:pt>
                <c:pt idx="31">
                  <c:v>0</c:v>
                </c:pt>
                <c:pt idx="32">
                  <c:v>313155.16358307918</c:v>
                </c:pt>
                <c:pt idx="33">
                  <c:v>269523.63057389529</c:v>
                </c:pt>
                <c:pt idx="34">
                  <c:v>0</c:v>
                </c:pt>
                <c:pt idx="35">
                  <c:v>0</c:v>
                </c:pt>
                <c:pt idx="36">
                  <c:v>100680.70054068732</c:v>
                </c:pt>
                <c:pt idx="37">
                  <c:v>0</c:v>
                </c:pt>
                <c:pt idx="38">
                  <c:v>0</c:v>
                </c:pt>
                <c:pt idx="39">
                  <c:v>0</c:v>
                </c:pt>
                <c:pt idx="40">
                  <c:v>0</c:v>
                </c:pt>
                <c:pt idx="41">
                  <c:v>0</c:v>
                </c:pt>
                <c:pt idx="42">
                  <c:v>21662.912748986371</c:v>
                </c:pt>
                <c:pt idx="43">
                  <c:v>0</c:v>
                </c:pt>
                <c:pt idx="44">
                  <c:v>130345.9089070847</c:v>
                </c:pt>
                <c:pt idx="45">
                  <c:v>0</c:v>
                </c:pt>
                <c:pt idx="46">
                  <c:v>0</c:v>
                </c:pt>
                <c:pt idx="47">
                  <c:v>37339.867275584664</c:v>
                </c:pt>
                <c:pt idx="48">
                  <c:v>0</c:v>
                </c:pt>
                <c:pt idx="49">
                  <c:v>0</c:v>
                </c:pt>
                <c:pt idx="50">
                  <c:v>0</c:v>
                </c:pt>
                <c:pt idx="51">
                  <c:v>0</c:v>
                </c:pt>
                <c:pt idx="52">
                  <c:v>21662.912748986371</c:v>
                </c:pt>
                <c:pt idx="53">
                  <c:v>87181.576497278205</c:v>
                </c:pt>
                <c:pt idx="54">
                  <c:v>0</c:v>
                </c:pt>
                <c:pt idx="55">
                  <c:v>0</c:v>
                </c:pt>
                <c:pt idx="56">
                  <c:v>0</c:v>
                </c:pt>
                <c:pt idx="57">
                  <c:v>0</c:v>
                </c:pt>
                <c:pt idx="58">
                  <c:v>0</c:v>
                </c:pt>
                <c:pt idx="59">
                  <c:v>148132.49010504631</c:v>
                </c:pt>
                <c:pt idx="60">
                  <c:v>0</c:v>
                </c:pt>
                <c:pt idx="61">
                  <c:v>0</c:v>
                </c:pt>
                <c:pt idx="62">
                  <c:v>725564.26333367347</c:v>
                </c:pt>
                <c:pt idx="63">
                  <c:v>0</c:v>
                </c:pt>
                <c:pt idx="64">
                  <c:v>0</c:v>
                </c:pt>
                <c:pt idx="65">
                  <c:v>0</c:v>
                </c:pt>
                <c:pt idx="66">
                  <c:v>0</c:v>
                </c:pt>
                <c:pt idx="67">
                  <c:v>0</c:v>
                </c:pt>
                <c:pt idx="68">
                  <c:v>0</c:v>
                </c:pt>
                <c:pt idx="69">
                  <c:v>0</c:v>
                </c:pt>
                <c:pt idx="70">
                  <c:v>17600.74453014243</c:v>
                </c:pt>
                <c:pt idx="71">
                  <c:v>60535.77388645654</c:v>
                </c:pt>
                <c:pt idx="72">
                  <c:v>21662.912748986371</c:v>
                </c:pt>
                <c:pt idx="73">
                  <c:v>300979.95510197594</c:v>
                </c:pt>
                <c:pt idx="74">
                  <c:v>0</c:v>
                </c:pt>
                <c:pt idx="75">
                  <c:v>0</c:v>
                </c:pt>
                <c:pt idx="76">
                  <c:v>0</c:v>
                </c:pt>
                <c:pt idx="77">
                  <c:v>183805.75470563248</c:v>
                </c:pt>
                <c:pt idx="78">
                  <c:v>0</c:v>
                </c:pt>
                <c:pt idx="79">
                  <c:v>37339.867275584664</c:v>
                </c:pt>
                <c:pt idx="80">
                  <c:v>0</c:v>
                </c:pt>
                <c:pt idx="81">
                  <c:v>0</c:v>
                </c:pt>
                <c:pt idx="82">
                  <c:v>21662.912748986371</c:v>
                </c:pt>
                <c:pt idx="83">
                  <c:v>0</c:v>
                </c:pt>
                <c:pt idx="84">
                  <c:v>0</c:v>
                </c:pt>
                <c:pt idx="85">
                  <c:v>148132.49010504631</c:v>
                </c:pt>
                <c:pt idx="86">
                  <c:v>0</c:v>
                </c:pt>
                <c:pt idx="87">
                  <c:v>0</c:v>
                </c:pt>
                <c:pt idx="88">
                  <c:v>0</c:v>
                </c:pt>
                <c:pt idx="89">
                  <c:v>0</c:v>
                </c:pt>
                <c:pt idx="90">
                  <c:v>130345.9089070847</c:v>
                </c:pt>
                <c:pt idx="91">
                  <c:v>0</c:v>
                </c:pt>
                <c:pt idx="92">
                  <c:v>21662.912748986371</c:v>
                </c:pt>
                <c:pt idx="93">
                  <c:v>474343.71879056015</c:v>
                </c:pt>
                <c:pt idx="94">
                  <c:v>0</c:v>
                </c:pt>
                <c:pt idx="95">
                  <c:v>0</c:v>
                </c:pt>
                <c:pt idx="96">
                  <c:v>0</c:v>
                </c:pt>
                <c:pt idx="97">
                  <c:v>0</c:v>
                </c:pt>
                <c:pt idx="98">
                  <c:v>0</c:v>
                </c:pt>
                <c:pt idx="99">
                  <c:v>0</c:v>
                </c:pt>
                <c:pt idx="100">
                  <c:v>0</c:v>
                </c:pt>
              </c:numCache>
            </c:numRef>
          </c:val>
          <c:extLst>
            <c:ext xmlns:c16="http://schemas.microsoft.com/office/drawing/2014/chart" uri="{C3380CC4-5D6E-409C-BE32-E72D297353CC}">
              <c16:uniqueId val="{00000001-D5C8-4CF3-844F-AFD2AE319DB2}"/>
            </c:ext>
          </c:extLst>
        </c:ser>
        <c:dLbls>
          <c:showLegendKey val="0"/>
          <c:showVal val="0"/>
          <c:showCatName val="0"/>
          <c:showSerName val="0"/>
          <c:showPercent val="0"/>
          <c:showBubbleSize val="0"/>
        </c:dLbls>
        <c:gapWidth val="269"/>
        <c:overlap val="-27"/>
        <c:axId val="478143424"/>
        <c:axId val="478150968"/>
      </c:barChart>
      <c:dateAx>
        <c:axId val="478143424"/>
        <c:scaling>
          <c:orientation val="minMax"/>
        </c:scaling>
        <c:delete val="0"/>
        <c:axPos val="b"/>
        <c:title>
          <c:tx>
            <c:rich>
              <a:bodyPr rot="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r>
                  <a:rPr lang="en-GB" cap="none"/>
                  <a:t>Year</a:t>
                </a:r>
              </a:p>
            </c:rich>
          </c:tx>
          <c:overlay val="0"/>
          <c:spPr>
            <a:noFill/>
            <a:ln>
              <a:noFill/>
            </a:ln>
            <a:effectLst/>
          </c:spPr>
          <c:txPr>
            <a:bodyPr rot="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78150968"/>
        <c:crosses val="autoZero"/>
        <c:auto val="0"/>
        <c:lblOffset val="100"/>
        <c:baseTimeUnit val="days"/>
      </c:dateAx>
      <c:valAx>
        <c:axId val="478150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r>
                  <a:rPr lang="en-GB" cap="none"/>
                  <a:t>Expenditure (£)</a:t>
                </a:r>
              </a:p>
            </c:rich>
          </c:tx>
          <c:overlay val="0"/>
          <c:spPr>
            <a:noFill/>
            <a:ln>
              <a:noFill/>
            </a:ln>
            <a:effectLst/>
          </c:spPr>
          <c:txPr>
            <a:bodyPr rot="-540000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quot;£&quot;#,##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78143424"/>
        <c:crosses val="autoZero"/>
        <c:crossBetween val="between"/>
      </c:valAx>
      <c:spPr>
        <a:noFill/>
        <a:ln>
          <a:solidFill>
            <a:sysClr val="windowText" lastClr="000000"/>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all" spc="50" baseline="0">
                <a:solidFill>
                  <a:sysClr val="windowText" lastClr="000000"/>
                </a:solidFill>
                <a:latin typeface="Arial" panose="020B0604020202020204" pitchFamily="34" charset="0"/>
                <a:ea typeface="+mn-ea"/>
                <a:cs typeface="Arial" panose="020B0604020202020204" pitchFamily="34" charset="0"/>
              </a:defRPr>
            </a:pPr>
            <a:r>
              <a:rPr lang="en-GB" sz="1200" b="0" i="0" u="none" strike="noStrike" cap="all" baseline="0">
                <a:solidFill>
                  <a:sysClr val="windowText" lastClr="000000"/>
                </a:solidFill>
                <a:effectLst/>
              </a:rPr>
              <a:t>CO</a:t>
            </a:r>
            <a:r>
              <a:rPr lang="en-GB" sz="1200" b="0" i="0" u="none" strike="noStrike" cap="all" baseline="-25000">
                <a:solidFill>
                  <a:sysClr val="windowText" lastClr="000000"/>
                </a:solidFill>
                <a:effectLst/>
              </a:rPr>
              <a:t>2 </a:t>
            </a:r>
            <a:r>
              <a:rPr lang="en-GB" sz="1200" b="0" i="0" u="none" strike="noStrike" cap="none" baseline="0">
                <a:solidFill>
                  <a:sysClr val="windowText" lastClr="000000"/>
                </a:solidFill>
                <a:effectLst/>
              </a:rPr>
              <a:t>Emissions</a:t>
            </a:r>
            <a:r>
              <a:rPr lang="en-GB" sz="1200" b="0" i="0" u="none" strike="noStrike" cap="all" baseline="0">
                <a:solidFill>
                  <a:sysClr val="windowText" lastClr="000000"/>
                </a:solidFill>
                <a:effectLst/>
              </a:rPr>
              <a:t> </a:t>
            </a:r>
          </a:p>
          <a:p>
            <a:pPr>
              <a:defRPr sz="1200" b="0">
                <a:solidFill>
                  <a:sysClr val="windowText" lastClr="000000"/>
                </a:solidFill>
              </a:defRPr>
            </a:pPr>
            <a:r>
              <a:rPr lang="en-GB" sz="1200" b="0" i="0" u="none" strike="noStrike" cap="all" baseline="0">
                <a:solidFill>
                  <a:sysClr val="windowText" lastClr="000000"/>
                </a:solidFill>
                <a:effectLst/>
              </a:rPr>
              <a:t>(</a:t>
            </a:r>
            <a:r>
              <a:rPr lang="en-GB" sz="1200" b="0" cap="none">
                <a:solidFill>
                  <a:sysClr val="windowText" lastClr="000000"/>
                </a:solidFill>
              </a:rPr>
              <a:t>Planned Preventive)</a:t>
            </a:r>
          </a:p>
        </c:rich>
      </c:tx>
      <c:overlay val="0"/>
      <c:spPr>
        <a:noFill/>
        <a:ln>
          <a:noFill/>
        </a:ln>
        <a:effectLst/>
      </c:spPr>
      <c:txPr>
        <a:bodyPr rot="0" spcFirstLastPara="1" vertOverflow="ellipsis" vert="horz" wrap="square" anchor="ctr" anchorCtr="1"/>
        <a:lstStyle/>
        <a:p>
          <a:pPr>
            <a:defRPr sz="1200" b="0" i="0" u="none" strike="noStrike" kern="1200" cap="all" spc="5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5FF-4D5C-AB74-B8478A3A599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5FF-4D5C-AB74-B8478A3A5993}"/>
              </c:ext>
            </c:extLst>
          </c:dPt>
          <c:dLbls>
            <c:numFmt formatCode="0.00%" sourceLinked="0"/>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Dashboard!$P$7:$P$8</c:f>
              <c:strCache>
                <c:ptCount val="2"/>
                <c:pt idx="0">
                  <c:v>Traffic restrictions during maintenance</c:v>
                </c:pt>
                <c:pt idx="1">
                  <c:v>Maintnenace Activities</c:v>
                </c:pt>
              </c:strCache>
            </c:strRef>
          </c:cat>
          <c:val>
            <c:numRef>
              <c:f>Dashboard!$Q$7:$Q$8</c:f>
              <c:numCache>
                <c:formatCode>General</c:formatCode>
                <c:ptCount val="2"/>
                <c:pt idx="0">
                  <c:v>25.230313442512927</c:v>
                </c:pt>
                <c:pt idx="1">
                  <c:v>340.6450000000001</c:v>
                </c:pt>
              </c:numCache>
            </c:numRef>
          </c:val>
          <c:extLst>
            <c:ext xmlns:c16="http://schemas.microsoft.com/office/drawing/2014/chart" uri="{C3380CC4-5D6E-409C-BE32-E72D297353CC}">
              <c16:uniqueId val="{00000004-05FF-4D5C-AB74-B8478A3A599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50" baseline="0">
                <a:solidFill>
                  <a:sysClr val="windowText" lastClr="000000"/>
                </a:solidFill>
                <a:latin typeface="Arial" panose="020B0604020202020204" pitchFamily="34" charset="0"/>
                <a:ea typeface="+mn-ea"/>
                <a:cs typeface="Arial" panose="020B0604020202020204" pitchFamily="34" charset="0"/>
              </a:defRPr>
            </a:pPr>
            <a:r>
              <a:rPr lang="en-GB" sz="1200" b="0" i="0" u="none" strike="noStrike" cap="none" baseline="0">
                <a:effectLst/>
              </a:rPr>
              <a:t>CO</a:t>
            </a:r>
            <a:r>
              <a:rPr lang="en-GB" sz="1200" b="0" i="0" u="none" strike="noStrike" cap="none" baseline="-25000">
                <a:effectLst/>
              </a:rPr>
              <a:t>2 </a:t>
            </a:r>
            <a:r>
              <a:rPr lang="en-GB" sz="1200" b="0" i="0" u="none" strike="noStrike" cap="none" baseline="0">
                <a:effectLst/>
              </a:rPr>
              <a:t>Emissions</a:t>
            </a:r>
            <a:r>
              <a:rPr lang="en-GB" sz="1200" b="0" i="0" u="none" strike="noStrike" cap="all" baseline="0">
                <a:effectLst/>
              </a:rPr>
              <a:t> </a:t>
            </a:r>
          </a:p>
          <a:p>
            <a:pPr>
              <a:defRPr sz="1200" b="0" cap="none">
                <a:solidFill>
                  <a:sysClr val="windowText" lastClr="000000"/>
                </a:solidFill>
              </a:defRPr>
            </a:pPr>
            <a:r>
              <a:rPr lang="en-GB" sz="1200" b="0" i="0" u="none" strike="noStrike" cap="all" baseline="0">
                <a:effectLst/>
              </a:rPr>
              <a:t>(</a:t>
            </a:r>
            <a:r>
              <a:rPr lang="en-GB" sz="1200" b="0" cap="none">
                <a:solidFill>
                  <a:sysClr val="windowText" lastClr="000000"/>
                </a:solidFill>
              </a:rPr>
              <a:t>Unplanned Re-active)</a:t>
            </a:r>
          </a:p>
        </c:rich>
      </c:tx>
      <c:overlay val="0"/>
      <c:spPr>
        <a:noFill/>
        <a:ln>
          <a:noFill/>
        </a:ln>
        <a:effectLst/>
      </c:spPr>
      <c:txPr>
        <a:bodyPr rot="0" spcFirstLastPara="1" vertOverflow="ellipsis" vert="horz" wrap="square" anchor="ctr" anchorCtr="1"/>
        <a:lstStyle/>
        <a:p>
          <a:pPr>
            <a:defRPr sz="1200" b="0" i="0" u="none" strike="noStrike" kern="1200" cap="none" spc="5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495-4B49-9086-E50947D01D1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495-4B49-9086-E50947D01D12}"/>
              </c:ext>
            </c:extLst>
          </c:dPt>
          <c:dLbls>
            <c:numFmt formatCode="0.00%" sourceLinked="0"/>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Dashboard!$R$7:$R$8</c:f>
              <c:strCache>
                <c:ptCount val="2"/>
                <c:pt idx="0">
                  <c:v>Traffic restrictions during maintenance</c:v>
                </c:pt>
                <c:pt idx="1">
                  <c:v>Maintnenace Activities</c:v>
                </c:pt>
              </c:strCache>
            </c:strRef>
          </c:cat>
          <c:val>
            <c:numRef>
              <c:f>Dashboard!$S$7:$S$8</c:f>
              <c:numCache>
                <c:formatCode>General</c:formatCode>
                <c:ptCount val="2"/>
                <c:pt idx="0">
                  <c:v>20.720729791075431</c:v>
                </c:pt>
                <c:pt idx="1">
                  <c:v>372.92499999999995</c:v>
                </c:pt>
              </c:numCache>
            </c:numRef>
          </c:val>
          <c:extLst>
            <c:ext xmlns:c16="http://schemas.microsoft.com/office/drawing/2014/chart" uri="{C3380CC4-5D6E-409C-BE32-E72D297353CC}">
              <c16:uniqueId val="{00000004-2495-4B49-9086-E50947D01D1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0"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r>
              <a:rPr lang="en-GB" sz="1200">
                <a:solidFill>
                  <a:sysClr val="windowText" lastClr="000000"/>
                </a:solidFill>
              </a:rPr>
              <a:t>Bridge Condition (Planned Preventive)</a:t>
            </a:r>
          </a:p>
        </c:rich>
      </c:tx>
      <c:overlay val="0"/>
      <c:spPr>
        <a:noFill/>
        <a:ln>
          <a:noFill/>
        </a:ln>
        <a:effectLst/>
      </c:spPr>
      <c:txPr>
        <a:bodyPr rot="0" spcFirstLastPara="1" vertOverflow="ellipsis" vert="horz" wrap="square" anchor="ctr" anchorCtr="1"/>
        <a:lstStyle/>
        <a:p>
          <a:pPr algn="ctr">
            <a:defRPr sz="1200" b="0"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endParaRPr lang="en-US"/>
        </a:p>
      </c:txPr>
    </c:title>
    <c:autoTitleDeleted val="0"/>
    <c:plotArea>
      <c:layout/>
      <c:lineChart>
        <c:grouping val="standard"/>
        <c:varyColors val="0"/>
        <c:ser>
          <c:idx val="1"/>
          <c:order val="0"/>
          <c:tx>
            <c:strRef>
              <c:f>Dashboard!$G$4</c:f>
              <c:strCache>
                <c:ptCount val="1"/>
                <c:pt idx="0">
                  <c:v>SSCIav</c:v>
                </c:pt>
              </c:strCache>
            </c:strRef>
          </c:tx>
          <c:spPr>
            <a:ln w="38100" cap="rnd">
              <a:solidFill>
                <a:schemeClr val="accent2"/>
              </a:solidFill>
              <a:round/>
            </a:ln>
            <a:effectLst/>
          </c:spPr>
          <c:marker>
            <c:symbol val="none"/>
          </c:marker>
          <c:cat>
            <c:numRef>
              <c:f>Dashboard!$E$5:$E$105</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Dashboard!$G$5:$G$105</c:f>
              <c:numCache>
                <c:formatCode>General</c:formatCode>
                <c:ptCount val="101"/>
                <c:pt idx="1">
                  <c:v>81.692006639842859</c:v>
                </c:pt>
                <c:pt idx="2">
                  <c:v>80.701332354217101</c:v>
                </c:pt>
                <c:pt idx="3">
                  <c:v>91.981320043239066</c:v>
                </c:pt>
                <c:pt idx="4">
                  <c:v>91.450431454158007</c:v>
                </c:pt>
                <c:pt idx="5">
                  <c:v>88.13816021219084</c:v>
                </c:pt>
                <c:pt idx="6">
                  <c:v>91.93206892293243</c:v>
                </c:pt>
                <c:pt idx="7">
                  <c:v>90.857803001229954</c:v>
                </c:pt>
                <c:pt idx="8">
                  <c:v>89.489554526992237</c:v>
                </c:pt>
                <c:pt idx="9">
                  <c:v>88.297169800108705</c:v>
                </c:pt>
                <c:pt idx="10">
                  <c:v>88.078463583837078</c:v>
                </c:pt>
                <c:pt idx="11">
                  <c:v>91.114839506302317</c:v>
                </c:pt>
                <c:pt idx="12">
                  <c:v>90.578781421978988</c:v>
                </c:pt>
                <c:pt idx="13">
                  <c:v>90.174655393442151</c:v>
                </c:pt>
                <c:pt idx="14">
                  <c:v>88.757952917564495</c:v>
                </c:pt>
                <c:pt idx="15">
                  <c:v>88.983374016513793</c:v>
                </c:pt>
                <c:pt idx="16">
                  <c:v>87.870198390572256</c:v>
                </c:pt>
                <c:pt idx="17">
                  <c:v>87.017704313180516</c:v>
                </c:pt>
                <c:pt idx="18">
                  <c:v>85.066177948551697</c:v>
                </c:pt>
                <c:pt idx="19">
                  <c:v>89.487024094696892</c:v>
                </c:pt>
                <c:pt idx="20">
                  <c:v>89.437666943803507</c:v>
                </c:pt>
                <c:pt idx="21">
                  <c:v>88.402176350327025</c:v>
                </c:pt>
                <c:pt idx="22">
                  <c:v>88.1663908466181</c:v>
                </c:pt>
                <c:pt idx="23">
                  <c:v>88.076537268311043</c:v>
                </c:pt>
                <c:pt idx="24">
                  <c:v>86.646992904168485</c:v>
                </c:pt>
                <c:pt idx="25">
                  <c:v>84.155319703094904</c:v>
                </c:pt>
                <c:pt idx="26">
                  <c:v>79.934121744198222</c:v>
                </c:pt>
                <c:pt idx="27">
                  <c:v>80.692136858326492</c:v>
                </c:pt>
                <c:pt idx="28">
                  <c:v>86.424985370225585</c:v>
                </c:pt>
                <c:pt idx="29">
                  <c:v>85.255752346446471</c:v>
                </c:pt>
                <c:pt idx="30">
                  <c:v>86.612452412234688</c:v>
                </c:pt>
                <c:pt idx="31">
                  <c:v>86.183279950563474</c:v>
                </c:pt>
                <c:pt idx="32">
                  <c:v>84.990691072824688</c:v>
                </c:pt>
                <c:pt idx="33">
                  <c:v>83.844999076104571</c:v>
                </c:pt>
                <c:pt idx="34">
                  <c:v>83.16295226039739</c:v>
                </c:pt>
                <c:pt idx="35">
                  <c:v>86.199208253084407</c:v>
                </c:pt>
                <c:pt idx="36">
                  <c:v>87.396290688583349</c:v>
                </c:pt>
                <c:pt idx="37">
                  <c:v>88.146074182414523</c:v>
                </c:pt>
                <c:pt idx="38">
                  <c:v>87.354896878396673</c:v>
                </c:pt>
                <c:pt idx="39">
                  <c:v>85.756200159226552</c:v>
                </c:pt>
                <c:pt idx="40">
                  <c:v>85.088019005882799</c:v>
                </c:pt>
                <c:pt idx="41">
                  <c:v>83.531739352558105</c:v>
                </c:pt>
                <c:pt idx="42">
                  <c:v>80.593697307211912</c:v>
                </c:pt>
                <c:pt idx="43">
                  <c:v>85.554824751625631</c:v>
                </c:pt>
                <c:pt idx="44">
                  <c:v>83.966829770599333</c:v>
                </c:pt>
                <c:pt idx="45">
                  <c:v>83.22428166796972</c:v>
                </c:pt>
                <c:pt idx="46">
                  <c:v>82.483948463749741</c:v>
                </c:pt>
                <c:pt idx="47">
                  <c:v>81.281168936519123</c:v>
                </c:pt>
                <c:pt idx="48">
                  <c:v>79.604963003899613</c:v>
                </c:pt>
                <c:pt idx="49">
                  <c:v>80.254010590711459</c:v>
                </c:pt>
                <c:pt idx="50">
                  <c:v>81.65896858159644</c:v>
                </c:pt>
                <c:pt idx="51">
                  <c:v>84.221188324974733</c:v>
                </c:pt>
                <c:pt idx="52">
                  <c:v>84.221188324974733</c:v>
                </c:pt>
                <c:pt idx="53">
                  <c:v>82.263678053431462</c:v>
                </c:pt>
                <c:pt idx="54">
                  <c:v>82.350889370673698</c:v>
                </c:pt>
                <c:pt idx="55">
                  <c:v>80.447256672975328</c:v>
                </c:pt>
                <c:pt idx="56">
                  <c:v>81.503897759148359</c:v>
                </c:pt>
                <c:pt idx="57">
                  <c:v>80.086552643923625</c:v>
                </c:pt>
                <c:pt idx="58">
                  <c:v>77.871714534190787</c:v>
                </c:pt>
                <c:pt idx="59">
                  <c:v>82.228547052640096</c:v>
                </c:pt>
                <c:pt idx="60">
                  <c:v>81.558653808804166</c:v>
                </c:pt>
                <c:pt idx="61">
                  <c:v>81.1164013691577</c:v>
                </c:pt>
                <c:pt idx="62">
                  <c:v>81.347692368328211</c:v>
                </c:pt>
                <c:pt idx="63">
                  <c:v>80.830907646450285</c:v>
                </c:pt>
                <c:pt idx="64">
                  <c:v>79.478840482637622</c:v>
                </c:pt>
                <c:pt idx="65">
                  <c:v>79.384679681689889</c:v>
                </c:pt>
                <c:pt idx="66">
                  <c:v>78.011855551000167</c:v>
                </c:pt>
                <c:pt idx="67">
                  <c:v>82.892725829026901</c:v>
                </c:pt>
                <c:pt idx="68">
                  <c:v>81.955268486251214</c:v>
                </c:pt>
                <c:pt idx="69">
                  <c:v>82.436220029175644</c:v>
                </c:pt>
                <c:pt idx="70">
                  <c:v>82.622715203514417</c:v>
                </c:pt>
                <c:pt idx="71">
                  <c:v>82.214718163269183</c:v>
                </c:pt>
                <c:pt idx="72">
                  <c:v>84.360798301901184</c:v>
                </c:pt>
                <c:pt idx="73">
                  <c:v>82.565331866049462</c:v>
                </c:pt>
                <c:pt idx="74">
                  <c:v>80.187750305104771</c:v>
                </c:pt>
                <c:pt idx="75">
                  <c:v>85.084048252083278</c:v>
                </c:pt>
                <c:pt idx="76">
                  <c:v>84.10945405312637</c:v>
                </c:pt>
                <c:pt idx="77">
                  <c:v>84.069360710131377</c:v>
                </c:pt>
                <c:pt idx="78">
                  <c:v>83.80234709268511</c:v>
                </c:pt>
                <c:pt idx="79">
                  <c:v>84.876250963940436</c:v>
                </c:pt>
                <c:pt idx="80">
                  <c:v>83.412764686981546</c:v>
                </c:pt>
                <c:pt idx="81">
                  <c:v>82.228547052640096</c:v>
                </c:pt>
                <c:pt idx="82">
                  <c:v>82.31284221291547</c:v>
                </c:pt>
                <c:pt idx="83">
                  <c:v>85.185254224747808</c:v>
                </c:pt>
                <c:pt idx="84">
                  <c:v>84.921114356848648</c:v>
                </c:pt>
                <c:pt idx="85">
                  <c:v>84.001612436833767</c:v>
                </c:pt>
                <c:pt idx="86">
                  <c:v>81.855226820379073</c:v>
                </c:pt>
                <c:pt idx="87">
                  <c:v>80.517047252150036</c:v>
                </c:pt>
                <c:pt idx="88">
                  <c:v>82.842925657167086</c:v>
                </c:pt>
                <c:pt idx="89">
                  <c:v>80.746838826252358</c:v>
                </c:pt>
                <c:pt idx="90">
                  <c:v>79.284155305724539</c:v>
                </c:pt>
                <c:pt idx="91">
                  <c:v>82.403182242901551</c:v>
                </c:pt>
                <c:pt idx="92">
                  <c:v>81.52511898705211</c:v>
                </c:pt>
                <c:pt idx="93">
                  <c:v>79.53181512461623</c:v>
                </c:pt>
                <c:pt idx="94">
                  <c:v>83.160929806830524</c:v>
                </c:pt>
                <c:pt idx="95">
                  <c:v>83.54942842813827</c:v>
                </c:pt>
                <c:pt idx="96">
                  <c:v>82.742353044135299</c:v>
                </c:pt>
                <c:pt idx="97">
                  <c:v>81.42468108541027</c:v>
                </c:pt>
                <c:pt idx="98">
                  <c:v>80.261396063909913</c:v>
                </c:pt>
                <c:pt idx="99">
                  <c:v>81.731183615873064</c:v>
                </c:pt>
                <c:pt idx="100">
                  <c:v>81.184626810129458</c:v>
                </c:pt>
              </c:numCache>
            </c:numRef>
          </c:val>
          <c:smooth val="0"/>
          <c:extLst>
            <c:ext xmlns:c16="http://schemas.microsoft.com/office/drawing/2014/chart" uri="{C3380CC4-5D6E-409C-BE32-E72D297353CC}">
              <c16:uniqueId val="{00000001-D762-4FC3-9E97-D0EA772FB142}"/>
            </c:ext>
          </c:extLst>
        </c:ser>
        <c:ser>
          <c:idx val="2"/>
          <c:order val="1"/>
          <c:tx>
            <c:strRef>
              <c:f>Dashboard!$H$4</c:f>
              <c:strCache>
                <c:ptCount val="1"/>
                <c:pt idx="0">
                  <c:v>SSCIcrit</c:v>
                </c:pt>
              </c:strCache>
            </c:strRef>
          </c:tx>
          <c:spPr>
            <a:ln w="38100" cap="rnd">
              <a:solidFill>
                <a:schemeClr val="accent3"/>
              </a:solidFill>
              <a:round/>
            </a:ln>
            <a:effectLst/>
          </c:spPr>
          <c:marker>
            <c:symbol val="none"/>
          </c:marker>
          <c:cat>
            <c:numRef>
              <c:f>Dashboard!$E$5:$E$105</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Dashboard!$H$5:$H$105</c:f>
              <c:numCache>
                <c:formatCode>General</c:formatCode>
                <c:ptCount val="101"/>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81</c:v>
                </c:pt>
                <c:pt idx="27">
                  <c:v>81</c:v>
                </c:pt>
                <c:pt idx="28">
                  <c:v>81</c:v>
                </c:pt>
                <c:pt idx="29">
                  <c:v>81</c:v>
                </c:pt>
                <c:pt idx="30">
                  <c:v>78.88</c:v>
                </c:pt>
                <c:pt idx="31">
                  <c:v>78.88</c:v>
                </c:pt>
                <c:pt idx="32">
                  <c:v>78.88</c:v>
                </c:pt>
                <c:pt idx="33">
                  <c:v>78.88</c:v>
                </c:pt>
                <c:pt idx="34">
                  <c:v>78.88</c:v>
                </c:pt>
                <c:pt idx="35">
                  <c:v>78.88</c:v>
                </c:pt>
                <c:pt idx="36">
                  <c:v>78.88</c:v>
                </c:pt>
                <c:pt idx="37">
                  <c:v>78.88</c:v>
                </c:pt>
                <c:pt idx="38">
                  <c:v>78.88</c:v>
                </c:pt>
                <c:pt idx="39">
                  <c:v>74.52000000000001</c:v>
                </c:pt>
                <c:pt idx="40">
                  <c:v>74.52000000000001</c:v>
                </c:pt>
                <c:pt idx="41">
                  <c:v>74.52000000000001</c:v>
                </c:pt>
                <c:pt idx="42">
                  <c:v>74.52000000000001</c:v>
                </c:pt>
                <c:pt idx="43">
                  <c:v>74.52000000000001</c:v>
                </c:pt>
                <c:pt idx="44">
                  <c:v>74.52000000000001</c:v>
                </c:pt>
                <c:pt idx="45">
                  <c:v>74.52000000000001</c:v>
                </c:pt>
                <c:pt idx="46">
                  <c:v>74.52000000000001</c:v>
                </c:pt>
                <c:pt idx="47">
                  <c:v>74.52000000000001</c:v>
                </c:pt>
                <c:pt idx="48">
                  <c:v>74.52000000000001</c:v>
                </c:pt>
                <c:pt idx="49">
                  <c:v>74.52000000000001</c:v>
                </c:pt>
                <c:pt idx="50">
                  <c:v>74.52000000000001</c:v>
                </c:pt>
                <c:pt idx="51">
                  <c:v>74.52000000000001</c:v>
                </c:pt>
                <c:pt idx="52">
                  <c:v>74.52000000000001</c:v>
                </c:pt>
                <c:pt idx="53">
                  <c:v>74.52000000000001</c:v>
                </c:pt>
                <c:pt idx="54">
                  <c:v>65.319999999999993</c:v>
                </c:pt>
                <c:pt idx="55">
                  <c:v>65.319999999999993</c:v>
                </c:pt>
                <c:pt idx="56">
                  <c:v>65.319999999999993</c:v>
                </c:pt>
                <c:pt idx="57">
                  <c:v>65.319999999999993</c:v>
                </c:pt>
                <c:pt idx="58">
                  <c:v>65.319999999999993</c:v>
                </c:pt>
                <c:pt idx="59">
                  <c:v>65.319999999999993</c:v>
                </c:pt>
                <c:pt idx="60">
                  <c:v>65.319999999999993</c:v>
                </c:pt>
                <c:pt idx="61">
                  <c:v>65.319999999999993</c:v>
                </c:pt>
                <c:pt idx="62">
                  <c:v>65.319999999999993</c:v>
                </c:pt>
                <c:pt idx="63">
                  <c:v>58</c:v>
                </c:pt>
                <c:pt idx="64">
                  <c:v>58</c:v>
                </c:pt>
                <c:pt idx="65">
                  <c:v>58</c:v>
                </c:pt>
                <c:pt idx="66">
                  <c:v>55.480000000000004</c:v>
                </c:pt>
                <c:pt idx="67">
                  <c:v>74.52000000000001</c:v>
                </c:pt>
                <c:pt idx="68">
                  <c:v>74.52000000000001</c:v>
                </c:pt>
                <c:pt idx="69">
                  <c:v>74.52000000000001</c:v>
                </c:pt>
                <c:pt idx="70">
                  <c:v>74.52000000000001</c:v>
                </c:pt>
                <c:pt idx="71">
                  <c:v>74.52000000000001</c:v>
                </c:pt>
                <c:pt idx="72">
                  <c:v>74.52000000000001</c:v>
                </c:pt>
                <c:pt idx="73">
                  <c:v>74.52000000000001</c:v>
                </c:pt>
                <c:pt idx="74">
                  <c:v>74.52000000000001</c:v>
                </c:pt>
                <c:pt idx="75">
                  <c:v>74.52000000000001</c:v>
                </c:pt>
                <c:pt idx="76">
                  <c:v>65.319999999999993</c:v>
                </c:pt>
                <c:pt idx="77">
                  <c:v>65.319999999999993</c:v>
                </c:pt>
                <c:pt idx="78">
                  <c:v>65.319999999999993</c:v>
                </c:pt>
                <c:pt idx="79">
                  <c:v>65.319999999999993</c:v>
                </c:pt>
                <c:pt idx="80">
                  <c:v>65.319999999999993</c:v>
                </c:pt>
                <c:pt idx="81">
                  <c:v>65.319999999999993</c:v>
                </c:pt>
                <c:pt idx="82">
                  <c:v>65.319999999999993</c:v>
                </c:pt>
                <c:pt idx="83">
                  <c:v>65.319999999999993</c:v>
                </c:pt>
                <c:pt idx="84">
                  <c:v>65.319999999999993</c:v>
                </c:pt>
                <c:pt idx="85">
                  <c:v>65.319999999999993</c:v>
                </c:pt>
                <c:pt idx="86">
                  <c:v>65.319999999999993</c:v>
                </c:pt>
                <c:pt idx="87">
                  <c:v>65.319999999999993</c:v>
                </c:pt>
                <c:pt idx="88">
                  <c:v>65.319999999999993</c:v>
                </c:pt>
                <c:pt idx="89">
                  <c:v>65.319999999999993</c:v>
                </c:pt>
                <c:pt idx="90">
                  <c:v>65.319999999999993</c:v>
                </c:pt>
                <c:pt idx="91">
                  <c:v>65.319999999999993</c:v>
                </c:pt>
                <c:pt idx="92">
                  <c:v>65.319999999999993</c:v>
                </c:pt>
                <c:pt idx="93">
                  <c:v>65.319999999999993</c:v>
                </c:pt>
                <c:pt idx="94">
                  <c:v>65.319999999999993</c:v>
                </c:pt>
                <c:pt idx="95">
                  <c:v>58</c:v>
                </c:pt>
                <c:pt idx="96">
                  <c:v>58</c:v>
                </c:pt>
                <c:pt idx="97">
                  <c:v>58</c:v>
                </c:pt>
                <c:pt idx="98">
                  <c:v>58</c:v>
                </c:pt>
                <c:pt idx="99">
                  <c:v>58</c:v>
                </c:pt>
                <c:pt idx="100">
                  <c:v>58</c:v>
                </c:pt>
              </c:numCache>
            </c:numRef>
          </c:val>
          <c:smooth val="0"/>
          <c:extLst>
            <c:ext xmlns:c16="http://schemas.microsoft.com/office/drawing/2014/chart" uri="{C3380CC4-5D6E-409C-BE32-E72D297353CC}">
              <c16:uniqueId val="{00000002-D762-4FC3-9E97-D0EA772FB142}"/>
            </c:ext>
          </c:extLst>
        </c:ser>
        <c:dLbls>
          <c:showLegendKey val="0"/>
          <c:showVal val="0"/>
          <c:showCatName val="0"/>
          <c:showSerName val="0"/>
          <c:showPercent val="0"/>
          <c:showBubbleSize val="0"/>
        </c:dLbls>
        <c:smooth val="0"/>
        <c:axId val="474689232"/>
        <c:axId val="474688576"/>
      </c:lineChart>
      <c:valAx>
        <c:axId val="47468857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r>
                  <a:rPr lang="en-GB" cap="none">
                    <a:solidFill>
                      <a:sysClr val="windowText" lastClr="000000"/>
                    </a:solidFill>
                  </a:rPr>
                  <a:t>Condition Score</a:t>
                </a:r>
              </a:p>
            </c:rich>
          </c:tx>
          <c:overlay val="0"/>
          <c:spPr>
            <a:noFill/>
            <a:ln>
              <a:noFill/>
            </a:ln>
            <a:effectLst/>
          </c:spPr>
          <c:txPr>
            <a:bodyPr rot="-540000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solidFill>
            <a:schemeClr val="bg1"/>
          </a:solid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74689232"/>
        <c:crosses val="autoZero"/>
        <c:crossBetween val="between"/>
      </c:valAx>
      <c:catAx>
        <c:axId val="474689232"/>
        <c:scaling>
          <c:orientation val="minMax"/>
        </c:scaling>
        <c:delete val="0"/>
        <c:axPos val="b"/>
        <c:title>
          <c:tx>
            <c:rich>
              <a:bodyPr rot="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r>
                  <a:rPr lang="en-GB" cap="none">
                    <a:solidFill>
                      <a:sysClr val="windowText" lastClr="000000"/>
                    </a:solidFill>
                  </a:rPr>
                  <a:t>Year in Analysis Period</a:t>
                </a:r>
              </a:p>
            </c:rich>
          </c:tx>
          <c:overlay val="0"/>
          <c:spPr>
            <a:noFill/>
            <a:ln>
              <a:noFill/>
            </a:ln>
            <a:effectLst/>
          </c:spPr>
          <c:txPr>
            <a:bodyPr rot="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Arial" panose="020B0604020202020204" pitchFamily="34" charset="0"/>
                <a:ea typeface="+mn-ea"/>
                <a:cs typeface="Arial" panose="020B0604020202020204" pitchFamily="34" charset="0"/>
              </a:defRPr>
            </a:pPr>
            <a:endParaRPr lang="en-US"/>
          </a:p>
        </c:txPr>
        <c:crossAx val="474688576"/>
        <c:crosses val="autoZero"/>
        <c:auto val="1"/>
        <c:lblAlgn val="ctr"/>
        <c:lblOffset val="100"/>
        <c:noMultiLvlLbl val="0"/>
      </c:catAx>
      <c:spPr>
        <a:noFill/>
        <a:ln>
          <a:solidFill>
            <a:schemeClr val="tx1"/>
          </a:solid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r>
              <a:rPr lang="en-GB" sz="1200">
                <a:solidFill>
                  <a:sysClr val="windowText" lastClr="000000"/>
                </a:solidFill>
              </a:rPr>
              <a:t>Bridge Condition (Unplanned Re-active)</a:t>
            </a:r>
          </a:p>
        </c:rich>
      </c:tx>
      <c:overlay val="0"/>
      <c:spPr>
        <a:noFill/>
        <a:ln>
          <a:noFill/>
        </a:ln>
        <a:effectLst/>
      </c:spPr>
      <c:txPr>
        <a:bodyPr rot="0" spcFirstLastPara="1" vertOverflow="ellipsis" vert="horz" wrap="square" anchor="ctr" anchorCtr="1"/>
        <a:lstStyle/>
        <a:p>
          <a:pPr>
            <a:defRPr sz="1200" b="0"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endParaRPr lang="en-US"/>
        </a:p>
      </c:txPr>
    </c:title>
    <c:autoTitleDeleted val="0"/>
    <c:plotArea>
      <c:layout/>
      <c:lineChart>
        <c:grouping val="standard"/>
        <c:varyColors val="0"/>
        <c:ser>
          <c:idx val="2"/>
          <c:order val="0"/>
          <c:tx>
            <c:strRef>
              <c:f>Dashboard!$M$4</c:f>
              <c:strCache>
                <c:ptCount val="1"/>
                <c:pt idx="0">
                  <c:v>SSCIav</c:v>
                </c:pt>
              </c:strCache>
            </c:strRef>
          </c:tx>
          <c:spPr>
            <a:ln w="38100" cap="rnd">
              <a:solidFill>
                <a:schemeClr val="accent3"/>
              </a:solidFill>
              <a:round/>
            </a:ln>
            <a:effectLst/>
          </c:spPr>
          <c:marker>
            <c:symbol val="none"/>
          </c:marker>
          <c:val>
            <c:numRef>
              <c:f>Dashboard!$M$5:$M$105</c:f>
              <c:numCache>
                <c:formatCode>General</c:formatCode>
                <c:ptCount val="101"/>
                <c:pt idx="1">
                  <c:v>81.692006639842859</c:v>
                </c:pt>
                <c:pt idx="2">
                  <c:v>86.081103907009776</c:v>
                </c:pt>
                <c:pt idx="3">
                  <c:v>85.536378181194095</c:v>
                </c:pt>
                <c:pt idx="4">
                  <c:v>84.724055513815529</c:v>
                </c:pt>
                <c:pt idx="5">
                  <c:v>80.9224836854751</c:v>
                </c:pt>
                <c:pt idx="6">
                  <c:v>78.390214454339144</c:v>
                </c:pt>
                <c:pt idx="7">
                  <c:v>82.955112167721822</c:v>
                </c:pt>
                <c:pt idx="8">
                  <c:v>80.331764355180098</c:v>
                </c:pt>
                <c:pt idx="9">
                  <c:v>78.035627438216267</c:v>
                </c:pt>
                <c:pt idx="10">
                  <c:v>75.891060553526813</c:v>
                </c:pt>
                <c:pt idx="11">
                  <c:v>74.760668418794438</c:v>
                </c:pt>
                <c:pt idx="12">
                  <c:v>79.191230841326444</c:v>
                </c:pt>
                <c:pt idx="13">
                  <c:v>78.221868108684049</c:v>
                </c:pt>
                <c:pt idx="14">
                  <c:v>76.434782925335128</c:v>
                </c:pt>
                <c:pt idx="15">
                  <c:v>79.059749504204717</c:v>
                </c:pt>
                <c:pt idx="16">
                  <c:v>76.580693535354001</c:v>
                </c:pt>
                <c:pt idx="17">
                  <c:v>75.72199166301175</c:v>
                </c:pt>
                <c:pt idx="18">
                  <c:v>71.496479749623376</c:v>
                </c:pt>
                <c:pt idx="19">
                  <c:v>74.332514776367702</c:v>
                </c:pt>
                <c:pt idx="20">
                  <c:v>70.979370572405159</c:v>
                </c:pt>
                <c:pt idx="21">
                  <c:v>64.003114398800534</c:v>
                </c:pt>
                <c:pt idx="22">
                  <c:v>73.964480347199697</c:v>
                </c:pt>
                <c:pt idx="23">
                  <c:v>73.267982017886766</c:v>
                </c:pt>
                <c:pt idx="24">
                  <c:v>72.136325374230069</c:v>
                </c:pt>
                <c:pt idx="25">
                  <c:v>70.695943002374094</c:v>
                </c:pt>
                <c:pt idx="26">
                  <c:v>67.307547087202735</c:v>
                </c:pt>
                <c:pt idx="27">
                  <c:v>66.336658185150895</c:v>
                </c:pt>
                <c:pt idx="28">
                  <c:v>61.824820727102818</c:v>
                </c:pt>
                <c:pt idx="29">
                  <c:v>67.764020050866677</c:v>
                </c:pt>
                <c:pt idx="30">
                  <c:v>62.839663560954193</c:v>
                </c:pt>
                <c:pt idx="31">
                  <c:v>59.939233495738058</c:v>
                </c:pt>
                <c:pt idx="32">
                  <c:v>73.644421731088244</c:v>
                </c:pt>
                <c:pt idx="33">
                  <c:v>83.530171822619707</c:v>
                </c:pt>
                <c:pt idx="34">
                  <c:v>83.282657595202224</c:v>
                </c:pt>
                <c:pt idx="35">
                  <c:v>82.410424271085589</c:v>
                </c:pt>
                <c:pt idx="36">
                  <c:v>86.003091721172353</c:v>
                </c:pt>
                <c:pt idx="37">
                  <c:v>84.95093874163345</c:v>
                </c:pt>
                <c:pt idx="38">
                  <c:v>83.948764964197849</c:v>
                </c:pt>
                <c:pt idx="39">
                  <c:v>81.769891187238983</c:v>
                </c:pt>
                <c:pt idx="40">
                  <c:v>79.55271934555023</c:v>
                </c:pt>
                <c:pt idx="41">
                  <c:v>78.072570122613968</c:v>
                </c:pt>
                <c:pt idx="42">
                  <c:v>81.65281556034401</c:v>
                </c:pt>
                <c:pt idx="43">
                  <c:v>80.223540353683177</c:v>
                </c:pt>
                <c:pt idx="44">
                  <c:v>83.494560208377038</c:v>
                </c:pt>
                <c:pt idx="45">
                  <c:v>83.246962298344798</c:v>
                </c:pt>
                <c:pt idx="46">
                  <c:v>81.570057862883999</c:v>
                </c:pt>
                <c:pt idx="47">
                  <c:v>82.278633583455687</c:v>
                </c:pt>
                <c:pt idx="48">
                  <c:v>78.545898213230089</c:v>
                </c:pt>
                <c:pt idx="49">
                  <c:v>76.959890514816635</c:v>
                </c:pt>
                <c:pt idx="50">
                  <c:v>73.565805094296451</c:v>
                </c:pt>
                <c:pt idx="51">
                  <c:v>72.094081003174992</c:v>
                </c:pt>
                <c:pt idx="52">
                  <c:v>74.822333393480278</c:v>
                </c:pt>
                <c:pt idx="53">
                  <c:v>77.809480263295882</c:v>
                </c:pt>
                <c:pt idx="54">
                  <c:v>76.454820443689073</c:v>
                </c:pt>
                <c:pt idx="55">
                  <c:v>76.014654415199942</c:v>
                </c:pt>
                <c:pt idx="56">
                  <c:v>72.943437783413728</c:v>
                </c:pt>
                <c:pt idx="57">
                  <c:v>69.452243681232233</c:v>
                </c:pt>
                <c:pt idx="58">
                  <c:v>66.802515527926602</c:v>
                </c:pt>
                <c:pt idx="59">
                  <c:v>70.942978594754095</c:v>
                </c:pt>
                <c:pt idx="60">
                  <c:v>67.609730882086524</c:v>
                </c:pt>
                <c:pt idx="61">
                  <c:v>64.00494999999998</c:v>
                </c:pt>
                <c:pt idx="62">
                  <c:v>74.049658070736626</c:v>
                </c:pt>
                <c:pt idx="63">
                  <c:v>72.132373275681218</c:v>
                </c:pt>
                <c:pt idx="64">
                  <c:v>71.035434202246307</c:v>
                </c:pt>
                <c:pt idx="65">
                  <c:v>70.760117347113891</c:v>
                </c:pt>
                <c:pt idx="66">
                  <c:v>67.042687067132562</c:v>
                </c:pt>
                <c:pt idx="67">
                  <c:v>64.618300614976803</c:v>
                </c:pt>
                <c:pt idx="68">
                  <c:v>62.168568417602621</c:v>
                </c:pt>
                <c:pt idx="69">
                  <c:v>58.305105461137259</c:v>
                </c:pt>
                <c:pt idx="70">
                  <c:v>59.242834045880109</c:v>
                </c:pt>
                <c:pt idx="71">
                  <c:v>62.813491855370764</c:v>
                </c:pt>
                <c:pt idx="72">
                  <c:v>66.236794588203878</c:v>
                </c:pt>
                <c:pt idx="73">
                  <c:v>73.534295741642978</c:v>
                </c:pt>
                <c:pt idx="74">
                  <c:v>72.063686081501103</c:v>
                </c:pt>
                <c:pt idx="75">
                  <c:v>71.790550237409633</c:v>
                </c:pt>
                <c:pt idx="76">
                  <c:v>68.289947252865105</c:v>
                </c:pt>
                <c:pt idx="77">
                  <c:v>76.957277873228946</c:v>
                </c:pt>
                <c:pt idx="78">
                  <c:v>74.860525941295919</c:v>
                </c:pt>
                <c:pt idx="79">
                  <c:v>77.606753208367479</c:v>
                </c:pt>
                <c:pt idx="80">
                  <c:v>75.188538787399168</c:v>
                </c:pt>
                <c:pt idx="81">
                  <c:v>71.497720914694597</c:v>
                </c:pt>
                <c:pt idx="82">
                  <c:v>75.8476768215709</c:v>
                </c:pt>
                <c:pt idx="83">
                  <c:v>74.447998624883184</c:v>
                </c:pt>
                <c:pt idx="84">
                  <c:v>72.792156518754396</c:v>
                </c:pt>
                <c:pt idx="85">
                  <c:v>77.858751801071676</c:v>
                </c:pt>
                <c:pt idx="86">
                  <c:v>76.757596669590569</c:v>
                </c:pt>
                <c:pt idx="87">
                  <c:v>74.346106717787592</c:v>
                </c:pt>
                <c:pt idx="88">
                  <c:v>71.356399835052713</c:v>
                </c:pt>
                <c:pt idx="89">
                  <c:v>68.772797232842606</c:v>
                </c:pt>
                <c:pt idx="90">
                  <c:v>71.043156632930334</c:v>
                </c:pt>
                <c:pt idx="91">
                  <c:v>68.065198866345014</c:v>
                </c:pt>
                <c:pt idx="92">
                  <c:v>73.16340534862988</c:v>
                </c:pt>
                <c:pt idx="93">
                  <c:v>78.259925952737348</c:v>
                </c:pt>
                <c:pt idx="94">
                  <c:v>77.6098238761179</c:v>
                </c:pt>
                <c:pt idx="95">
                  <c:v>76.736420262533116</c:v>
                </c:pt>
                <c:pt idx="96">
                  <c:v>74.318921339934391</c:v>
                </c:pt>
                <c:pt idx="97">
                  <c:v>71.024472546290099</c:v>
                </c:pt>
                <c:pt idx="98">
                  <c:v>67.544795741642986</c:v>
                </c:pt>
                <c:pt idx="99">
                  <c:v>64.557187910222908</c:v>
                </c:pt>
                <c:pt idx="100">
                  <c:v>61.371391153629787</c:v>
                </c:pt>
              </c:numCache>
            </c:numRef>
          </c:val>
          <c:smooth val="0"/>
          <c:extLst>
            <c:ext xmlns:c16="http://schemas.microsoft.com/office/drawing/2014/chart" uri="{C3380CC4-5D6E-409C-BE32-E72D297353CC}">
              <c16:uniqueId val="{00000002-D30E-47B3-AF98-FC82458B45E1}"/>
            </c:ext>
          </c:extLst>
        </c:ser>
        <c:ser>
          <c:idx val="3"/>
          <c:order val="1"/>
          <c:tx>
            <c:strRef>
              <c:f>Dashboard!$N$4</c:f>
              <c:strCache>
                <c:ptCount val="1"/>
                <c:pt idx="0">
                  <c:v>SSCIcrit</c:v>
                </c:pt>
              </c:strCache>
            </c:strRef>
          </c:tx>
          <c:spPr>
            <a:ln w="38100" cap="rnd">
              <a:solidFill>
                <a:schemeClr val="accent4"/>
              </a:solidFill>
              <a:round/>
            </a:ln>
            <a:effectLst/>
          </c:spPr>
          <c:marker>
            <c:symbol val="none"/>
          </c:marker>
          <c:val>
            <c:numRef>
              <c:f>Dashboard!$N$5:$N$105</c:f>
              <c:numCache>
                <c:formatCode>General</c:formatCode>
                <c:ptCount val="101"/>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81</c:v>
                </c:pt>
                <c:pt idx="22">
                  <c:v>78.88</c:v>
                </c:pt>
                <c:pt idx="23">
                  <c:v>78.88</c:v>
                </c:pt>
                <c:pt idx="24">
                  <c:v>78.88</c:v>
                </c:pt>
                <c:pt idx="25">
                  <c:v>78.88</c:v>
                </c:pt>
                <c:pt idx="26">
                  <c:v>78.88</c:v>
                </c:pt>
                <c:pt idx="27">
                  <c:v>78.88</c:v>
                </c:pt>
                <c:pt idx="28">
                  <c:v>78.88</c:v>
                </c:pt>
                <c:pt idx="29">
                  <c:v>78.88</c:v>
                </c:pt>
                <c:pt idx="30">
                  <c:v>74.52000000000001</c:v>
                </c:pt>
                <c:pt idx="31">
                  <c:v>74.52000000000001</c:v>
                </c:pt>
                <c:pt idx="32">
                  <c:v>74.52000000000001</c:v>
                </c:pt>
                <c:pt idx="33">
                  <c:v>74.52000000000001</c:v>
                </c:pt>
                <c:pt idx="34">
                  <c:v>74.52000000000001</c:v>
                </c:pt>
                <c:pt idx="35">
                  <c:v>74.52000000000001</c:v>
                </c:pt>
                <c:pt idx="36">
                  <c:v>65.319999999999993</c:v>
                </c:pt>
                <c:pt idx="37">
                  <c:v>65.319999999999993</c:v>
                </c:pt>
                <c:pt idx="38">
                  <c:v>65.319999999999993</c:v>
                </c:pt>
                <c:pt idx="39">
                  <c:v>65.319999999999993</c:v>
                </c:pt>
                <c:pt idx="40">
                  <c:v>65.319999999999993</c:v>
                </c:pt>
                <c:pt idx="41">
                  <c:v>65.319999999999993</c:v>
                </c:pt>
                <c:pt idx="42">
                  <c:v>55.480000000000004</c:v>
                </c:pt>
                <c:pt idx="43">
                  <c:v>55.480000000000004</c:v>
                </c:pt>
                <c:pt idx="44">
                  <c:v>55.480000000000004</c:v>
                </c:pt>
                <c:pt idx="45">
                  <c:v>55.480000000000004</c:v>
                </c:pt>
                <c:pt idx="46">
                  <c:v>55.480000000000004</c:v>
                </c:pt>
                <c:pt idx="47">
                  <c:v>55.480000000000004</c:v>
                </c:pt>
                <c:pt idx="48">
                  <c:v>50.319999999999993</c:v>
                </c:pt>
                <c:pt idx="49">
                  <c:v>50.319999999999993</c:v>
                </c:pt>
                <c:pt idx="50">
                  <c:v>50.319999999999993</c:v>
                </c:pt>
                <c:pt idx="51">
                  <c:v>50.319999999999993</c:v>
                </c:pt>
                <c:pt idx="52">
                  <c:v>39.519999999999996</c:v>
                </c:pt>
                <c:pt idx="53">
                  <c:v>39.519999999999996</c:v>
                </c:pt>
                <c:pt idx="54">
                  <c:v>39.519999999999996</c:v>
                </c:pt>
                <c:pt idx="55">
                  <c:v>39.519999999999996</c:v>
                </c:pt>
                <c:pt idx="56">
                  <c:v>31</c:v>
                </c:pt>
                <c:pt idx="57">
                  <c:v>28.080000000000013</c:v>
                </c:pt>
                <c:pt idx="58">
                  <c:v>28.080000000000013</c:v>
                </c:pt>
                <c:pt idx="59">
                  <c:v>28.080000000000013</c:v>
                </c:pt>
                <c:pt idx="60">
                  <c:v>22.120000000000005</c:v>
                </c:pt>
                <c:pt idx="62">
                  <c:v>50.319999999999993</c:v>
                </c:pt>
                <c:pt idx="63">
                  <c:v>50.319999999999993</c:v>
                </c:pt>
                <c:pt idx="64">
                  <c:v>50.319999999999993</c:v>
                </c:pt>
                <c:pt idx="65">
                  <c:v>50.319999999999993</c:v>
                </c:pt>
                <c:pt idx="66">
                  <c:v>50.319999999999993</c:v>
                </c:pt>
                <c:pt idx="67">
                  <c:v>50.319999999999993</c:v>
                </c:pt>
                <c:pt idx="68">
                  <c:v>50.319999999999993</c:v>
                </c:pt>
                <c:pt idx="69">
                  <c:v>50.319999999999993</c:v>
                </c:pt>
                <c:pt idx="70">
                  <c:v>50.319999999999993</c:v>
                </c:pt>
                <c:pt idx="71">
                  <c:v>39.519999999999996</c:v>
                </c:pt>
                <c:pt idx="72">
                  <c:v>39.519999999999996</c:v>
                </c:pt>
                <c:pt idx="73">
                  <c:v>31</c:v>
                </c:pt>
                <c:pt idx="74">
                  <c:v>31</c:v>
                </c:pt>
                <c:pt idx="75">
                  <c:v>31</c:v>
                </c:pt>
                <c:pt idx="76">
                  <c:v>31</c:v>
                </c:pt>
                <c:pt idx="77">
                  <c:v>28.080000000000013</c:v>
                </c:pt>
                <c:pt idx="78">
                  <c:v>28.080000000000013</c:v>
                </c:pt>
                <c:pt idx="79">
                  <c:v>28.080000000000013</c:v>
                </c:pt>
                <c:pt idx="80">
                  <c:v>28.080000000000013</c:v>
                </c:pt>
                <c:pt idx="81">
                  <c:v>22.120000000000005</c:v>
                </c:pt>
                <c:pt idx="82">
                  <c:v>22.120000000000005</c:v>
                </c:pt>
                <c:pt idx="83">
                  <c:v>22.120000000000005</c:v>
                </c:pt>
                <c:pt idx="84">
                  <c:v>22.120000000000005</c:v>
                </c:pt>
                <c:pt idx="85">
                  <c:v>22.120000000000005</c:v>
                </c:pt>
                <c:pt idx="86">
                  <c:v>22.120000000000005</c:v>
                </c:pt>
                <c:pt idx="87">
                  <c:v>22.120000000000005</c:v>
                </c:pt>
                <c:pt idx="88">
                  <c:v>22.120000000000005</c:v>
                </c:pt>
                <c:pt idx="89">
                  <c:v>9.7199999999999989</c:v>
                </c:pt>
                <c:pt idx="90">
                  <c:v>9.7199999999999989</c:v>
                </c:pt>
                <c:pt idx="91">
                  <c:v>9.7199999999999989</c:v>
                </c:pt>
                <c:pt idx="93">
                  <c:v>50.319999999999993</c:v>
                </c:pt>
                <c:pt idx="94">
                  <c:v>50.319999999999993</c:v>
                </c:pt>
                <c:pt idx="95">
                  <c:v>50.319999999999993</c:v>
                </c:pt>
                <c:pt idx="96">
                  <c:v>39.519999999999996</c:v>
                </c:pt>
                <c:pt idx="97">
                  <c:v>39.519999999999996</c:v>
                </c:pt>
                <c:pt idx="98">
                  <c:v>39.519999999999996</c:v>
                </c:pt>
                <c:pt idx="99">
                  <c:v>39.519999999999996</c:v>
                </c:pt>
                <c:pt idx="100">
                  <c:v>39.519999999999996</c:v>
                </c:pt>
              </c:numCache>
            </c:numRef>
          </c:val>
          <c:smooth val="0"/>
          <c:extLst>
            <c:ext xmlns:c16="http://schemas.microsoft.com/office/drawing/2014/chart" uri="{C3380CC4-5D6E-409C-BE32-E72D297353CC}">
              <c16:uniqueId val="{00000003-D30E-47B3-AF98-FC82458B45E1}"/>
            </c:ext>
          </c:extLst>
        </c:ser>
        <c:dLbls>
          <c:showLegendKey val="0"/>
          <c:showVal val="0"/>
          <c:showCatName val="0"/>
          <c:showSerName val="0"/>
          <c:showPercent val="0"/>
          <c:showBubbleSize val="0"/>
        </c:dLbls>
        <c:smooth val="0"/>
        <c:axId val="478160152"/>
        <c:axId val="478156216"/>
      </c:lineChart>
      <c:valAx>
        <c:axId val="47815621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r>
                  <a:rPr lang="en-GB" cap="none">
                    <a:solidFill>
                      <a:sysClr val="windowText" lastClr="000000"/>
                    </a:solidFill>
                  </a:rPr>
                  <a:t>Condition Score</a:t>
                </a:r>
              </a:p>
            </c:rich>
          </c:tx>
          <c:overlay val="0"/>
          <c:spPr>
            <a:noFill/>
            <a:ln>
              <a:noFill/>
            </a:ln>
            <a:effectLst/>
          </c:spPr>
          <c:txPr>
            <a:bodyPr rot="-540000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78160152"/>
        <c:crosses val="autoZero"/>
        <c:crossBetween val="between"/>
        <c:majorUnit val="10"/>
      </c:valAx>
      <c:catAx>
        <c:axId val="478160152"/>
        <c:scaling>
          <c:orientation val="minMax"/>
        </c:scaling>
        <c:delete val="0"/>
        <c:axPos val="b"/>
        <c:title>
          <c:tx>
            <c:rich>
              <a:bodyPr rot="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r>
                  <a:rPr lang="en-GB" cap="none">
                    <a:solidFill>
                      <a:sysClr val="windowText" lastClr="000000"/>
                    </a:solidFill>
                  </a:rPr>
                  <a:t>Year in Analysis Period</a:t>
                </a:r>
              </a:p>
            </c:rich>
          </c:tx>
          <c:overlay val="0"/>
          <c:spPr>
            <a:noFill/>
            <a:ln>
              <a:noFill/>
            </a:ln>
            <a:effectLst/>
          </c:spPr>
          <c:txPr>
            <a:bodyPr rot="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en-US"/>
            </a:p>
          </c:txPr>
        </c:title>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78156216"/>
        <c:crosses val="autoZero"/>
        <c:auto val="1"/>
        <c:lblAlgn val="ctr"/>
        <c:lblOffset val="100"/>
        <c:noMultiLvlLbl val="0"/>
      </c:catAx>
      <c:spPr>
        <a:noFill/>
        <a:ln>
          <a:solidFill>
            <a:schemeClr val="tx1"/>
          </a:solid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bg1">
                <a:lumMod val="7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Dashboard!$D$170:$D$270</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Dashboard!$E$170:$E$270</c:f>
              <c:numCache>
                <c:formatCode>General</c:formatCode>
                <c:ptCount val="101"/>
                <c:pt idx="2" formatCode="&quot;£&quot;#,##0">
                  <c:v>18760.523474238555</c:v>
                </c:pt>
                <c:pt idx="7" formatCode="&quot;£&quot;#,##0">
                  <c:v>108013.16108411149</c:v>
                </c:pt>
                <c:pt idx="12" formatCode="&quot;£&quot;#,##0">
                  <c:v>13299.688045931529</c:v>
                </c:pt>
                <c:pt idx="15" formatCode="&quot;£&quot;#,##0">
                  <c:v>20676.466609238149</c:v>
                </c:pt>
                <c:pt idx="19" formatCode="&quot;£&quot;#,##0">
                  <c:v>1870.7430382324449</c:v>
                </c:pt>
                <c:pt idx="22" formatCode="&quot;£&quot;#,##0">
                  <c:v>35888.362142440834</c:v>
                </c:pt>
                <c:pt idx="29" formatCode="&quot;£&quot;#,##0">
                  <c:v>37711.110113883231</c:v>
                </c:pt>
                <c:pt idx="32" formatCode="&quot;£&quot;#,##0">
                  <c:v>121609.74745052931</c:v>
                </c:pt>
                <c:pt idx="33" formatCode="&quot;£&quot;#,##0">
                  <c:v>101617.48284164438</c:v>
                </c:pt>
                <c:pt idx="36" formatCode="&quot;£&quot;#,##0">
                  <c:v>34738.106263959424</c:v>
                </c:pt>
                <c:pt idx="42" formatCode="&quot;£&quot;#,##0">
                  <c:v>6259.6984581844517</c:v>
                </c:pt>
                <c:pt idx="44" formatCode="&quot;£&quot;#,##0">
                  <c:v>35502.547547669841</c:v>
                </c:pt>
                <c:pt idx="47" formatCode="&quot;£&quot;#,##0">
                  <c:v>9307.2892015329562</c:v>
                </c:pt>
                <c:pt idx="52" formatCode="&quot;£&quot;#,##0">
                  <c:v>4657.8035318234633</c:v>
                </c:pt>
                <c:pt idx="53" formatCode="&quot;£&quot;#,##0">
                  <c:v>18199.179508020927</c:v>
                </c:pt>
                <c:pt idx="59" formatCode="&quot;£&quot;#,##0">
                  <c:v>25897.274835676606</c:v>
                </c:pt>
                <c:pt idx="62" formatCode="&quot;£&quot;#,##0">
                  <c:v>116082.82064389689</c:v>
                </c:pt>
                <c:pt idx="70" formatCode="&quot;£&quot;#,##0">
                  <c:v>2222.9275582968985</c:v>
                </c:pt>
                <c:pt idx="71" formatCode="&quot;£&quot;#,##0">
                  <c:v>7422.8236828983281</c:v>
                </c:pt>
                <c:pt idx="72" formatCode="&quot;£&quot;#,##0">
                  <c:v>2578.9128833341315</c:v>
                </c:pt>
                <c:pt idx="73" formatCode="&quot;£&quot;#,##0">
                  <c:v>34787.255712632301</c:v>
                </c:pt>
                <c:pt idx="77" formatCode="&quot;£&quot;#,##0">
                  <c:v>27455.001341129664</c:v>
                </c:pt>
                <c:pt idx="79" formatCode="&quot;£&quot;#,##0">
                  <c:v>5441.4077315563909</c:v>
                </c:pt>
                <c:pt idx="82" formatCode="&quot;£&quot;#,##0">
                  <c:v>2931.4585231898832</c:v>
                </c:pt>
                <c:pt idx="85" formatCode="&quot;£&quot;#,##0">
                  <c:v>18614.253773209628</c:v>
                </c:pt>
                <c:pt idx="90" formatCode="&quot;£&quot;#,##0">
                  <c:v>14476.827011390775</c:v>
                </c:pt>
                <c:pt idx="92" formatCode="&quot;£&quot;#,##0">
                  <c:v>2290.0507130411966</c:v>
                </c:pt>
                <c:pt idx="93" formatCode="&quot;£&quot;#,##0">
                  <c:v>47728.047983617478</c:v>
                </c:pt>
              </c:numCache>
            </c:numRef>
          </c:val>
          <c:extLst>
            <c:ext xmlns:c16="http://schemas.microsoft.com/office/drawing/2014/chart" uri="{C3380CC4-5D6E-409C-BE32-E72D297353CC}">
              <c16:uniqueId val="{00000000-5685-4BC7-9C4B-33F7DE1BA6FB}"/>
            </c:ext>
          </c:extLst>
        </c:ser>
        <c:dLbls>
          <c:showLegendKey val="0"/>
          <c:showVal val="1"/>
          <c:showCatName val="0"/>
          <c:showSerName val="0"/>
          <c:showPercent val="0"/>
          <c:showBubbleSize val="0"/>
        </c:dLbls>
        <c:gapWidth val="150"/>
        <c:overlap val="-25"/>
        <c:axId val="1065164448"/>
        <c:axId val="1065161168"/>
      </c:barChart>
      <c:catAx>
        <c:axId val="1065164448"/>
        <c:scaling>
          <c:orientation val="minMax"/>
        </c:scaling>
        <c:delete val="0"/>
        <c:axPos val="b"/>
        <c:title>
          <c:tx>
            <c:rich>
              <a:bodyPr rot="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r>
                  <a:rPr lang="en-GB" sz="900" b="0" cap="none">
                    <a:solidFill>
                      <a:sysClr val="windowText" lastClr="000000"/>
                    </a:solidFill>
                  </a:rPr>
                  <a:t>Year in Analysis Period</a:t>
                </a:r>
              </a:p>
            </c:rich>
          </c:tx>
          <c:overlay val="0"/>
          <c:spPr>
            <a:noFill/>
            <a:ln>
              <a:noFill/>
            </a:ln>
            <a:effectLst/>
          </c:spPr>
          <c:txPr>
            <a:bodyPr rot="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cap="none" spc="0" normalizeH="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65161168"/>
        <c:crosses val="autoZero"/>
        <c:auto val="1"/>
        <c:lblAlgn val="ctr"/>
        <c:lblOffset val="100"/>
        <c:noMultiLvlLbl val="0"/>
      </c:catAx>
      <c:valAx>
        <c:axId val="1065161168"/>
        <c:scaling>
          <c:orientation val="minMax"/>
          <c:max val="200000"/>
        </c:scaling>
        <c:delete val="1"/>
        <c:axPos val="l"/>
        <c:numFmt formatCode="&quot;£&quot;0#" sourceLinked="0"/>
        <c:majorTickMark val="none"/>
        <c:minorTickMark val="none"/>
        <c:tickLblPos val="nextTo"/>
        <c:crossAx val="1065164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Dashboard!$F$168</c:f>
              <c:strCache>
                <c:ptCount val="1"/>
                <c:pt idx="0">
                  <c:v>Year</c:v>
                </c:pt>
              </c:strCache>
            </c:strRef>
          </c:tx>
          <c:spPr>
            <a:gradFill rotWithShape="1">
              <a:gsLst>
                <a:gs pos="0">
                  <a:schemeClr val="dk1">
                    <a:tint val="88500"/>
                    <a:tint val="50000"/>
                    <a:satMod val="300000"/>
                  </a:schemeClr>
                </a:gs>
                <a:gs pos="35000">
                  <a:schemeClr val="dk1">
                    <a:tint val="88500"/>
                    <a:tint val="37000"/>
                    <a:satMod val="300000"/>
                  </a:schemeClr>
                </a:gs>
                <a:gs pos="100000">
                  <a:schemeClr val="dk1">
                    <a:tint val="88500"/>
                    <a:tint val="15000"/>
                    <a:satMod val="350000"/>
                  </a:schemeClr>
                </a:gs>
              </a:gsLst>
              <a:lin ang="16200000" scaled="1"/>
            </a:gradFill>
            <a:ln w="9525" cap="flat" cmpd="sng" algn="ctr">
              <a:solidFill>
                <a:schemeClr val="dk1">
                  <a:tint val="88500"/>
                  <a:shade val="95000"/>
                </a:schemeClr>
              </a:solidFill>
              <a:round/>
            </a:ln>
            <a:effectLst>
              <a:outerShdw blurRad="40000" dist="20000" dir="5400000" rotWithShape="0">
                <a:srgbClr val="000000">
                  <a:alpha val="38000"/>
                </a:srgbClr>
              </a:outerShdw>
            </a:effectLst>
          </c:spPr>
          <c:invertIfNegative val="0"/>
          <c:dLbls>
            <c:delete val="1"/>
          </c:dLbls>
          <c:val>
            <c:numRef>
              <c:f>Dashboard!$F$169:$F$269</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val>
          <c:extLst>
            <c:ext xmlns:c16="http://schemas.microsoft.com/office/drawing/2014/chart" uri="{C3380CC4-5D6E-409C-BE32-E72D297353CC}">
              <c16:uniqueId val="{00000000-01CD-4615-BF5F-7CFDE5649005}"/>
            </c:ext>
          </c:extLst>
        </c:ser>
        <c:ser>
          <c:idx val="2"/>
          <c:order val="1"/>
          <c:tx>
            <c:strRef>
              <c:f>Dashboard!$H$168</c:f>
              <c:strCache>
                <c:ptCount val="1"/>
                <c:pt idx="0">
                  <c:v>Planned Preventive</c:v>
                </c:pt>
              </c:strCache>
            </c:strRef>
          </c:tx>
          <c:spPr>
            <a:solidFill>
              <a:sysClr val="windowText" lastClr="000000"/>
            </a:solidFill>
            <a:ln w="9525" cap="flat" cmpd="sng" algn="ctr">
              <a:solidFill>
                <a:schemeClr val="dk1">
                  <a:tint val="75000"/>
                  <a:shade val="95000"/>
                </a:schemeClr>
              </a:solidFill>
              <a:round/>
            </a:ln>
            <a:effectLst>
              <a:outerShdw blurRad="40000" dist="20000" dir="5400000" rotWithShape="0">
                <a:srgbClr val="000000">
                  <a:alpha val="38000"/>
                </a:srgbClr>
              </a:outerShdw>
            </a:effectLst>
          </c:spPr>
          <c:invertIfNegative val="0"/>
          <c:dPt>
            <c:idx val="1"/>
            <c:invertIfNegative val="0"/>
            <c:bubble3D val="0"/>
            <c:spPr>
              <a:solidFill>
                <a:schemeClr val="bg1">
                  <a:lumMod val="75000"/>
                </a:schemeClr>
              </a:solidFill>
              <a:ln w="9525" cap="flat" cmpd="sng" algn="ctr">
                <a:no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6-01CD-4615-BF5F-7CFDE5649005}"/>
              </c:ext>
            </c:extLst>
          </c:dPt>
          <c:dPt>
            <c:idx val="2"/>
            <c:invertIfNegative val="0"/>
            <c:bubble3D val="0"/>
            <c:spPr>
              <a:solidFill>
                <a:schemeClr val="bg1">
                  <a:lumMod val="75000"/>
                </a:schemeClr>
              </a:solidFill>
              <a:ln w="9525" cap="flat" cmpd="sng" algn="ctr">
                <a:no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4-01CD-4615-BF5F-7CFDE5649005}"/>
              </c:ext>
            </c:extLst>
          </c:dPt>
          <c:dPt>
            <c:idx val="4"/>
            <c:invertIfNegative val="0"/>
            <c:bubble3D val="0"/>
            <c:spPr>
              <a:solidFill>
                <a:schemeClr val="bg1">
                  <a:lumMod val="75000"/>
                </a:schemeClr>
              </a:solidFill>
              <a:ln w="9525" cap="flat" cmpd="sng" algn="ctr">
                <a:no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01CD-4615-BF5F-7CFDE5649005}"/>
              </c:ext>
            </c:extLst>
          </c:dPt>
          <c:dLbls>
            <c:dLbl>
              <c:idx val="1"/>
              <c:spPr>
                <a:noFill/>
                <a:ln>
                  <a:noFill/>
                </a:ln>
                <a:effectLst/>
              </c:spPr>
              <c:txPr>
                <a:bodyPr rot="-5400000" spcFirstLastPara="1" vertOverflow="ellipsis" wrap="square" lIns="38100" tIns="19050" rIns="38100" bIns="19050" anchor="ctr" anchorCtr="1">
                  <a:spAutoFit/>
                </a:bodyPr>
                <a:lstStyle/>
                <a:p>
                  <a:pPr>
                    <a:defRPr sz="800" b="1"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6-01CD-4615-BF5F-7CFDE5649005}"/>
                </c:ext>
              </c:extLst>
            </c:dLbl>
            <c:dLbl>
              <c:idx val="2"/>
              <c:spPr>
                <a:noFill/>
                <a:ln>
                  <a:noFill/>
                </a:ln>
                <a:effectLst/>
              </c:spPr>
              <c:txPr>
                <a:bodyPr rot="-5400000" spcFirstLastPara="1" vertOverflow="ellipsis" wrap="square" lIns="38100" tIns="19050" rIns="38100" bIns="19050" anchor="ctr" anchorCtr="1">
                  <a:spAutoFit/>
                </a:bodyPr>
                <a:lstStyle/>
                <a:p>
                  <a:pPr>
                    <a:defRPr sz="800" b="1"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4-01CD-4615-BF5F-7CFDE5649005}"/>
                </c:ext>
              </c:extLst>
            </c:dLbl>
            <c:dLbl>
              <c:idx val="4"/>
              <c:spPr>
                <a:noFill/>
                <a:ln>
                  <a:noFill/>
                </a:ln>
                <a:effectLst/>
              </c:spPr>
              <c:txPr>
                <a:bodyPr rot="-5400000" spcFirstLastPara="1" vertOverflow="ellipsis" wrap="square" lIns="38100" tIns="19050" rIns="38100" bIns="19050" anchor="ctr" anchorCtr="1">
                  <a:spAutoFit/>
                </a:bodyPr>
                <a:lstStyle/>
                <a:p>
                  <a:pPr>
                    <a:defRPr sz="800" b="1"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5-01CD-4615-BF5F-7CFDE5649005}"/>
                </c:ext>
              </c:extLst>
            </c:dLbl>
            <c:spPr>
              <a:noFill/>
              <a:ln>
                <a:noFill/>
              </a:ln>
              <a:effectLst/>
            </c:spPr>
            <c:txPr>
              <a:bodyPr rot="-5400000" spcFirstLastPara="1" vertOverflow="ellipsis" wrap="square" lIns="38100" tIns="19050" rIns="38100" bIns="19050" anchor="ctr" anchorCtr="1">
                <a:spAutoFit/>
              </a:bodyPr>
              <a:lstStyle/>
              <a:p>
                <a:pPr>
                  <a:defRPr sz="700" b="1"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val>
            <c:numRef>
              <c:f>Dashboard!$H$169:$H$269</c:f>
              <c:numCache>
                <c:formatCode>"£"#,##0</c:formatCode>
                <c:ptCount val="101"/>
                <c:pt idx="1">
                  <c:v>27158.309050701646</c:v>
                </c:pt>
                <c:pt idx="2">
                  <c:v>26239.912126281826</c:v>
                </c:pt>
                <c:pt idx="4">
                  <c:v>11833.448669834872</c:v>
                </c:pt>
              </c:numCache>
            </c:numRef>
          </c:val>
          <c:extLst>
            <c:ext xmlns:c16="http://schemas.microsoft.com/office/drawing/2014/chart" uri="{C3380CC4-5D6E-409C-BE32-E72D297353CC}">
              <c16:uniqueId val="{00000002-01CD-4615-BF5F-7CFDE5649005}"/>
            </c:ext>
          </c:extLst>
        </c:ser>
        <c:dLbls>
          <c:showLegendKey val="0"/>
          <c:showVal val="1"/>
          <c:showCatName val="0"/>
          <c:showSerName val="0"/>
          <c:showPercent val="0"/>
          <c:showBubbleSize val="0"/>
        </c:dLbls>
        <c:gapWidth val="150"/>
        <c:overlap val="-25"/>
        <c:axId val="1132326712"/>
        <c:axId val="1132323104"/>
      </c:barChart>
      <c:catAx>
        <c:axId val="1132326712"/>
        <c:scaling>
          <c:orientation val="minMax"/>
        </c:scaling>
        <c:delete val="0"/>
        <c:axPos val="b"/>
        <c:title>
          <c:tx>
            <c:rich>
              <a:bodyPr rot="0" spcFirstLastPara="1" vertOverflow="ellipsis" vert="horz" wrap="square" anchor="ctr" anchorCtr="1"/>
              <a:lstStyle/>
              <a:p>
                <a:pPr>
                  <a:defRPr sz="900" b="0" i="0" u="none" strike="noStrike" kern="1200" cap="none" baseline="0">
                    <a:solidFill>
                      <a:schemeClr val="dk1">
                        <a:lumMod val="65000"/>
                        <a:lumOff val="35000"/>
                      </a:schemeClr>
                    </a:solidFill>
                    <a:latin typeface="Arial" panose="020B0604020202020204" pitchFamily="34" charset="0"/>
                    <a:ea typeface="+mn-ea"/>
                    <a:cs typeface="Arial" panose="020B0604020202020204" pitchFamily="34" charset="0"/>
                  </a:defRPr>
                </a:pPr>
                <a:r>
                  <a:rPr lang="en-GB" sz="900" b="0" cap="none">
                    <a:solidFill>
                      <a:sysClr val="windowText" lastClr="000000"/>
                    </a:solidFill>
                  </a:rPr>
                  <a:t>Year in Analysis</a:t>
                </a:r>
                <a:r>
                  <a:rPr lang="en-GB" sz="900" b="0" cap="none" baseline="0">
                    <a:solidFill>
                      <a:sysClr val="windowText" lastClr="000000"/>
                    </a:solidFill>
                  </a:rPr>
                  <a:t> Period</a:t>
                </a:r>
                <a:endParaRPr lang="en-GB" sz="900" b="0" cap="none">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cap="none"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title>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32323104"/>
        <c:crosses val="autoZero"/>
        <c:auto val="1"/>
        <c:lblAlgn val="ctr"/>
        <c:lblOffset val="100"/>
        <c:noMultiLvlLbl val="0"/>
      </c:catAx>
      <c:valAx>
        <c:axId val="1132323104"/>
        <c:scaling>
          <c:orientation val="minMax"/>
        </c:scaling>
        <c:delete val="1"/>
        <c:axPos val="l"/>
        <c:numFmt formatCode="&quot;£&quot;#,##0" sourceLinked="0"/>
        <c:majorTickMark val="none"/>
        <c:minorTickMark val="none"/>
        <c:tickLblPos val="nextTo"/>
        <c:crossAx val="1132326712"/>
        <c:crosses val="autoZero"/>
        <c:crossBetween val="between"/>
      </c:valAx>
      <c:spPr>
        <a:noFill/>
        <a:ln cmpd="sng">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Dashboard!$F$168</c:f>
              <c:strCache>
                <c:ptCount val="1"/>
                <c:pt idx="0">
                  <c:v>Year</c:v>
                </c:pt>
              </c:strCache>
            </c:strRef>
          </c:tx>
          <c:spPr>
            <a:gradFill rotWithShape="1">
              <a:gsLst>
                <a:gs pos="0">
                  <a:schemeClr val="dk1">
                    <a:tint val="88500"/>
                    <a:tint val="50000"/>
                    <a:satMod val="300000"/>
                  </a:schemeClr>
                </a:gs>
                <a:gs pos="35000">
                  <a:schemeClr val="dk1">
                    <a:tint val="88500"/>
                    <a:tint val="37000"/>
                    <a:satMod val="300000"/>
                  </a:schemeClr>
                </a:gs>
                <a:gs pos="100000">
                  <a:schemeClr val="dk1">
                    <a:tint val="88500"/>
                    <a:tint val="15000"/>
                    <a:satMod val="350000"/>
                  </a:schemeClr>
                </a:gs>
              </a:gsLst>
              <a:lin ang="16200000" scaled="1"/>
            </a:gradFill>
            <a:ln w="9525" cap="flat" cmpd="sng" algn="ctr">
              <a:solidFill>
                <a:schemeClr val="dk1">
                  <a:tint val="88500"/>
                  <a:shade val="95000"/>
                </a:schemeClr>
              </a:solidFill>
              <a:round/>
            </a:ln>
            <a:effectLst>
              <a:outerShdw blurRad="40000" dist="20000" dir="5400000" rotWithShape="0">
                <a:srgbClr val="000000">
                  <a:alpha val="38000"/>
                </a:srgbClr>
              </a:outerShdw>
            </a:effectLst>
          </c:spPr>
          <c:invertIfNegative val="0"/>
          <c:dLbls>
            <c:delete val="1"/>
          </c:dLbls>
          <c:val>
            <c:numRef>
              <c:f>Dashboard!$F$169:$F$269</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val>
          <c:extLst>
            <c:ext xmlns:c16="http://schemas.microsoft.com/office/drawing/2014/chart" uri="{C3380CC4-5D6E-409C-BE32-E72D297353CC}">
              <c16:uniqueId val="{00000000-8999-4F2B-B4AE-14DFC4A43C89}"/>
            </c:ext>
          </c:extLst>
        </c:ser>
        <c:ser>
          <c:idx val="1"/>
          <c:order val="1"/>
          <c:tx>
            <c:strRef>
              <c:f>Dashboard!$G$168</c:f>
              <c:strCache>
                <c:ptCount val="1"/>
                <c:pt idx="0">
                  <c:v>Unplanned Re-active</c:v>
                </c:pt>
              </c:strCache>
            </c:strRef>
          </c:tx>
          <c:spPr>
            <a:solidFill>
              <a:schemeClr val="bg1">
                <a:lumMod val="75000"/>
              </a:schemeClr>
            </a:solidFill>
            <a:ln w="9525" cap="flat" cmpd="sng" algn="ctr">
              <a:noFill/>
              <a:round/>
            </a:ln>
            <a:effectLst>
              <a:outerShdw blurRad="40000" dist="20000" dir="5400000" rotWithShape="0">
                <a:srgbClr val="000000">
                  <a:alpha val="38000"/>
                </a:srgbClr>
              </a:outerShdw>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1"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val>
            <c:numRef>
              <c:f>Dashboard!$G$169:$G$269</c:f>
              <c:numCache>
                <c:formatCode>"£"#,##0</c:formatCode>
                <c:ptCount val="101"/>
                <c:pt idx="1">
                  <c:v>27158.30905070169</c:v>
                </c:pt>
                <c:pt idx="5">
                  <c:v>11833.44866983489</c:v>
                </c:pt>
                <c:pt idx="6">
                  <c:v>22866.567477941815</c:v>
                </c:pt>
                <c:pt idx="10">
                  <c:v>9963.4462513986728</c:v>
                </c:pt>
                <c:pt idx="11">
                  <c:v>19253.036234586809</c:v>
                </c:pt>
                <c:pt idx="14">
                  <c:v>8682.5677968738491</c:v>
                </c:pt>
                <c:pt idx="15">
                  <c:v>8388.954393114831</c:v>
                </c:pt>
                <c:pt idx="16">
                  <c:v>8105.2699450384862</c:v>
                </c:pt>
                <c:pt idx="17">
                  <c:v>7831.1786908584409</c:v>
                </c:pt>
                <c:pt idx="18">
                  <c:v>7566.3562230516336</c:v>
                </c:pt>
                <c:pt idx="19">
                  <c:v>7310.489104397715</c:v>
                </c:pt>
                <c:pt idx="20">
                  <c:v>7063.2744970026233</c:v>
                </c:pt>
                <c:pt idx="21">
                  <c:v>13648.839607734541</c:v>
                </c:pt>
                <c:pt idx="22">
                  <c:v>6593.6423225770723</c:v>
                </c:pt>
                <c:pt idx="23">
                  <c:v>6370.6689107024858</c:v>
                </c:pt>
                <c:pt idx="24">
                  <c:v>6155.2356625144803</c:v>
                </c:pt>
                <c:pt idx="25">
                  <c:v>5947.0875966323492</c:v>
                </c:pt>
                <c:pt idx="26">
                  <c:v>5745.9783542341538</c:v>
                </c:pt>
                <c:pt idx="27">
                  <c:v>5551.6699074726121</c:v>
                </c:pt>
                <c:pt idx="28">
                  <c:v>5363.9322777513162</c:v>
                </c:pt>
                <c:pt idx="29">
                  <c:v>5182.543263527843</c:v>
                </c:pt>
                <c:pt idx="30">
                  <c:v>5007.2881773215868</c:v>
                </c:pt>
                <c:pt idx="31">
                  <c:v>11243.178612253074</c:v>
                </c:pt>
                <c:pt idx="32">
                  <c:v>10915.707390536967</c:v>
                </c:pt>
                <c:pt idx="33">
                  <c:v>5298.887082784935</c:v>
                </c:pt>
                <c:pt idx="34">
                  <c:v>5144.5505658106176</c:v>
                </c:pt>
                <c:pt idx="35">
                  <c:v>9989.4185743895468</c:v>
                </c:pt>
                <c:pt idx="36">
                  <c:v>4849.2323176648288</c:v>
                </c:pt>
                <c:pt idx="37">
                  <c:v>4707.9925414221643</c:v>
                </c:pt>
                <c:pt idx="38">
                  <c:v>4570.8665450700628</c:v>
                </c:pt>
                <c:pt idx="39">
                  <c:v>4437.7345097767593</c:v>
                </c:pt>
                <c:pt idx="40">
                  <c:v>4308.480106579379</c:v>
                </c:pt>
                <c:pt idx="41">
                  <c:v>8365.9807894745209</c:v>
                </c:pt>
                <c:pt idx="42">
                  <c:v>4061.1557230458839</c:v>
                </c:pt>
                <c:pt idx="43">
                  <c:v>7885.7392680502599</c:v>
                </c:pt>
                <c:pt idx="50">
                  <c:v>3205.9138297593095</c:v>
                </c:pt>
                <c:pt idx="51">
                  <c:v>6225.075397590892</c:v>
                </c:pt>
                <c:pt idx="56">
                  <c:v>2684.9023607078234</c:v>
                </c:pt>
                <c:pt idx="57">
                  <c:v>2606.7013210755567</c:v>
                </c:pt>
                <c:pt idx="58">
                  <c:v>5061.5559632535078</c:v>
                </c:pt>
                <c:pt idx="59">
                  <c:v>2457.0660015793728</c:v>
                </c:pt>
                <c:pt idx="60">
                  <c:v>2385.5009724071583</c:v>
                </c:pt>
                <c:pt idx="61">
                  <c:v>4632.0407231206964</c:v>
                </c:pt>
                <c:pt idx="67">
                  <c:v>1939.6305909655764</c:v>
                </c:pt>
                <c:pt idx="68">
                  <c:v>1883.1364960830842</c:v>
                </c:pt>
                <c:pt idx="69">
                  <c:v>1828.2878602748392</c:v>
                </c:pt>
                <c:pt idx="70">
                  <c:v>3550.0735150967748</c:v>
                </c:pt>
                <c:pt idx="71">
                  <c:v>3446.6733156279365</c:v>
                </c:pt>
                <c:pt idx="72">
                  <c:v>1673.1423862271538</c:v>
                </c:pt>
                <c:pt idx="73">
                  <c:v>1624.4100837156832</c:v>
                </c:pt>
                <c:pt idx="74">
                  <c:v>1271.7135180894386</c:v>
                </c:pt>
                <c:pt idx="75">
                  <c:v>1231.0876264176559</c:v>
                </c:pt>
                <c:pt idx="76">
                  <c:v>4303.5743078133464</c:v>
                </c:pt>
                <c:pt idx="77">
                  <c:v>2099.3045403967544</c:v>
                </c:pt>
                <c:pt idx="78">
                  <c:v>2048.1019906309803</c:v>
                </c:pt>
                <c:pt idx="79">
                  <c:v>1998.1482835424192</c:v>
                </c:pt>
                <c:pt idx="80">
                  <c:v>1949.4129595535801</c:v>
                </c:pt>
                <c:pt idx="81">
                  <c:v>3803.7326040069856</c:v>
                </c:pt>
                <c:pt idx="82">
                  <c:v>1855.4793190277978</c:v>
                </c:pt>
                <c:pt idx="83">
                  <c:v>1810.2237258807784</c:v>
                </c:pt>
                <c:pt idx="84">
                  <c:v>3532.1438553771291</c:v>
                </c:pt>
                <c:pt idx="85">
                  <c:v>1722.9970026229898</c:v>
                </c:pt>
                <c:pt idx="86">
                  <c:v>1680.9726854858438</c:v>
                </c:pt>
                <c:pt idx="87">
                  <c:v>1639.9733516935062</c:v>
                </c:pt>
                <c:pt idx="88">
                  <c:v>1599.9740016522012</c:v>
                </c:pt>
                <c:pt idx="89">
                  <c:v>3121.9004910286862</c:v>
                </c:pt>
                <c:pt idx="90">
                  <c:v>1522.878288306676</c:v>
                </c:pt>
                <c:pt idx="91">
                  <c:v>2971.4698308422949</c:v>
                </c:pt>
                <c:pt idx="92">
                  <c:v>2898.9949569193127</c:v>
                </c:pt>
                <c:pt idx="98">
                  <c:v>1249.8971328934153</c:v>
                </c:pt>
                <c:pt idx="99">
                  <c:v>1219.4118369691857</c:v>
                </c:pt>
                <c:pt idx="100">
                  <c:v>1189.6700848479861</c:v>
                </c:pt>
              </c:numCache>
            </c:numRef>
          </c:val>
          <c:extLst>
            <c:ext xmlns:c16="http://schemas.microsoft.com/office/drawing/2014/chart" uri="{C3380CC4-5D6E-409C-BE32-E72D297353CC}">
              <c16:uniqueId val="{00000001-8999-4F2B-B4AE-14DFC4A43C89}"/>
            </c:ext>
          </c:extLst>
        </c:ser>
        <c:dLbls>
          <c:showLegendKey val="0"/>
          <c:showVal val="1"/>
          <c:showCatName val="0"/>
          <c:showSerName val="0"/>
          <c:showPercent val="0"/>
          <c:showBubbleSize val="0"/>
        </c:dLbls>
        <c:gapWidth val="150"/>
        <c:overlap val="-25"/>
        <c:axId val="1132326712"/>
        <c:axId val="1132323104"/>
      </c:barChart>
      <c:catAx>
        <c:axId val="1132326712"/>
        <c:scaling>
          <c:orientation val="minMax"/>
        </c:scaling>
        <c:delete val="0"/>
        <c:axPos val="b"/>
        <c:title>
          <c:tx>
            <c:rich>
              <a:bodyPr rot="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n-GB" sz="900" b="0" cap="none">
                    <a:solidFill>
                      <a:sysClr val="windowText" lastClr="000000"/>
                    </a:solidFill>
                  </a:rPr>
                  <a:t>Year in Analysis Period</a:t>
                </a:r>
                <a:endParaRPr lang="en-GB" sz="900" b="0">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n-US"/>
            </a:p>
          </c:txPr>
        </c:title>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32323104"/>
        <c:crosses val="autoZero"/>
        <c:auto val="1"/>
        <c:lblAlgn val="ctr"/>
        <c:lblOffset val="100"/>
        <c:noMultiLvlLbl val="0"/>
      </c:catAx>
      <c:valAx>
        <c:axId val="1132323104"/>
        <c:scaling>
          <c:orientation val="minMax"/>
        </c:scaling>
        <c:delete val="1"/>
        <c:axPos val="l"/>
        <c:numFmt formatCode="&quot;£&quot;#,##0" sourceLinked="0"/>
        <c:majorTickMark val="none"/>
        <c:minorTickMark val="none"/>
        <c:tickLblPos val="nextTo"/>
        <c:crossAx val="1132326712"/>
        <c:crosses val="autoZero"/>
        <c:crossBetween val="between"/>
      </c:valAx>
      <c:spPr>
        <a:solidFill>
          <a:schemeClr val="bg1"/>
        </a:solidFill>
        <a:ln cmpd="sng">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chemeClr val="accent2"/>
            </a:solidFill>
            <a:ln>
              <a:noFill/>
            </a:ln>
            <a:effectLst/>
          </c:spPr>
          <c:invertIfNegative val="0"/>
          <c:val>
            <c:numRef>
              <c:f>Sheet2!$AD$5:$AD$105</c:f>
              <c:numCache>
                <c:formatCode>General</c:formatCode>
                <c:ptCount val="101"/>
                <c:pt idx="3">
                  <c:v>9.1370040254239555</c:v>
                </c:pt>
                <c:pt idx="12">
                  <c:v>7.4573420674183346</c:v>
                </c:pt>
                <c:pt idx="17">
                  <c:v>0.91699175899821106</c:v>
                </c:pt>
                <c:pt idx="19">
                  <c:v>4.4954493415906462</c:v>
                </c:pt>
                <c:pt idx="27">
                  <c:v>2.775957694070323</c:v>
                </c:pt>
                <c:pt idx="30">
                  <c:v>0.44756855501145515</c:v>
                </c:pt>
              </c:numCache>
            </c:numRef>
          </c:val>
          <c:extLst>
            <c:ext xmlns:c16="http://schemas.microsoft.com/office/drawing/2014/chart" uri="{C3380CC4-5D6E-409C-BE32-E72D297353CC}">
              <c16:uniqueId val="{00000000-6915-4B6E-9600-06DA56D8E977}"/>
            </c:ext>
          </c:extLst>
        </c:ser>
        <c:ser>
          <c:idx val="2"/>
          <c:order val="1"/>
          <c:spPr>
            <a:solidFill>
              <a:schemeClr val="accent3"/>
            </a:solidFill>
            <a:ln>
              <a:noFill/>
            </a:ln>
            <a:effectLst/>
          </c:spPr>
          <c:invertIfNegative val="0"/>
          <c:val>
            <c:numRef>
              <c:f>Sheet2!$AE$5:$AE$105</c:f>
              <c:numCache>
                <c:formatCode>General</c:formatCode>
                <c:ptCount val="101"/>
                <c:pt idx="3">
                  <c:v>22.800000000000004</c:v>
                </c:pt>
                <c:pt idx="6">
                  <c:v>22.995000000000001</c:v>
                </c:pt>
                <c:pt idx="9">
                  <c:v>0.17</c:v>
                </c:pt>
                <c:pt idx="10">
                  <c:v>0.11767</c:v>
                </c:pt>
                <c:pt idx="11">
                  <c:v>7.29</c:v>
                </c:pt>
                <c:pt idx="12">
                  <c:v>0.17</c:v>
                </c:pt>
                <c:pt idx="15">
                  <c:v>3.91</c:v>
                </c:pt>
                <c:pt idx="17">
                  <c:v>0.70233000000000001</c:v>
                </c:pt>
                <c:pt idx="18">
                  <c:v>0.17</c:v>
                </c:pt>
                <c:pt idx="19">
                  <c:v>7.89</c:v>
                </c:pt>
                <c:pt idx="20">
                  <c:v>1.9</c:v>
                </c:pt>
                <c:pt idx="21">
                  <c:v>0.17</c:v>
                </c:pt>
                <c:pt idx="23">
                  <c:v>0.11767</c:v>
                </c:pt>
                <c:pt idx="24">
                  <c:v>0.17</c:v>
                </c:pt>
                <c:pt idx="27">
                  <c:v>7.46</c:v>
                </c:pt>
                <c:pt idx="28">
                  <c:v>29.764999999999997</c:v>
                </c:pt>
                <c:pt idx="30">
                  <c:v>0.87233000000000005</c:v>
                </c:pt>
                <c:pt idx="31">
                  <c:v>3.74</c:v>
                </c:pt>
                <c:pt idx="33">
                  <c:v>0.17</c:v>
                </c:pt>
                <c:pt idx="34">
                  <c:v>0.6</c:v>
                </c:pt>
                <c:pt idx="35">
                  <c:v>7.29</c:v>
                </c:pt>
                <c:pt idx="36">
                  <c:v>0.28766999999999998</c:v>
                </c:pt>
                <c:pt idx="37">
                  <c:v>1.9</c:v>
                </c:pt>
                <c:pt idx="39">
                  <c:v>0.17</c:v>
                </c:pt>
                <c:pt idx="42">
                  <c:v>0.17</c:v>
                </c:pt>
                <c:pt idx="43">
                  <c:v>7.9923299999999999</c:v>
                </c:pt>
                <c:pt idx="46">
                  <c:v>0.17</c:v>
                </c:pt>
                <c:pt idx="47">
                  <c:v>3.74</c:v>
                </c:pt>
                <c:pt idx="48">
                  <c:v>0.17</c:v>
                </c:pt>
                <c:pt idx="49">
                  <c:v>0.71767000000000003</c:v>
                </c:pt>
                <c:pt idx="50">
                  <c:v>22.824999999999999</c:v>
                </c:pt>
                <c:pt idx="51">
                  <c:v>7.63</c:v>
                </c:pt>
                <c:pt idx="54">
                  <c:v>2.0699999999999998</c:v>
                </c:pt>
                <c:pt idx="56">
                  <c:v>0.87233000000000005</c:v>
                </c:pt>
                <c:pt idx="57">
                  <c:v>0.17</c:v>
                </c:pt>
                <c:pt idx="59">
                  <c:v>8.0299999999999994</c:v>
                </c:pt>
                <c:pt idx="60">
                  <c:v>0.17</c:v>
                </c:pt>
                <c:pt idx="61">
                  <c:v>0.17</c:v>
                </c:pt>
                <c:pt idx="62">
                  <c:v>0.11767</c:v>
                </c:pt>
                <c:pt idx="63">
                  <c:v>11.200000000000001</c:v>
                </c:pt>
                <c:pt idx="64">
                  <c:v>0.6</c:v>
                </c:pt>
                <c:pt idx="65">
                  <c:v>6.2</c:v>
                </c:pt>
                <c:pt idx="66">
                  <c:v>0.34</c:v>
                </c:pt>
                <c:pt idx="67">
                  <c:v>20.67</c:v>
                </c:pt>
                <c:pt idx="69">
                  <c:v>0.87233000000000005</c:v>
                </c:pt>
                <c:pt idx="70">
                  <c:v>13.91</c:v>
                </c:pt>
                <c:pt idx="71">
                  <c:v>2.0699999999999998</c:v>
                </c:pt>
                <c:pt idx="72">
                  <c:v>22.995000000000001</c:v>
                </c:pt>
                <c:pt idx="75">
                  <c:v>7.5776700000000003</c:v>
                </c:pt>
                <c:pt idx="76">
                  <c:v>0.17</c:v>
                </c:pt>
                <c:pt idx="77">
                  <c:v>12.42</c:v>
                </c:pt>
                <c:pt idx="78">
                  <c:v>0.17</c:v>
                </c:pt>
                <c:pt idx="79">
                  <c:v>4.34</c:v>
                </c:pt>
                <c:pt idx="81">
                  <c:v>0.34</c:v>
                </c:pt>
                <c:pt idx="82">
                  <c:v>0.70233000000000001</c:v>
                </c:pt>
                <c:pt idx="83">
                  <c:v>7.29</c:v>
                </c:pt>
                <c:pt idx="84">
                  <c:v>0.17</c:v>
                </c:pt>
                <c:pt idx="86">
                  <c:v>0.17</c:v>
                </c:pt>
                <c:pt idx="87">
                  <c:v>0.17</c:v>
                </c:pt>
                <c:pt idx="88">
                  <c:v>2.0176699999999999</c:v>
                </c:pt>
                <c:pt idx="90">
                  <c:v>7.11</c:v>
                </c:pt>
                <c:pt idx="91">
                  <c:v>7.46</c:v>
                </c:pt>
                <c:pt idx="93">
                  <c:v>0.17</c:v>
                </c:pt>
                <c:pt idx="94">
                  <c:v>23.425000000000001</c:v>
                </c:pt>
                <c:pt idx="95">
                  <c:v>4.4423300000000001</c:v>
                </c:pt>
                <c:pt idx="96">
                  <c:v>0.34</c:v>
                </c:pt>
                <c:pt idx="99">
                  <c:v>7.46</c:v>
                </c:pt>
              </c:numCache>
            </c:numRef>
          </c:val>
          <c:extLst>
            <c:ext xmlns:c16="http://schemas.microsoft.com/office/drawing/2014/chart" uri="{C3380CC4-5D6E-409C-BE32-E72D297353CC}">
              <c16:uniqueId val="{00000001-6915-4B6E-9600-06DA56D8E977}"/>
            </c:ext>
          </c:extLst>
        </c:ser>
        <c:ser>
          <c:idx val="3"/>
          <c:order val="2"/>
          <c:spPr>
            <a:solidFill>
              <a:schemeClr val="accent4"/>
            </a:solidFill>
            <a:ln>
              <a:noFill/>
            </a:ln>
            <a:effectLst/>
          </c:spPr>
          <c:invertIfNegative val="0"/>
          <c:val>
            <c:numRef>
              <c:f>Sheet2!$AF$5:$AF$105</c:f>
              <c:numCache>
                <c:formatCode>General</c:formatCode>
                <c:ptCount val="101"/>
                <c:pt idx="3" formatCode="0.00">
                  <c:v>31.93700402542396</c:v>
                </c:pt>
                <c:pt idx="6" formatCode="0.00">
                  <c:v>22.995000000000001</c:v>
                </c:pt>
                <c:pt idx="9" formatCode="0.00">
                  <c:v>0.17</c:v>
                </c:pt>
                <c:pt idx="10" formatCode="0.00">
                  <c:v>0.11767</c:v>
                </c:pt>
                <c:pt idx="11" formatCode="0.00">
                  <c:v>7.29</c:v>
                </c:pt>
                <c:pt idx="12" formatCode="0.00">
                  <c:v>7.6273420674183345</c:v>
                </c:pt>
                <c:pt idx="15" formatCode="0.00">
                  <c:v>3.91</c:v>
                </c:pt>
                <c:pt idx="17" formatCode="0.00">
                  <c:v>1.6193217589982112</c:v>
                </c:pt>
                <c:pt idx="18" formatCode="0.00">
                  <c:v>0.17</c:v>
                </c:pt>
                <c:pt idx="19" formatCode="0.00">
                  <c:v>12.385449341590647</c:v>
                </c:pt>
                <c:pt idx="20" formatCode="0.00">
                  <c:v>1.9</c:v>
                </c:pt>
                <c:pt idx="21" formatCode="0.00">
                  <c:v>0.17</c:v>
                </c:pt>
                <c:pt idx="23" formatCode="0.00">
                  <c:v>0.11767</c:v>
                </c:pt>
                <c:pt idx="24" formatCode="0.00">
                  <c:v>0.17</c:v>
                </c:pt>
                <c:pt idx="27" formatCode="0.00">
                  <c:v>10.235957694070322</c:v>
                </c:pt>
                <c:pt idx="28" formatCode="0.00">
                  <c:v>29.764999999999997</c:v>
                </c:pt>
                <c:pt idx="30" formatCode="0.00">
                  <c:v>1.3198985550114553</c:v>
                </c:pt>
                <c:pt idx="31" formatCode="0.00">
                  <c:v>3.74</c:v>
                </c:pt>
                <c:pt idx="33" formatCode="0.00">
                  <c:v>0.17</c:v>
                </c:pt>
                <c:pt idx="34" formatCode="0.00">
                  <c:v>0.6</c:v>
                </c:pt>
                <c:pt idx="35" formatCode="0.00">
                  <c:v>7.29</c:v>
                </c:pt>
                <c:pt idx="36" formatCode="0.00">
                  <c:v>0.28766999999999998</c:v>
                </c:pt>
                <c:pt idx="37" formatCode="0.00">
                  <c:v>1.9</c:v>
                </c:pt>
                <c:pt idx="39" formatCode="0.00">
                  <c:v>0.17</c:v>
                </c:pt>
                <c:pt idx="42" formatCode="0.00">
                  <c:v>0.17</c:v>
                </c:pt>
                <c:pt idx="43" formatCode="0.00">
                  <c:v>7.9923299999999999</c:v>
                </c:pt>
                <c:pt idx="46" formatCode="0.00">
                  <c:v>0.17</c:v>
                </c:pt>
                <c:pt idx="47" formatCode="0.00">
                  <c:v>3.74</c:v>
                </c:pt>
                <c:pt idx="48" formatCode="0.00">
                  <c:v>0.17</c:v>
                </c:pt>
                <c:pt idx="49" formatCode="0.00">
                  <c:v>0.71767000000000003</c:v>
                </c:pt>
                <c:pt idx="50" formatCode="0.00">
                  <c:v>22.824999999999999</c:v>
                </c:pt>
                <c:pt idx="51" formatCode="0.00">
                  <c:v>7.63</c:v>
                </c:pt>
                <c:pt idx="54" formatCode="0.00">
                  <c:v>2.0699999999999998</c:v>
                </c:pt>
                <c:pt idx="56" formatCode="0.00">
                  <c:v>0.87233000000000005</c:v>
                </c:pt>
                <c:pt idx="57" formatCode="0.00">
                  <c:v>0.17</c:v>
                </c:pt>
                <c:pt idx="59" formatCode="0.00">
                  <c:v>8.0299999999999994</c:v>
                </c:pt>
                <c:pt idx="60" formatCode="0.00">
                  <c:v>0.17</c:v>
                </c:pt>
                <c:pt idx="61" formatCode="0.00">
                  <c:v>0.17</c:v>
                </c:pt>
                <c:pt idx="62" formatCode="0.00">
                  <c:v>0.11767</c:v>
                </c:pt>
                <c:pt idx="63" formatCode="0.00">
                  <c:v>11.200000000000001</c:v>
                </c:pt>
                <c:pt idx="64" formatCode="0.00">
                  <c:v>0.6</c:v>
                </c:pt>
                <c:pt idx="65" formatCode="0.00">
                  <c:v>6.2</c:v>
                </c:pt>
                <c:pt idx="66" formatCode="0.00">
                  <c:v>0.34</c:v>
                </c:pt>
                <c:pt idx="67" formatCode="0.00">
                  <c:v>20.67</c:v>
                </c:pt>
                <c:pt idx="69" formatCode="0.00">
                  <c:v>0.87233000000000005</c:v>
                </c:pt>
                <c:pt idx="70" formatCode="0.00">
                  <c:v>13.91</c:v>
                </c:pt>
                <c:pt idx="71" formatCode="0.00">
                  <c:v>2.0699999999999998</c:v>
                </c:pt>
                <c:pt idx="72" formatCode="0.00">
                  <c:v>22.995000000000001</c:v>
                </c:pt>
                <c:pt idx="75" formatCode="0.00">
                  <c:v>7.5776700000000003</c:v>
                </c:pt>
                <c:pt idx="76" formatCode="0.00">
                  <c:v>0.17</c:v>
                </c:pt>
                <c:pt idx="77" formatCode="0.00">
                  <c:v>12.42</c:v>
                </c:pt>
                <c:pt idx="78" formatCode="0.00">
                  <c:v>0.17</c:v>
                </c:pt>
                <c:pt idx="79" formatCode="0.00">
                  <c:v>4.34</c:v>
                </c:pt>
                <c:pt idx="81" formatCode="0.00">
                  <c:v>0.34</c:v>
                </c:pt>
                <c:pt idx="82" formatCode="0.00">
                  <c:v>0.70233000000000001</c:v>
                </c:pt>
                <c:pt idx="83" formatCode="0.00">
                  <c:v>7.29</c:v>
                </c:pt>
                <c:pt idx="84" formatCode="0.00">
                  <c:v>0.17</c:v>
                </c:pt>
                <c:pt idx="86" formatCode="0.00">
                  <c:v>0.17</c:v>
                </c:pt>
                <c:pt idx="87" formatCode="0.00">
                  <c:v>0.17</c:v>
                </c:pt>
                <c:pt idx="88" formatCode="0.00">
                  <c:v>2.0176699999999999</c:v>
                </c:pt>
                <c:pt idx="90" formatCode="0.00">
                  <c:v>7.11</c:v>
                </c:pt>
                <c:pt idx="91" formatCode="0.00">
                  <c:v>7.46</c:v>
                </c:pt>
                <c:pt idx="93" formatCode="0.00">
                  <c:v>0.17</c:v>
                </c:pt>
                <c:pt idx="94" formatCode="0.00">
                  <c:v>23.425000000000001</c:v>
                </c:pt>
                <c:pt idx="95" formatCode="0.00">
                  <c:v>4.4423300000000001</c:v>
                </c:pt>
                <c:pt idx="96" formatCode="0.00">
                  <c:v>0.34</c:v>
                </c:pt>
                <c:pt idx="99" formatCode="0.00">
                  <c:v>7.46</c:v>
                </c:pt>
              </c:numCache>
            </c:numRef>
          </c:val>
          <c:extLst>
            <c:ext xmlns:c16="http://schemas.microsoft.com/office/drawing/2014/chart" uri="{C3380CC4-5D6E-409C-BE32-E72D297353CC}">
              <c16:uniqueId val="{00000002-6915-4B6E-9600-06DA56D8E977}"/>
            </c:ext>
          </c:extLst>
        </c:ser>
        <c:ser>
          <c:idx val="4"/>
          <c:order val="3"/>
          <c:spPr>
            <a:solidFill>
              <a:schemeClr val="bg1">
                <a:lumMod val="75000"/>
              </a:schemeClr>
            </a:solidFill>
            <a:ln>
              <a:solidFill>
                <a:schemeClr val="bg1">
                  <a:lumMod val="75000"/>
                </a:schemeClr>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Sheet2!$AG$5:$AG$105</c:f>
              <c:numCache>
                <c:formatCode>General</c:formatCode>
                <c:ptCount val="101"/>
                <c:pt idx="3" formatCode="&quot;£&quot;#,##0">
                  <c:v>2451.1282550838305</c:v>
                </c:pt>
                <c:pt idx="6" formatCode="&quot;£&quot;#,##0">
                  <c:v>1666.7444558428388</c:v>
                </c:pt>
                <c:pt idx="9" formatCode="&quot;£&quot;#,##0">
                  <c:v>11.618996810108635</c:v>
                </c:pt>
                <c:pt idx="10" formatCode="&quot;£&quot;#,##0">
                  <c:v>7.8830460584721296</c:v>
                </c:pt>
                <c:pt idx="11" formatCode="&quot;£&quot;#,##0">
                  <c:v>1034.0183329874794</c:v>
                </c:pt>
                <c:pt idx="12" formatCode="&quot;£&quot;#,##0">
                  <c:v>12.605979157460476</c:v>
                </c:pt>
                <c:pt idx="15" formatCode="&quot;£&quot;#,##0">
                  <c:v>322.94543086713094</c:v>
                </c:pt>
                <c:pt idx="17" formatCode="&quot;£&quot;#,##0">
                  <c:v>139.3470885532428</c:v>
                </c:pt>
                <c:pt idx="18" formatCode="&quot;£&quot;#,##0">
                  <c:v>15.073573546269307</c:v>
                </c:pt>
                <c:pt idx="19" formatCode="&quot;£&quot;#,##0">
                  <c:v>1112.8963261958888</c:v>
                </c:pt>
                <c:pt idx="20" formatCode="&quot;£&quot;#,##0">
                  <c:v>174.02600163157675</c:v>
                </c:pt>
                <c:pt idx="21" formatCode="&quot;£&quot;#,##0">
                  <c:v>15.768550891309358</c:v>
                </c:pt>
                <c:pt idx="23" formatCode="&quot;£&quot;#,##0">
                  <c:v>11.124998484006271</c:v>
                </c:pt>
                <c:pt idx="24" formatCode="&quot;£&quot;#,##0">
                  <c:v>16.182297118832555</c:v>
                </c:pt>
                <c:pt idx="27" formatCode="&quot;£&quot;#,##0">
                  <c:v>984.18937676334986</c:v>
                </c:pt>
                <c:pt idx="28" formatCode="&quot;£&quot;#,##0">
                  <c:v>2867.8172170152634</c:v>
                </c:pt>
                <c:pt idx="30" formatCode="&quot;£&quot;#,##0">
                  <c:v>126.96786702065434</c:v>
                </c:pt>
                <c:pt idx="31" formatCode="&quot;£&quot;#,##0">
                  <c:v>417.23595081671374</c:v>
                </c:pt>
                <c:pt idx="33" formatCode="&quot;£&quot;#,##0">
                  <c:v>19.018749692920888</c:v>
                </c:pt>
                <c:pt idx="34" formatCode="&quot;£&quot;#,##0">
                  <c:v>67.126777894404114</c:v>
                </c:pt>
                <c:pt idx="35" formatCode="&quot;£&quot;#,##0">
                  <c:v>814.91883032077976</c:v>
                </c:pt>
                <c:pt idx="36" formatCode="&quot;£&quot;#,##0">
                  <c:v>32.105176822035823</c:v>
                </c:pt>
                <c:pt idx="37" formatCode="&quot;£&quot;#,##0">
                  <c:v>211.54272963162413</c:v>
                </c:pt>
                <c:pt idx="39" formatCode="&quot;£&quot;#,##0">
                  <c:v>18.797534826358454</c:v>
                </c:pt>
                <c:pt idx="42" formatCode="&quot;£&quot;#,##0">
                  <c:v>18.104306742786036</c:v>
                </c:pt>
                <c:pt idx="43" formatCode="&quot;£&quot;#,##0">
                  <c:v>836.95411551319546</c:v>
                </c:pt>
                <c:pt idx="46" formatCode="&quot;£&quot;#,##0">
                  <c:v>16.910336516686691</c:v>
                </c:pt>
                <c:pt idx="47" formatCode="&quot;£&quot;#,##0">
                  <c:v>365.59643001977139</c:v>
                </c:pt>
                <c:pt idx="48" formatCode="&quot;£&quot;#,##0">
                  <c:v>16.328385096428502</c:v>
                </c:pt>
                <c:pt idx="49" formatCode="&quot;£&quot;#,##0">
                  <c:v>67.720712737828507</c:v>
                </c:pt>
                <c:pt idx="50" formatCode="&quot;£&quot;#,##0">
                  <c:v>2115.6791934913308</c:v>
                </c:pt>
                <c:pt idx="51" formatCode="&quot;£&quot;#,##0">
                  <c:v>687.77623114113578</c:v>
                </c:pt>
                <c:pt idx="54" formatCode="&quot;£&quot;#,##0">
                  <c:v>171.60763587906314</c:v>
                </c:pt>
                <c:pt idx="56" formatCode="&quot;£&quot;#,##0">
                  <c:v>68.391728026721523</c:v>
                </c:pt>
                <c:pt idx="57" formatCode="&quot;£&quot;#,##0">
                  <c:v>12.961288533983581</c:v>
                </c:pt>
                <c:pt idx="59" formatCode="&quot;£&quot;#,##0">
                  <c:v>578.98094495835926</c:v>
                </c:pt>
                <c:pt idx="60" formatCode="&quot;£&quot;#,##0">
                  <c:v>11.919845712582969</c:v>
                </c:pt>
                <c:pt idx="61" formatCode="&quot;£&quot;#,##0">
                  <c:v>11.519718903651158</c:v>
                </c:pt>
                <c:pt idx="62" formatCode="&quot;£&quot;#,##0">
                  <c:v>7.7058541925511852</c:v>
                </c:pt>
                <c:pt idx="63" formatCode="&quot;£&quot;#,##0">
                  <c:v>708.80352740653234</c:v>
                </c:pt>
                <c:pt idx="64" formatCode="&quot;£&quot;#,##0">
                  <c:v>36.694634487272332</c:v>
                </c:pt>
                <c:pt idx="65" formatCode="&quot;£&quot;#,##0">
                  <c:v>366.41820298127556</c:v>
                </c:pt>
                <c:pt idx="66" formatCode="&quot;£&quot;#,##0">
                  <c:v>19.417297375245699</c:v>
                </c:pt>
                <c:pt idx="67" formatCode="&quot;£&quot;#,##0">
                  <c:v>1140.6837220538198</c:v>
                </c:pt>
                <c:pt idx="69" formatCode="&quot;£&quot;#,##0">
                  <c:v>44.947566305597022</c:v>
                </c:pt>
                <c:pt idx="70" formatCode="&quot;£&quot;#,##0">
                  <c:v>692.52908954738575</c:v>
                </c:pt>
                <c:pt idx="71" formatCode="&quot;£&quot;#,##0">
                  <c:v>99.23382173479483</c:v>
                </c:pt>
                <c:pt idx="72" formatCode="&quot;£&quot;#,##0">
                  <c:v>1061.3813182839567</c:v>
                </c:pt>
                <c:pt idx="75" formatCode="&quot;£&quot;#,##0">
                  <c:v>312.05822595295308</c:v>
                </c:pt>
                <c:pt idx="76" formatCode="&quot;£&quot;#,##0">
                  <c:v>9.754126461381226</c:v>
                </c:pt>
                <c:pt idx="77" formatCode="&quot;£&quot;#,##0">
                  <c:v>689.23315193930455</c:v>
                </c:pt>
                <c:pt idx="78" formatCode="&quot;£&quot;#,##0">
                  <c:v>9.1235856887189737</c:v>
                </c:pt>
                <c:pt idx="79" formatCode="&quot;£&quot;#,##0">
                  <c:v>225.23963729760365</c:v>
                </c:pt>
              </c:numCache>
            </c:numRef>
          </c:val>
          <c:extLst>
            <c:ext xmlns:c16="http://schemas.microsoft.com/office/drawing/2014/chart" uri="{C3380CC4-5D6E-409C-BE32-E72D297353CC}">
              <c16:uniqueId val="{00000003-6915-4B6E-9600-06DA56D8E977}"/>
            </c:ext>
          </c:extLst>
        </c:ser>
        <c:dLbls>
          <c:showLegendKey val="0"/>
          <c:showVal val="0"/>
          <c:showCatName val="0"/>
          <c:showSerName val="0"/>
          <c:showPercent val="0"/>
          <c:showBubbleSize val="0"/>
        </c:dLbls>
        <c:gapWidth val="150"/>
        <c:axId val="907394464"/>
        <c:axId val="907395120"/>
      </c:barChart>
      <c:catAx>
        <c:axId val="907394464"/>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900">
                    <a:solidFill>
                      <a:sysClr val="windowText" lastClr="000000"/>
                    </a:solidFill>
                    <a:latin typeface="Arial" panose="020B0604020202020204" pitchFamily="34" charset="0"/>
                    <a:cs typeface="Arial" panose="020B0604020202020204" pitchFamily="34" charset="0"/>
                  </a:rPr>
                  <a:t>Year in Analysis Period</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majorTickMark val="out"/>
        <c:minorTickMark val="out"/>
        <c:tickLblPos val="nextTo"/>
        <c:spPr>
          <a:solidFill>
            <a:schemeClr val="bg1"/>
          </a:solid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07395120"/>
        <c:crosses val="autoZero"/>
        <c:auto val="1"/>
        <c:lblAlgn val="ctr"/>
        <c:lblOffset val="100"/>
        <c:noMultiLvlLbl val="0"/>
      </c:catAx>
      <c:valAx>
        <c:axId val="907395120"/>
        <c:scaling>
          <c:orientation val="minMax"/>
        </c:scaling>
        <c:delete val="1"/>
        <c:axPos val="l"/>
        <c:numFmt formatCode="General" sourceLinked="1"/>
        <c:majorTickMark val="none"/>
        <c:minorTickMark val="none"/>
        <c:tickLblPos val="nextTo"/>
        <c:crossAx val="907394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Sheet2!$BH$5:$BH$105</c:f>
            </c:numRef>
          </c:val>
          <c:extLst>
            <c:ext xmlns:c16="http://schemas.microsoft.com/office/drawing/2014/chart" uri="{C3380CC4-5D6E-409C-BE32-E72D297353CC}">
              <c16:uniqueId val="{00000001-187A-49D7-8F62-4F986D4F7AF1}"/>
            </c:ext>
          </c:extLst>
        </c:ser>
        <c:ser>
          <c:idx val="2"/>
          <c:order val="1"/>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Sheet2!$BI$5:$BI$105</c:f>
            </c:numRef>
          </c:val>
          <c:extLst>
            <c:ext xmlns:c16="http://schemas.microsoft.com/office/drawing/2014/chart" uri="{C3380CC4-5D6E-409C-BE32-E72D297353CC}">
              <c16:uniqueId val="{00000002-187A-49D7-8F62-4F986D4F7AF1}"/>
            </c:ext>
          </c:extLst>
        </c:ser>
        <c:ser>
          <c:idx val="3"/>
          <c:order val="2"/>
          <c:spPr>
            <a:solidFill>
              <a:schemeClr val="accent4"/>
            </a:solidFill>
            <a:ln>
              <a:noFill/>
            </a:ln>
            <a:effectLst/>
          </c:spPr>
          <c:invertIfNegative val="0"/>
          <c:dLbls>
            <c:delete val="1"/>
          </c:dLbls>
          <c:val>
            <c:numRef>
              <c:f>Sheet2!$BJ$5:$BJ$105</c:f>
              <c:numCache>
                <c:formatCode>General</c:formatCode>
                <c:ptCount val="101"/>
                <c:pt idx="2" formatCode="0.00">
                  <c:v>16.64293854364378</c:v>
                </c:pt>
                <c:pt idx="7" formatCode="0.00">
                  <c:v>22.824999999999999</c:v>
                </c:pt>
                <c:pt idx="12" formatCode="0.00">
                  <c:v>14.384342193447019</c:v>
                </c:pt>
                <c:pt idx="15" formatCode="0.00">
                  <c:v>3.5625</c:v>
                </c:pt>
                <c:pt idx="19" formatCode="0.00">
                  <c:v>0.85</c:v>
                </c:pt>
                <c:pt idx="22" formatCode="0.00">
                  <c:v>25.713449053984633</c:v>
                </c:pt>
                <c:pt idx="29" formatCode="0.00">
                  <c:v>3.5883500000000002</c:v>
                </c:pt>
                <c:pt idx="32" formatCode="0.00">
                  <c:v>14.34</c:v>
                </c:pt>
                <c:pt idx="33" formatCode="0.00">
                  <c:v>46.112499999999997</c:v>
                </c:pt>
                <c:pt idx="36" formatCode="0.00">
                  <c:v>3.5116499999999999</c:v>
                </c:pt>
                <c:pt idx="42" formatCode="0.00">
                  <c:v>7.29</c:v>
                </c:pt>
                <c:pt idx="44" formatCode="0.00">
                  <c:v>1.3875</c:v>
                </c:pt>
                <c:pt idx="47" formatCode="0.00">
                  <c:v>3.5625</c:v>
                </c:pt>
                <c:pt idx="48" formatCode="0.00">
                  <c:v>2.1</c:v>
                </c:pt>
                <c:pt idx="52" formatCode="0.00">
                  <c:v>7.29</c:v>
                </c:pt>
                <c:pt idx="53" formatCode="0.00">
                  <c:v>3</c:v>
                </c:pt>
                <c:pt idx="59" formatCode="0.00">
                  <c:v>22.824999999999999</c:v>
                </c:pt>
                <c:pt idx="62" formatCode="0.00">
                  <c:v>60.502499999999998</c:v>
                </c:pt>
                <c:pt idx="70" formatCode="0.00">
                  <c:v>0.58835000000000004</c:v>
                </c:pt>
                <c:pt idx="71" formatCode="0.00">
                  <c:v>14.15</c:v>
                </c:pt>
                <c:pt idx="72" formatCode="0.00">
                  <c:v>7.29</c:v>
                </c:pt>
                <c:pt idx="73" formatCode="0.00">
                  <c:v>7.05</c:v>
                </c:pt>
                <c:pt idx="77" formatCode="0.00">
                  <c:v>6.5116499999999995</c:v>
                </c:pt>
                <c:pt idx="79" formatCode="0.00">
                  <c:v>3.5625</c:v>
                </c:pt>
                <c:pt idx="82" formatCode="0.00">
                  <c:v>7.29</c:v>
                </c:pt>
                <c:pt idx="85" formatCode="0.00">
                  <c:v>22.824999999999999</c:v>
                </c:pt>
                <c:pt idx="90" formatCode="0.00">
                  <c:v>1.3875</c:v>
                </c:pt>
                <c:pt idx="92" formatCode="0.00">
                  <c:v>7.29</c:v>
                </c:pt>
                <c:pt idx="93" formatCode="0.00">
                  <c:v>53.212499999999999</c:v>
                </c:pt>
              </c:numCache>
            </c:numRef>
          </c:val>
          <c:extLst>
            <c:ext xmlns:c16="http://schemas.microsoft.com/office/drawing/2014/chart" uri="{C3380CC4-5D6E-409C-BE32-E72D297353CC}">
              <c16:uniqueId val="{00000003-187A-49D7-8F62-4F986D4F7AF1}"/>
            </c:ext>
          </c:extLst>
        </c:ser>
        <c:ser>
          <c:idx val="4"/>
          <c:order val="3"/>
          <c:spPr>
            <a:solidFill>
              <a:schemeClr val="bg1">
                <a:lumMod val="7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Sheet2!$BK$5:$BK$105</c:f>
              <c:numCache>
                <c:formatCode>General</c:formatCode>
                <c:ptCount val="101"/>
                <c:pt idx="2" formatCode="&quot;£&quot;#,##0">
                  <c:v>1294.3730245746692</c:v>
                </c:pt>
                <c:pt idx="7" formatCode="&quot;£&quot;#,##0">
                  <c:v>1622.6950406396591</c:v>
                </c:pt>
                <c:pt idx="12" formatCode="&quot;£&quot;#,##0">
                  <c:v>1053.3340473993344</c:v>
                </c:pt>
                <c:pt idx="15" formatCode="&quot;£&quot;#,##0">
                  <c:v>294.2437589422388</c:v>
                </c:pt>
                <c:pt idx="19" formatCode="&quot;£&quot;#,##0">
                  <c:v>76.698907131369523</c:v>
                </c:pt>
                <c:pt idx="22" formatCode="&quot;£&quot;#,##0">
                  <c:v>2406.7176562095456</c:v>
                </c:pt>
                <c:pt idx="29" formatCode="&quot;£&quot;#,##0">
                  <c:v>345.65225175999802</c:v>
                </c:pt>
                <c:pt idx="32" formatCode="&quot;£&quot;#,##0">
                  <c:v>1602.798508470423</c:v>
                </c:pt>
                <c:pt idx="33" formatCode="&quot;£&quot;#,##0">
                  <c:v>5158.8358542047908</c:v>
                </c:pt>
                <c:pt idx="36" formatCode="&quot;£&quot;#,##0">
                  <c:v>391.91484752355854</c:v>
                </c:pt>
                <c:pt idx="42" formatCode="&quot;£&quot;#,##0">
                  <c:v>776.35527149947177</c:v>
                </c:pt>
                <c:pt idx="44" formatCode="&quot;£&quot;#,##0">
                  <c:v>142.85219061487609</c:v>
                </c:pt>
                <c:pt idx="47" formatCode="&quot;£&quot;#,##0">
                  <c:v>348.2452625522555</c:v>
                </c:pt>
                <c:pt idx="48" formatCode="&quot;£&quot;#,##0">
                  <c:v>201.70358060294032</c:v>
                </c:pt>
                <c:pt idx="52" formatCode="&quot;£&quot;#,##0">
                  <c:v>639.04663905812129</c:v>
                </c:pt>
                <c:pt idx="53" formatCode="&quot;£&quot;#,##0">
                  <c:v>255.74520088496246</c:v>
                </c:pt>
                <c:pt idx="59" formatCode="&quot;£&quot;#,##0">
                  <c:v>1645.7335079295829</c:v>
                </c:pt>
                <c:pt idx="60" formatCode="&quot;£&quot;#,##0">
                  <c:v>0</c:v>
                </c:pt>
                <c:pt idx="61" formatCode="&quot;£&quot;#,##0">
                  <c:v>0</c:v>
                </c:pt>
                <c:pt idx="62" formatCode="&quot;£&quot;#,##0">
                  <c:v>3962.1266532236605</c:v>
                </c:pt>
                <c:pt idx="70" formatCode="&quot;£&quot;#,##0">
                  <c:v>29.291839671833532</c:v>
                </c:pt>
                <c:pt idx="71" formatCode="&quot;£&quot;#,##0">
                  <c:v>678.3374770760131</c:v>
                </c:pt>
                <c:pt idx="72" formatCode="&quot;£&quot;#,##0">
                  <c:v>336.48487976908223</c:v>
                </c:pt>
                <c:pt idx="73" formatCode="&quot;£&quot;#,##0">
                  <c:v>313.28923119355835</c:v>
                </c:pt>
                <c:pt idx="77" formatCode="&quot;£&quot;#,##0">
                  <c:v>361.35628452701872</c:v>
                </c:pt>
                <c:pt idx="79" formatCode="&quot;£&quot;#,##0">
                  <c:v>184.88852715961127</c:v>
                </c:pt>
              </c:numCache>
            </c:numRef>
          </c:val>
          <c:extLst>
            <c:ext xmlns:c16="http://schemas.microsoft.com/office/drawing/2014/chart" uri="{C3380CC4-5D6E-409C-BE32-E72D297353CC}">
              <c16:uniqueId val="{00000004-187A-49D7-8F62-4F986D4F7AF1}"/>
            </c:ext>
          </c:extLst>
        </c:ser>
        <c:dLbls>
          <c:dLblPos val="outEnd"/>
          <c:showLegendKey val="0"/>
          <c:showVal val="1"/>
          <c:showCatName val="0"/>
          <c:showSerName val="0"/>
          <c:showPercent val="0"/>
          <c:showBubbleSize val="0"/>
        </c:dLbls>
        <c:gapWidth val="150"/>
        <c:axId val="1006166176"/>
        <c:axId val="1006168800"/>
      </c:barChart>
      <c:catAx>
        <c:axId val="100616617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900">
                    <a:solidFill>
                      <a:sysClr val="windowText" lastClr="000000"/>
                    </a:solidFill>
                    <a:latin typeface="Arial" panose="020B0604020202020204" pitchFamily="34" charset="0"/>
                    <a:cs typeface="Arial" panose="020B0604020202020204" pitchFamily="34" charset="0"/>
                  </a:rPr>
                  <a:t>Year in Analysis Period</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majorTickMark val="out"/>
        <c:minorTickMark val="out"/>
        <c:tickLblPos val="nextTo"/>
        <c:spPr>
          <a:solidFill>
            <a:schemeClr val="bg1"/>
          </a:solid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6168800"/>
        <c:crosses val="autoZero"/>
        <c:auto val="1"/>
        <c:lblAlgn val="ctr"/>
        <c:lblOffset val="100"/>
        <c:noMultiLvlLbl val="0"/>
      </c:catAx>
      <c:valAx>
        <c:axId val="1006168800"/>
        <c:scaling>
          <c:orientation val="minMax"/>
        </c:scaling>
        <c:delete val="1"/>
        <c:axPos val="l"/>
        <c:numFmt formatCode="General" sourceLinked="1"/>
        <c:majorTickMark val="none"/>
        <c:minorTickMark val="none"/>
        <c:tickLblPos val="nextTo"/>
        <c:crossAx val="1006166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0"/>
          <c:spPr>
            <a:solidFill>
              <a:schemeClr val="bg1">
                <a:lumMod val="75000"/>
              </a:schemeClr>
            </a:solidFill>
            <a:ln>
              <a:noFill/>
            </a:ln>
            <a:effectLst/>
          </c:spPr>
          <c:invertIfNegative val="0"/>
          <c:dLbls>
            <c:spPr>
              <a:noFill/>
              <a:ln>
                <a:noFill/>
              </a:ln>
              <a:effectLst/>
            </c:spPr>
            <c:txPr>
              <a:bodyPr rot="-5400000" spcFirstLastPara="1" vertOverflow="ellipsis" wrap="square" anchor="ctr" anchorCtr="1"/>
              <a:lstStyle/>
              <a:p>
                <a:pPr>
                  <a:defRPr sz="800" b="1" i="0" u="none" strike="noStrike" kern="1200" baseline="0">
                    <a:ln>
                      <a:noFill/>
                    </a:ln>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Sheet2!$AF$5:$AF$105</c:f>
              <c:numCache>
                <c:formatCode>General</c:formatCode>
                <c:ptCount val="101"/>
                <c:pt idx="3" formatCode="0.00">
                  <c:v>31.93700402542396</c:v>
                </c:pt>
                <c:pt idx="6" formatCode="0.00">
                  <c:v>22.995000000000001</c:v>
                </c:pt>
                <c:pt idx="9" formatCode="0.00">
                  <c:v>0.17</c:v>
                </c:pt>
                <c:pt idx="10" formatCode="0.00">
                  <c:v>0.11767</c:v>
                </c:pt>
                <c:pt idx="11" formatCode="0.00">
                  <c:v>7.29</c:v>
                </c:pt>
                <c:pt idx="12" formatCode="0.00">
                  <c:v>7.6273420674183345</c:v>
                </c:pt>
                <c:pt idx="15" formatCode="0.00">
                  <c:v>3.91</c:v>
                </c:pt>
                <c:pt idx="17" formatCode="0.00">
                  <c:v>1.6193217589982112</c:v>
                </c:pt>
                <c:pt idx="18" formatCode="0.00">
                  <c:v>0.17</c:v>
                </c:pt>
                <c:pt idx="19" formatCode="0.00">
                  <c:v>12.385449341590647</c:v>
                </c:pt>
                <c:pt idx="20" formatCode="0.00">
                  <c:v>1.9</c:v>
                </c:pt>
                <c:pt idx="21" formatCode="0.00">
                  <c:v>0.17</c:v>
                </c:pt>
                <c:pt idx="23" formatCode="0.00">
                  <c:v>0.11767</c:v>
                </c:pt>
                <c:pt idx="24" formatCode="0.00">
                  <c:v>0.17</c:v>
                </c:pt>
                <c:pt idx="27" formatCode="0.00">
                  <c:v>10.235957694070322</c:v>
                </c:pt>
                <c:pt idx="28" formatCode="0.00">
                  <c:v>29.764999999999997</c:v>
                </c:pt>
                <c:pt idx="30" formatCode="0.00">
                  <c:v>1.3198985550114553</c:v>
                </c:pt>
                <c:pt idx="31" formatCode="0.00">
                  <c:v>3.74</c:v>
                </c:pt>
                <c:pt idx="33" formatCode="0.00">
                  <c:v>0.17</c:v>
                </c:pt>
                <c:pt idx="34" formatCode="0.00">
                  <c:v>0.6</c:v>
                </c:pt>
                <c:pt idx="35" formatCode="0.00">
                  <c:v>7.29</c:v>
                </c:pt>
                <c:pt idx="36" formatCode="0.00">
                  <c:v>0.28766999999999998</c:v>
                </c:pt>
                <c:pt idx="37" formatCode="0.00">
                  <c:v>1.9</c:v>
                </c:pt>
                <c:pt idx="39" formatCode="0.00">
                  <c:v>0.17</c:v>
                </c:pt>
                <c:pt idx="42" formatCode="0.00">
                  <c:v>0.17</c:v>
                </c:pt>
                <c:pt idx="43" formatCode="0.00">
                  <c:v>7.9923299999999999</c:v>
                </c:pt>
                <c:pt idx="46" formatCode="0.00">
                  <c:v>0.17</c:v>
                </c:pt>
                <c:pt idx="47" formatCode="0.00">
                  <c:v>3.74</c:v>
                </c:pt>
                <c:pt idx="48" formatCode="0.00">
                  <c:v>0.17</c:v>
                </c:pt>
                <c:pt idx="49" formatCode="0.00">
                  <c:v>0.71767000000000003</c:v>
                </c:pt>
                <c:pt idx="50" formatCode="0.00">
                  <c:v>22.824999999999999</c:v>
                </c:pt>
                <c:pt idx="51" formatCode="0.00">
                  <c:v>7.63</c:v>
                </c:pt>
                <c:pt idx="54" formatCode="0.00">
                  <c:v>2.0699999999999998</c:v>
                </c:pt>
                <c:pt idx="56" formatCode="0.00">
                  <c:v>0.87233000000000005</c:v>
                </c:pt>
                <c:pt idx="57" formatCode="0.00">
                  <c:v>0.17</c:v>
                </c:pt>
                <c:pt idx="59" formatCode="0.00">
                  <c:v>8.0299999999999994</c:v>
                </c:pt>
                <c:pt idx="60" formatCode="0.00">
                  <c:v>0.17</c:v>
                </c:pt>
                <c:pt idx="61" formatCode="0.00">
                  <c:v>0.17</c:v>
                </c:pt>
                <c:pt idx="62" formatCode="0.00">
                  <c:v>0.11767</c:v>
                </c:pt>
                <c:pt idx="63" formatCode="0.00">
                  <c:v>11.200000000000001</c:v>
                </c:pt>
                <c:pt idx="64" formatCode="0.00">
                  <c:v>0.6</c:v>
                </c:pt>
                <c:pt idx="65" formatCode="0.00">
                  <c:v>6.2</c:v>
                </c:pt>
                <c:pt idx="66" formatCode="0.00">
                  <c:v>0.34</c:v>
                </c:pt>
                <c:pt idx="67" formatCode="0.00">
                  <c:v>20.67</c:v>
                </c:pt>
                <c:pt idx="69" formatCode="0.00">
                  <c:v>0.87233000000000005</c:v>
                </c:pt>
                <c:pt idx="70" formatCode="0.00">
                  <c:v>13.91</c:v>
                </c:pt>
                <c:pt idx="71" formatCode="0.00">
                  <c:v>2.0699999999999998</c:v>
                </c:pt>
                <c:pt idx="72" formatCode="0.00">
                  <c:v>22.995000000000001</c:v>
                </c:pt>
                <c:pt idx="75" formatCode="0.00">
                  <c:v>7.5776700000000003</c:v>
                </c:pt>
                <c:pt idx="76" formatCode="0.00">
                  <c:v>0.17</c:v>
                </c:pt>
                <c:pt idx="77" formatCode="0.00">
                  <c:v>12.42</c:v>
                </c:pt>
                <c:pt idx="78" formatCode="0.00">
                  <c:v>0.17</c:v>
                </c:pt>
                <c:pt idx="79" formatCode="0.00">
                  <c:v>4.34</c:v>
                </c:pt>
                <c:pt idx="81" formatCode="0.00">
                  <c:v>0.34</c:v>
                </c:pt>
                <c:pt idx="82" formatCode="0.00">
                  <c:v>0.70233000000000001</c:v>
                </c:pt>
                <c:pt idx="83" formatCode="0.00">
                  <c:v>7.29</c:v>
                </c:pt>
                <c:pt idx="84" formatCode="0.00">
                  <c:v>0.17</c:v>
                </c:pt>
                <c:pt idx="86" formatCode="0.00">
                  <c:v>0.17</c:v>
                </c:pt>
                <c:pt idx="87" formatCode="0.00">
                  <c:v>0.17</c:v>
                </c:pt>
                <c:pt idx="88" formatCode="0.00">
                  <c:v>2.0176699999999999</c:v>
                </c:pt>
                <c:pt idx="90" formatCode="0.00">
                  <c:v>7.11</c:v>
                </c:pt>
                <c:pt idx="91" formatCode="0.00">
                  <c:v>7.46</c:v>
                </c:pt>
                <c:pt idx="93" formatCode="0.00">
                  <c:v>0.17</c:v>
                </c:pt>
                <c:pt idx="94" formatCode="0.00">
                  <c:v>23.425000000000001</c:v>
                </c:pt>
                <c:pt idx="95" formatCode="0.00">
                  <c:v>4.4423300000000001</c:v>
                </c:pt>
                <c:pt idx="96" formatCode="0.00">
                  <c:v>0.34</c:v>
                </c:pt>
                <c:pt idx="99" formatCode="0.00">
                  <c:v>7.46</c:v>
                </c:pt>
              </c:numCache>
            </c:numRef>
          </c:val>
          <c:extLst>
            <c:ext xmlns:c16="http://schemas.microsoft.com/office/drawing/2014/chart" uri="{C3380CC4-5D6E-409C-BE32-E72D297353CC}">
              <c16:uniqueId val="{00000002-BADF-4152-B282-FED9031CD84F}"/>
            </c:ext>
          </c:extLst>
        </c:ser>
        <c:dLbls>
          <c:dLblPos val="outEnd"/>
          <c:showLegendKey val="0"/>
          <c:showVal val="1"/>
          <c:showCatName val="0"/>
          <c:showSerName val="0"/>
          <c:showPercent val="0"/>
          <c:showBubbleSize val="0"/>
        </c:dLbls>
        <c:gapWidth val="150"/>
        <c:axId val="546488856"/>
        <c:axId val="546490824"/>
      </c:barChart>
      <c:catAx>
        <c:axId val="546488856"/>
        <c:scaling>
          <c:orientation val="minMax"/>
        </c:scaling>
        <c:delete val="0"/>
        <c:axPos val="b"/>
        <c:title>
          <c:tx>
            <c:rich>
              <a:bodyPr rot="0" spcFirstLastPara="1" vertOverflow="ellipsis" vert="horz" wrap="square" anchor="ctr" anchorCtr="1"/>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r>
                  <a:rPr lang="en-GB" sz="900">
                    <a:solidFill>
                      <a:sysClr val="windowText" lastClr="000000"/>
                    </a:solidFill>
                    <a:latin typeface="Arial" panose="020B0604020202020204" pitchFamily="34" charset="0"/>
                    <a:cs typeface="Arial" panose="020B0604020202020204" pitchFamily="34" charset="0"/>
                  </a:rPr>
                  <a:t>Year in Analysis Period</a:t>
                </a:r>
              </a:p>
            </c:rich>
          </c:tx>
          <c:overlay val="0"/>
          <c:spPr>
            <a:noFill/>
            <a:ln>
              <a:noFill/>
            </a:ln>
            <a:effectLst/>
          </c:spPr>
          <c:txPr>
            <a:bodyPr rot="0" spcFirstLastPara="1" vertOverflow="ellipsis" vert="horz" wrap="square" anchor="ctr" anchorCtr="1"/>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n-US"/>
            </a:p>
          </c:txPr>
        </c:title>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n-US"/>
          </a:p>
        </c:txPr>
        <c:crossAx val="546490824"/>
        <c:crosses val="autoZero"/>
        <c:auto val="1"/>
        <c:lblAlgn val="ctr"/>
        <c:lblOffset val="100"/>
        <c:noMultiLvlLbl val="0"/>
      </c:catAx>
      <c:valAx>
        <c:axId val="546490824"/>
        <c:scaling>
          <c:orientation val="minMax"/>
        </c:scaling>
        <c:delete val="1"/>
        <c:axPos val="l"/>
        <c:numFmt formatCode="General" sourceLinked="1"/>
        <c:majorTickMark val="none"/>
        <c:minorTickMark val="none"/>
        <c:tickLblPos val="nextTo"/>
        <c:crossAx val="546488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n>
            <a:noFill/>
          </a:ln>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Sheet2!$BH$5:$BH$105</c:f>
            </c:numRef>
          </c:val>
          <c:extLst>
            <c:ext xmlns:c16="http://schemas.microsoft.com/office/drawing/2014/chart" uri="{C3380CC4-5D6E-409C-BE32-E72D297353CC}">
              <c16:uniqueId val="{00000001-AAEB-4FDA-B16B-C4036AAFBD22}"/>
            </c:ext>
          </c:extLst>
        </c:ser>
        <c:ser>
          <c:idx val="2"/>
          <c:order val="1"/>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Sheet2!$BI$5:$BI$105</c:f>
            </c:numRef>
          </c:val>
          <c:extLst>
            <c:ext xmlns:c16="http://schemas.microsoft.com/office/drawing/2014/chart" uri="{C3380CC4-5D6E-409C-BE32-E72D297353CC}">
              <c16:uniqueId val="{00000002-AAEB-4FDA-B16B-C4036AAFBD22}"/>
            </c:ext>
          </c:extLst>
        </c:ser>
        <c:ser>
          <c:idx val="3"/>
          <c:order val="2"/>
          <c:spPr>
            <a:solidFill>
              <a:schemeClr val="bg1">
                <a:lumMod val="75000"/>
              </a:schemeClr>
            </a:solidFill>
            <a:ln>
              <a:noFill/>
            </a:ln>
            <a:effectLst/>
          </c:spPr>
          <c:invertIfNegative val="0"/>
          <c:dLbls>
            <c:spPr>
              <a:noFill/>
              <a:ln>
                <a:noFill/>
              </a:ln>
              <a:effectLst/>
            </c:spPr>
            <c:txPr>
              <a:bodyPr rot="-5400000" spcFirstLastPara="1" vertOverflow="ellipsis" wrap="square" anchor="ctr" anchorCtr="1"/>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Sheet2!$BJ$5:$BJ$105</c:f>
              <c:numCache>
                <c:formatCode>General</c:formatCode>
                <c:ptCount val="101"/>
                <c:pt idx="2" formatCode="0.00">
                  <c:v>16.64293854364378</c:v>
                </c:pt>
                <c:pt idx="7" formatCode="0.00">
                  <c:v>22.824999999999999</c:v>
                </c:pt>
                <c:pt idx="12" formatCode="0.00">
                  <c:v>14.384342193447019</c:v>
                </c:pt>
                <c:pt idx="15" formatCode="0.00">
                  <c:v>3.5625</c:v>
                </c:pt>
                <c:pt idx="19" formatCode="0.00">
                  <c:v>0.85</c:v>
                </c:pt>
                <c:pt idx="22" formatCode="0.00">
                  <c:v>25.713449053984633</c:v>
                </c:pt>
                <c:pt idx="29" formatCode="0.00">
                  <c:v>3.5883500000000002</c:v>
                </c:pt>
                <c:pt idx="32" formatCode="0.00">
                  <c:v>14.34</c:v>
                </c:pt>
                <c:pt idx="33" formatCode="0.00">
                  <c:v>46.112499999999997</c:v>
                </c:pt>
                <c:pt idx="36" formatCode="0.00">
                  <c:v>3.5116499999999999</c:v>
                </c:pt>
                <c:pt idx="42" formatCode="0.00">
                  <c:v>7.29</c:v>
                </c:pt>
                <c:pt idx="44" formatCode="0.00">
                  <c:v>1.3875</c:v>
                </c:pt>
                <c:pt idx="47" formatCode="0.00">
                  <c:v>3.5625</c:v>
                </c:pt>
                <c:pt idx="48" formatCode="0.00">
                  <c:v>2.1</c:v>
                </c:pt>
                <c:pt idx="52" formatCode="0.00">
                  <c:v>7.29</c:v>
                </c:pt>
                <c:pt idx="53" formatCode="0.00">
                  <c:v>3</c:v>
                </c:pt>
                <c:pt idx="59" formatCode="0.00">
                  <c:v>22.824999999999999</c:v>
                </c:pt>
                <c:pt idx="62" formatCode="0.00">
                  <c:v>60.502499999999998</c:v>
                </c:pt>
                <c:pt idx="70" formatCode="0.00">
                  <c:v>0.58835000000000004</c:v>
                </c:pt>
                <c:pt idx="71" formatCode="0.00">
                  <c:v>14.15</c:v>
                </c:pt>
                <c:pt idx="72" formatCode="0.00">
                  <c:v>7.29</c:v>
                </c:pt>
                <c:pt idx="73" formatCode="0.00">
                  <c:v>7.05</c:v>
                </c:pt>
                <c:pt idx="77" formatCode="0.00">
                  <c:v>6.5116499999999995</c:v>
                </c:pt>
                <c:pt idx="79" formatCode="0.00">
                  <c:v>3.5625</c:v>
                </c:pt>
                <c:pt idx="82" formatCode="0.00">
                  <c:v>7.29</c:v>
                </c:pt>
                <c:pt idx="85" formatCode="0.00">
                  <c:v>22.824999999999999</c:v>
                </c:pt>
                <c:pt idx="90" formatCode="0.00">
                  <c:v>1.3875</c:v>
                </c:pt>
                <c:pt idx="92" formatCode="0.00">
                  <c:v>7.29</c:v>
                </c:pt>
                <c:pt idx="93" formatCode="0.00">
                  <c:v>53.212499999999999</c:v>
                </c:pt>
              </c:numCache>
            </c:numRef>
          </c:val>
          <c:extLst>
            <c:ext xmlns:c16="http://schemas.microsoft.com/office/drawing/2014/chart" uri="{C3380CC4-5D6E-409C-BE32-E72D297353CC}">
              <c16:uniqueId val="{00000003-AAEB-4FDA-B16B-C4036AAFBD22}"/>
            </c:ext>
          </c:extLst>
        </c:ser>
        <c:dLbls>
          <c:dLblPos val="outEnd"/>
          <c:showLegendKey val="0"/>
          <c:showVal val="1"/>
          <c:showCatName val="0"/>
          <c:showSerName val="0"/>
          <c:showPercent val="0"/>
          <c:showBubbleSize val="0"/>
        </c:dLbls>
        <c:gapWidth val="150"/>
        <c:axId val="1006160600"/>
        <c:axId val="1006162568"/>
      </c:barChart>
      <c:catAx>
        <c:axId val="1006160600"/>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900">
                    <a:solidFill>
                      <a:sysClr val="windowText" lastClr="000000"/>
                    </a:solidFill>
                  </a:rPr>
                  <a:t>Year in Analysis Period</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06162568"/>
        <c:crosses val="autoZero"/>
        <c:auto val="1"/>
        <c:lblAlgn val="ctr"/>
        <c:lblOffset val="100"/>
        <c:noMultiLvlLbl val="0"/>
      </c:catAx>
      <c:valAx>
        <c:axId val="1006162568"/>
        <c:scaling>
          <c:orientation val="minMax"/>
        </c:scaling>
        <c:delete val="1"/>
        <c:axPos val="l"/>
        <c:numFmt formatCode="General" sourceLinked="1"/>
        <c:majorTickMark val="none"/>
        <c:minorTickMark val="none"/>
        <c:tickLblPos val="nextTo"/>
        <c:crossAx val="1006160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0" i="0" u="none" strike="noStrike" kern="1200" cap="none" spc="0" normalizeH="0" baseline="0">
                <a:solidFill>
                  <a:sysClr val="windowText" lastClr="000000"/>
                </a:solidFill>
                <a:latin typeface="+mj-lt"/>
                <a:ea typeface="+mj-ea"/>
                <a:cs typeface="+mj-cs"/>
              </a:defRPr>
            </a:pPr>
            <a:r>
              <a:rPr lang="en-GB" sz="1200" b="0">
                <a:solidFill>
                  <a:sysClr val="windowText" lastClr="000000"/>
                </a:solidFill>
                <a:latin typeface="Arial" panose="020B0604020202020204" pitchFamily="34" charset="0"/>
                <a:cs typeface="Arial" panose="020B0604020202020204" pitchFamily="34" charset="0"/>
              </a:rPr>
              <a:t>Expenditure</a:t>
            </a:r>
            <a:r>
              <a:rPr lang="en-GB" sz="1200" b="0" baseline="0">
                <a:solidFill>
                  <a:sysClr val="windowText" lastClr="000000"/>
                </a:solidFill>
                <a:latin typeface="Arial" panose="020B0604020202020204" pitchFamily="34" charset="0"/>
                <a:cs typeface="Arial" panose="020B0604020202020204" pitchFamily="34" charset="0"/>
              </a:rPr>
              <a:t> </a:t>
            </a:r>
            <a:r>
              <a:rPr lang="en-GB" sz="1200" b="0">
                <a:solidFill>
                  <a:sysClr val="windowText" lastClr="000000"/>
                </a:solidFill>
                <a:latin typeface="Arial" panose="020B0604020202020204" pitchFamily="34" charset="0"/>
                <a:cs typeface="Arial" panose="020B0604020202020204" pitchFamily="34" charset="0"/>
              </a:rPr>
              <a:t>(Planned Preventive)</a:t>
            </a:r>
          </a:p>
        </c:rich>
      </c:tx>
      <c:layout>
        <c:manualLayout>
          <c:xMode val="edge"/>
          <c:yMode val="edge"/>
          <c:x val="0.30118537697744574"/>
          <c:y val="2.6425066062665158E-2"/>
        </c:manualLayout>
      </c:layout>
      <c:overlay val="0"/>
      <c:spPr>
        <a:noFill/>
        <a:ln>
          <a:noFill/>
        </a:ln>
        <a:effectLst/>
      </c:spPr>
      <c:txPr>
        <a:bodyPr rot="0" spcFirstLastPara="1" vertOverflow="ellipsis" vert="horz" wrap="square" anchor="ctr" anchorCtr="1"/>
        <a:lstStyle/>
        <a:p>
          <a:pPr algn="ctr">
            <a:defRPr sz="1200" b="0" i="0" u="none" strike="noStrike" kern="1200" cap="none" spc="0" normalizeH="0" baseline="0">
              <a:solidFill>
                <a:sysClr val="windowText" lastClr="000000"/>
              </a:solidFill>
              <a:latin typeface="+mj-lt"/>
              <a:ea typeface="+mj-ea"/>
              <a:cs typeface="+mj-cs"/>
            </a:defRPr>
          </a:pPr>
          <a:endParaRPr lang="en-US"/>
        </a:p>
      </c:txPr>
    </c:title>
    <c:autoTitleDeleted val="0"/>
    <c:plotArea>
      <c:layout/>
      <c:barChart>
        <c:barDir val="col"/>
        <c:grouping val="clustered"/>
        <c:varyColors val="0"/>
        <c:ser>
          <c:idx val="0"/>
          <c:order val="0"/>
          <c:tx>
            <c:strRef>
              <c:f>Dashboard!$F$4</c:f>
              <c:strCache>
                <c:ptCount val="1"/>
                <c:pt idx="0">
                  <c:v>Expenditure </c:v>
                </c:pt>
              </c:strCache>
            </c:strRef>
          </c:tx>
          <c:spPr>
            <a:solidFill>
              <a:schemeClr val="tx1"/>
            </a:solidFill>
            <a:ln>
              <a:solidFill>
                <a:schemeClr val="tx1"/>
              </a:solidFill>
            </a:ln>
            <a:effectLst/>
          </c:spPr>
          <c:invertIfNegative val="0"/>
          <c:trendline>
            <c:spPr>
              <a:ln w="19050" cap="rnd">
                <a:solidFill>
                  <a:schemeClr val="accent1"/>
                </a:solidFill>
                <a:round/>
              </a:ln>
              <a:effectLst/>
            </c:spPr>
            <c:trendlineType val="linear"/>
            <c:forward val="2"/>
            <c:dispRSqr val="0"/>
            <c:dispEq val="0"/>
          </c:trendline>
          <c:cat>
            <c:numRef>
              <c:f>Dashboard!$E$5:$E$105</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Dashboard!$F$5:$F$105</c:f>
              <c:numCache>
                <c:formatCode>"£"#,##0</c:formatCode>
                <c:ptCount val="101"/>
                <c:pt idx="1">
                  <c:v>0</c:v>
                </c:pt>
                <c:pt idx="2">
                  <c:v>0</c:v>
                </c:pt>
                <c:pt idx="3">
                  <c:v>130195.82750701964</c:v>
                </c:pt>
                <c:pt idx="4">
                  <c:v>0</c:v>
                </c:pt>
                <c:pt idx="5">
                  <c:v>0</c:v>
                </c:pt>
                <c:pt idx="6">
                  <c:v>148524.096189487</c:v>
                </c:pt>
                <c:pt idx="7">
                  <c:v>0</c:v>
                </c:pt>
                <c:pt idx="8">
                  <c:v>0</c:v>
                </c:pt>
                <c:pt idx="9">
                  <c:v>456.87376518080407</c:v>
                </c:pt>
                <c:pt idx="10">
                  <c:v>1700.3873856013001</c:v>
                </c:pt>
                <c:pt idx="11">
                  <c:v>21662.912748986371</c:v>
                </c:pt>
                <c:pt idx="12">
                  <c:v>456.87376518080407</c:v>
                </c:pt>
                <c:pt idx="13">
                  <c:v>0</c:v>
                </c:pt>
                <c:pt idx="14">
                  <c:v>0</c:v>
                </c:pt>
                <c:pt idx="15">
                  <c:v>25456.435103667922</c:v>
                </c:pt>
                <c:pt idx="16">
                  <c:v>0</c:v>
                </c:pt>
                <c:pt idx="17">
                  <c:v>11281.993959541191</c:v>
                </c:pt>
                <c:pt idx="18">
                  <c:v>456.87376518080407</c:v>
                </c:pt>
                <c:pt idx="19">
                  <c:v>62763.784302168388</c:v>
                </c:pt>
                <c:pt idx="20">
                  <c:v>13963.912535437599</c:v>
                </c:pt>
                <c:pt idx="21">
                  <c:v>456.87376518080407</c:v>
                </c:pt>
                <c:pt idx="22">
                  <c:v>0</c:v>
                </c:pt>
                <c:pt idx="23">
                  <c:v>1700.3873856013001</c:v>
                </c:pt>
                <c:pt idx="24">
                  <c:v>456.87376518080407</c:v>
                </c:pt>
                <c:pt idx="25">
                  <c:v>0</c:v>
                </c:pt>
                <c:pt idx="26">
                  <c:v>0</c:v>
                </c:pt>
                <c:pt idx="27">
                  <c:v>21854.466593241865</c:v>
                </c:pt>
                <c:pt idx="28">
                  <c:v>455971.53648250439</c:v>
                </c:pt>
                <c:pt idx="29">
                  <c:v>0</c:v>
                </c:pt>
                <c:pt idx="30">
                  <c:v>11473.547803796684</c:v>
                </c:pt>
                <c:pt idx="31">
                  <c:v>25141.144614675963</c:v>
                </c:pt>
                <c:pt idx="32">
                  <c:v>0</c:v>
                </c:pt>
                <c:pt idx="33">
                  <c:v>456.87376518080407</c:v>
                </c:pt>
                <c:pt idx="34">
                  <c:v>41100.871553182013</c:v>
                </c:pt>
                <c:pt idx="35">
                  <c:v>21662.912748986371</c:v>
                </c:pt>
                <c:pt idx="36">
                  <c:v>2015.6778745932611</c:v>
                </c:pt>
                <c:pt idx="37">
                  <c:v>13963.912535437599</c:v>
                </c:pt>
                <c:pt idx="38">
                  <c:v>0</c:v>
                </c:pt>
                <c:pt idx="39">
                  <c:v>456.87376518080407</c:v>
                </c:pt>
                <c:pt idx="40">
                  <c:v>0</c:v>
                </c:pt>
                <c:pt idx="41">
                  <c:v>0</c:v>
                </c:pt>
                <c:pt idx="42">
                  <c:v>456.87376518080407</c:v>
                </c:pt>
                <c:pt idx="43">
                  <c:v>31739.764667702373</c:v>
                </c:pt>
                <c:pt idx="44">
                  <c:v>0</c:v>
                </c:pt>
                <c:pt idx="45">
                  <c:v>456.87376518080407</c:v>
                </c:pt>
                <c:pt idx="46">
                  <c:v>0</c:v>
                </c:pt>
                <c:pt idx="47">
                  <c:v>25141.144614675963</c:v>
                </c:pt>
                <c:pt idx="48">
                  <c:v>456.87376518080407</c:v>
                </c:pt>
                <c:pt idx="49">
                  <c:v>42801.258938783314</c:v>
                </c:pt>
                <c:pt idx="50">
                  <c:v>148132.49010504631</c:v>
                </c:pt>
                <c:pt idx="51">
                  <c:v>22081.951655488137</c:v>
                </c:pt>
                <c:pt idx="52">
                  <c:v>0</c:v>
                </c:pt>
                <c:pt idx="53">
                  <c:v>0</c:v>
                </c:pt>
                <c:pt idx="54">
                  <c:v>14420.786300618402</c:v>
                </c:pt>
                <c:pt idx="55">
                  <c:v>0</c:v>
                </c:pt>
                <c:pt idx="56">
                  <c:v>11509.479021787465</c:v>
                </c:pt>
                <c:pt idx="57">
                  <c:v>456.87376518080407</c:v>
                </c:pt>
                <c:pt idx="58">
                  <c:v>0</c:v>
                </c:pt>
                <c:pt idx="59">
                  <c:v>69131.561169638997</c:v>
                </c:pt>
                <c:pt idx="60">
                  <c:v>456.87376518080407</c:v>
                </c:pt>
                <c:pt idx="61">
                  <c:v>227.48506224627539</c:v>
                </c:pt>
                <c:pt idx="62">
                  <c:v>1700.3873856013001</c:v>
                </c:pt>
                <c:pt idx="63">
                  <c:v>25456.435103667922</c:v>
                </c:pt>
                <c:pt idx="64">
                  <c:v>41100.871553182013</c:v>
                </c:pt>
                <c:pt idx="65">
                  <c:v>295982.61501544656</c:v>
                </c:pt>
                <c:pt idx="66">
                  <c:v>684.35882742707952</c:v>
                </c:pt>
                <c:pt idx="67">
                  <c:v>313049.87182184943</c:v>
                </c:pt>
                <c:pt idx="68">
                  <c:v>0</c:v>
                </c:pt>
                <c:pt idx="69">
                  <c:v>11473.547803796684</c:v>
                </c:pt>
                <c:pt idx="70">
                  <c:v>39186.400344065594</c:v>
                </c:pt>
                <c:pt idx="71">
                  <c:v>14004.33758513037</c:v>
                </c:pt>
                <c:pt idx="72">
                  <c:v>148524.096189487</c:v>
                </c:pt>
                <c:pt idx="73">
                  <c:v>0</c:v>
                </c:pt>
                <c:pt idx="74">
                  <c:v>0</c:v>
                </c:pt>
                <c:pt idx="75">
                  <c:v>23366.076277258042</c:v>
                </c:pt>
                <c:pt idx="76">
                  <c:v>227.48506224627539</c:v>
                </c:pt>
                <c:pt idx="77">
                  <c:v>81731.635003336793</c:v>
                </c:pt>
                <c:pt idx="78">
                  <c:v>456.87376518080407</c:v>
                </c:pt>
                <c:pt idx="79">
                  <c:v>66242.016167857961</c:v>
                </c:pt>
                <c:pt idx="80">
                  <c:v>0</c:v>
                </c:pt>
                <c:pt idx="81">
                  <c:v>684.35882742707952</c:v>
                </c:pt>
                <c:pt idx="82">
                  <c:v>11281.993959541191</c:v>
                </c:pt>
                <c:pt idx="83">
                  <c:v>21662.912748986371</c:v>
                </c:pt>
                <c:pt idx="84">
                  <c:v>456.87376518080407</c:v>
                </c:pt>
                <c:pt idx="85">
                  <c:v>0</c:v>
                </c:pt>
                <c:pt idx="86">
                  <c:v>227.48506224627539</c:v>
                </c:pt>
                <c:pt idx="87">
                  <c:v>456.87376518080407</c:v>
                </c:pt>
                <c:pt idx="88">
                  <c:v>15664.299921038899</c:v>
                </c:pt>
                <c:pt idx="89">
                  <c:v>0</c:v>
                </c:pt>
                <c:pt idx="90">
                  <c:v>59447.449047439921</c:v>
                </c:pt>
                <c:pt idx="91">
                  <c:v>21890.397811232651</c:v>
                </c:pt>
                <c:pt idx="92">
                  <c:v>0</c:v>
                </c:pt>
                <c:pt idx="93">
                  <c:v>456.87376518080407</c:v>
                </c:pt>
                <c:pt idx="94">
                  <c:v>167153.66786207378</c:v>
                </c:pt>
                <c:pt idx="95">
                  <c:v>35780.035870817163</c:v>
                </c:pt>
                <c:pt idx="96">
                  <c:v>684.35882742707952</c:v>
                </c:pt>
                <c:pt idx="97">
                  <c:v>0</c:v>
                </c:pt>
                <c:pt idx="98">
                  <c:v>0</c:v>
                </c:pt>
                <c:pt idx="99">
                  <c:v>21854.466593241865</c:v>
                </c:pt>
                <c:pt idx="100">
                  <c:v>0</c:v>
                </c:pt>
              </c:numCache>
            </c:numRef>
          </c:val>
          <c:extLst>
            <c:ext xmlns:c16="http://schemas.microsoft.com/office/drawing/2014/chart" uri="{C3380CC4-5D6E-409C-BE32-E72D297353CC}">
              <c16:uniqueId val="{00000000-8B13-47E7-9E26-62F641874D02}"/>
            </c:ext>
          </c:extLst>
        </c:ser>
        <c:dLbls>
          <c:showLegendKey val="0"/>
          <c:showVal val="0"/>
          <c:showCatName val="0"/>
          <c:showSerName val="0"/>
          <c:showPercent val="0"/>
          <c:showBubbleSize val="0"/>
        </c:dLbls>
        <c:gapWidth val="269"/>
        <c:axId val="936208136"/>
        <c:axId val="936204200"/>
      </c:barChart>
      <c:catAx>
        <c:axId val="936208136"/>
        <c:scaling>
          <c:orientation val="minMax"/>
        </c:scaling>
        <c:delete val="0"/>
        <c:axPos val="b"/>
        <c:title>
          <c:tx>
            <c:rich>
              <a:bodyPr rot="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r>
                  <a:rPr lang="en-GB" cap="none">
                    <a:solidFill>
                      <a:sysClr val="windowText" lastClr="000000"/>
                    </a:solidFill>
                    <a:latin typeface="Arial" panose="020B0604020202020204" pitchFamily="34" charset="0"/>
                    <a:cs typeface="Arial" panose="020B0604020202020204" pitchFamily="34" charset="0"/>
                  </a:rPr>
                  <a:t>Year</a:t>
                </a:r>
              </a:p>
            </c:rich>
          </c:tx>
          <c:layout>
            <c:manualLayout>
              <c:xMode val="edge"/>
              <c:yMode val="edge"/>
              <c:x val="0.53889899869318902"/>
              <c:y val="0.92697229380868729"/>
            </c:manualLayout>
          </c:layout>
          <c:overlay val="0"/>
          <c:spPr>
            <a:noFill/>
            <a:ln>
              <a:noFill/>
            </a:ln>
            <a:effectLst/>
          </c:spPr>
          <c:txPr>
            <a:bodyPr rot="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Arial" panose="020B0604020202020204" pitchFamily="34" charset="0"/>
                <a:ea typeface="+mn-ea"/>
                <a:cs typeface="Arial" panose="020B0604020202020204" pitchFamily="34" charset="0"/>
              </a:defRPr>
            </a:pPr>
            <a:endParaRPr lang="en-US"/>
          </a:p>
        </c:txPr>
        <c:crossAx val="936204200"/>
        <c:crosses val="autoZero"/>
        <c:auto val="1"/>
        <c:lblAlgn val="ctr"/>
        <c:lblOffset val="100"/>
        <c:noMultiLvlLbl val="0"/>
      </c:catAx>
      <c:valAx>
        <c:axId val="936204200"/>
        <c:scaling>
          <c:orientation val="minMax"/>
          <c:max val="8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r>
                  <a:rPr lang="en-GB" cap="none">
                    <a:solidFill>
                      <a:sysClr val="windowText" lastClr="000000"/>
                    </a:solidFill>
                    <a:latin typeface="Arial" panose="020B0604020202020204" pitchFamily="34" charset="0"/>
                    <a:cs typeface="Arial" panose="020B0604020202020204" pitchFamily="34" charset="0"/>
                  </a:rPr>
                  <a:t>Expenditure (£)</a:t>
                </a:r>
              </a:p>
            </c:rich>
          </c:tx>
          <c:overlay val="0"/>
          <c:spPr>
            <a:noFill/>
            <a:ln>
              <a:noFill/>
            </a:ln>
            <a:effectLst/>
          </c:spPr>
          <c:txPr>
            <a:bodyPr rot="-5400000" spcFirstLastPara="1" vertOverflow="ellipsis" vert="horz" wrap="square" anchor="ctr" anchorCtr="1"/>
            <a:lstStyle/>
            <a:p>
              <a:pPr>
                <a:defRPr sz="9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quot;£&quot;#,##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36208136"/>
        <c:crosses val="autoZero"/>
        <c:crossBetween val="between"/>
      </c:valAx>
      <c:spPr>
        <a:noFill/>
        <a:ln>
          <a:solidFill>
            <a:srgbClr val="000000"/>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EA734A35AA4EBC96EA513BC359447E"/>
        <w:category>
          <w:name w:val="General"/>
          <w:gallery w:val="placeholder"/>
        </w:category>
        <w:types>
          <w:type w:val="bbPlcHdr"/>
        </w:types>
        <w:behaviors>
          <w:behavior w:val="content"/>
        </w:behaviors>
        <w:guid w:val="{57517860-11D1-4649-B60B-FDA041197603}"/>
      </w:docPartPr>
      <w:docPartBody>
        <w:p w:rsidR="000C48E2" w:rsidRDefault="00F918C5" w:rsidP="00F918C5">
          <w:pPr>
            <w:pStyle w:val="72EA734A35AA4EBC96EA513BC359447E"/>
          </w:pPr>
          <w:r>
            <w:rPr>
              <w:color w:val="4472C4" w:themeColor="accent1"/>
            </w:rPr>
            <w:t>[Document title]</w:t>
          </w:r>
        </w:p>
      </w:docPartBody>
    </w:docPart>
    <w:docPart>
      <w:docPartPr>
        <w:name w:val="9219F0D0EE094E77AFEDD9E1094D82A9"/>
        <w:category>
          <w:name w:val="General"/>
          <w:gallery w:val="placeholder"/>
        </w:category>
        <w:types>
          <w:type w:val="bbPlcHdr"/>
        </w:types>
        <w:behaviors>
          <w:behavior w:val="content"/>
        </w:behaviors>
        <w:guid w:val="{6FB88181-6C52-4EC1-9AC6-9791FC982C96}"/>
      </w:docPartPr>
      <w:docPartBody>
        <w:p w:rsidR="000C48E2" w:rsidRDefault="00F918C5" w:rsidP="00F918C5">
          <w:pPr>
            <w:pStyle w:val="9219F0D0EE094E77AFEDD9E1094D82A9"/>
          </w:pPr>
          <w:r>
            <w:t>[Author Name]</w:t>
          </w:r>
        </w:p>
      </w:docPartBody>
    </w:docPart>
    <w:docPart>
      <w:docPartPr>
        <w:name w:val="B3C684112FE24A6EA3B7AAAA9BA0C4ED"/>
        <w:category>
          <w:name w:val="General"/>
          <w:gallery w:val="placeholder"/>
        </w:category>
        <w:types>
          <w:type w:val="bbPlcHdr"/>
        </w:types>
        <w:behaviors>
          <w:behavior w:val="content"/>
        </w:behaviors>
        <w:guid w:val="{DE10DF2B-C02A-4D37-A9F8-6EB5B2F8DD6B}"/>
      </w:docPartPr>
      <w:docPartBody>
        <w:p w:rsidR="00017A71" w:rsidRDefault="006601DF" w:rsidP="006601DF">
          <w:pPr>
            <w:pStyle w:val="B3C684112FE24A6EA3B7AAAA9BA0C4ED"/>
          </w:pPr>
          <w:r>
            <w:rPr>
              <w:color w:val="4472C4" w:themeColor="accent1"/>
            </w:rPr>
            <w:t>[Document title]</w:t>
          </w:r>
        </w:p>
      </w:docPartBody>
    </w:docPart>
    <w:docPart>
      <w:docPartPr>
        <w:name w:val="E06AE22E8A7442E6812811538647CABA"/>
        <w:category>
          <w:name w:val="General"/>
          <w:gallery w:val="placeholder"/>
        </w:category>
        <w:types>
          <w:type w:val="bbPlcHdr"/>
        </w:types>
        <w:behaviors>
          <w:behavior w:val="content"/>
        </w:behaviors>
        <w:guid w:val="{88381199-6ED4-4A2B-81C3-50070C04D860}"/>
      </w:docPartPr>
      <w:docPartBody>
        <w:p w:rsidR="00017A71" w:rsidRDefault="006601DF" w:rsidP="006601DF">
          <w:pPr>
            <w:pStyle w:val="E06AE22E8A7442E6812811538647CABA"/>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acobs Chronos">
    <w:altName w:val="Calibri"/>
    <w:charset w:val="00"/>
    <w:family w:val="swiss"/>
    <w:pitch w:val="variable"/>
    <w:sig w:usb0="A00000EF" w:usb1="0000E0EB" w:usb2="00000008" w:usb3="00000000" w:csb0="00000001" w:csb1="00000000"/>
  </w:font>
  <w:font w:name="Segoe UI">
    <w:panose1 w:val="020B0502040204020203"/>
    <w:charset w:val="00"/>
    <w:family w:val="swiss"/>
    <w:pitch w:val="variable"/>
    <w:sig w:usb0="E4002EFF" w:usb1="C000E47F" w:usb2="00000009" w:usb3="00000000" w:csb0="000001FF" w:csb1="00000000"/>
  </w:font>
  <w:font w:name="JCFDE K+ Gulliver">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C5"/>
    <w:rsid w:val="00017A71"/>
    <w:rsid w:val="0002257A"/>
    <w:rsid w:val="000A19F6"/>
    <w:rsid w:val="000A3DBA"/>
    <w:rsid w:val="000C48E2"/>
    <w:rsid w:val="000C7589"/>
    <w:rsid w:val="000D3221"/>
    <w:rsid w:val="00141B7C"/>
    <w:rsid w:val="0020658E"/>
    <w:rsid w:val="0021212B"/>
    <w:rsid w:val="00247D56"/>
    <w:rsid w:val="002A3490"/>
    <w:rsid w:val="002B7871"/>
    <w:rsid w:val="002E24FF"/>
    <w:rsid w:val="002E2AAC"/>
    <w:rsid w:val="0038452E"/>
    <w:rsid w:val="003C08B5"/>
    <w:rsid w:val="00433144"/>
    <w:rsid w:val="00437C01"/>
    <w:rsid w:val="0048498B"/>
    <w:rsid w:val="004D2EC5"/>
    <w:rsid w:val="004F2A29"/>
    <w:rsid w:val="004F4AB2"/>
    <w:rsid w:val="00597FFE"/>
    <w:rsid w:val="00637AA4"/>
    <w:rsid w:val="0065267D"/>
    <w:rsid w:val="006601DF"/>
    <w:rsid w:val="006B3AAC"/>
    <w:rsid w:val="007A22F0"/>
    <w:rsid w:val="0086138C"/>
    <w:rsid w:val="008D0C7B"/>
    <w:rsid w:val="008F18F8"/>
    <w:rsid w:val="00922422"/>
    <w:rsid w:val="00967632"/>
    <w:rsid w:val="00982795"/>
    <w:rsid w:val="00993761"/>
    <w:rsid w:val="009E0118"/>
    <w:rsid w:val="00A6583A"/>
    <w:rsid w:val="00A73BF3"/>
    <w:rsid w:val="00AF3F82"/>
    <w:rsid w:val="00BB0712"/>
    <w:rsid w:val="00BB0786"/>
    <w:rsid w:val="00BC5481"/>
    <w:rsid w:val="00BC7201"/>
    <w:rsid w:val="00BD5342"/>
    <w:rsid w:val="00C21050"/>
    <w:rsid w:val="00C4340A"/>
    <w:rsid w:val="00C71A78"/>
    <w:rsid w:val="00CA5DAE"/>
    <w:rsid w:val="00D53A49"/>
    <w:rsid w:val="00D95B8C"/>
    <w:rsid w:val="00DE4921"/>
    <w:rsid w:val="00F47BE3"/>
    <w:rsid w:val="00F502EA"/>
    <w:rsid w:val="00F646DD"/>
    <w:rsid w:val="00F918C5"/>
    <w:rsid w:val="00FA4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DAE"/>
    <w:rPr>
      <w:color w:val="808080"/>
    </w:rPr>
  </w:style>
  <w:style w:type="paragraph" w:customStyle="1" w:styleId="72EA734A35AA4EBC96EA513BC359447E">
    <w:name w:val="72EA734A35AA4EBC96EA513BC359447E"/>
    <w:rsid w:val="00F918C5"/>
  </w:style>
  <w:style w:type="paragraph" w:customStyle="1" w:styleId="9219F0D0EE094E77AFEDD9E1094D82A9">
    <w:name w:val="9219F0D0EE094E77AFEDD9E1094D82A9"/>
    <w:rsid w:val="00F918C5"/>
  </w:style>
  <w:style w:type="paragraph" w:customStyle="1" w:styleId="B3C684112FE24A6EA3B7AAAA9BA0C4ED">
    <w:name w:val="B3C684112FE24A6EA3B7AAAA9BA0C4ED"/>
    <w:rsid w:val="006601DF"/>
  </w:style>
  <w:style w:type="paragraph" w:customStyle="1" w:styleId="E06AE22E8A7442E6812811538647CABA">
    <w:name w:val="E06AE22E8A7442E6812811538647CABA"/>
    <w:rsid w:val="00660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majorFont>
      <a:minorFont>
        <a:latin typeface="Jacobs Chron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K1742054@kingstin.ac.uk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4381C3B97BA04BBB4DDC103767DDD7" ma:contentTypeVersion="13" ma:contentTypeDescription="Create a new document." ma:contentTypeScope="" ma:versionID="2adf10a7a2ec3c64424c00af6b8bd5a2">
  <xsd:schema xmlns:xsd="http://www.w3.org/2001/XMLSchema" xmlns:xs="http://www.w3.org/2001/XMLSchema" xmlns:p="http://schemas.microsoft.com/office/2006/metadata/properties" xmlns:ns3="762dad03-e9ba-4b3c-b21e-9fdfaf2e1409" xmlns:ns4="2ffe4583-0f18-47fe-ba83-3528d6032fd6" targetNamespace="http://schemas.microsoft.com/office/2006/metadata/properties" ma:root="true" ma:fieldsID="9aa787a8651c0fcf73cc329de35f4125" ns3:_="" ns4:_="">
    <xsd:import namespace="762dad03-e9ba-4b3c-b21e-9fdfaf2e1409"/>
    <xsd:import namespace="2ffe4583-0f18-47fe-ba83-3528d6032f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dad03-e9ba-4b3c-b21e-9fdfaf2e1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e4583-0f18-47fe-ba83-3528d6032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BB0EA8-5A21-4335-82FE-25CEDC566E2F}">
  <ds:schemaRefs>
    <ds:schemaRef ds:uri="http://schemas.openxmlformats.org/officeDocument/2006/bibliography"/>
  </ds:schemaRefs>
</ds:datastoreItem>
</file>

<file path=customXml/itemProps3.xml><?xml version="1.0" encoding="utf-8"?>
<ds:datastoreItem xmlns:ds="http://schemas.openxmlformats.org/officeDocument/2006/customXml" ds:itemID="{FFEC3A02-F861-476E-803F-464A3D7F1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dad03-e9ba-4b3c-b21e-9fdfaf2e1409"/>
    <ds:schemaRef ds:uri="2ffe4583-0f18-47fe-ba83-3528d6032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3833D1-F2CB-463B-8304-063A8BA77C66}">
  <ds:schemaRefs>
    <ds:schemaRef ds:uri="http://schemas.microsoft.com/sharepoint/v3/contenttype/forms"/>
  </ds:schemaRefs>
</ds:datastoreItem>
</file>

<file path=customXml/itemProps5.xml><?xml version="1.0" encoding="utf-8"?>
<ds:datastoreItem xmlns:ds="http://schemas.openxmlformats.org/officeDocument/2006/customXml" ds:itemID="{17910BF8-2BC2-4CD7-BA38-34BBEBDA50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16927</Words>
  <Characters>96484</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Sam Freeman</vt:lpstr>
    </vt:vector>
  </TitlesOfParts>
  <Company>BEng (Hons) Civil Engineering</Company>
  <LinksUpToDate>false</LinksUpToDate>
  <CharactersWithSpaces>113185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 Freeman</dc:title>
  <dc:subject>BEng (Hons) Civil Engineering (part-time)</dc:subject>
  <dc:creator>K1742054</dc:creator>
  <cp:keywords/>
  <dc:description/>
  <cp:lastModifiedBy>Omer, Joshua R</cp:lastModifiedBy>
  <cp:revision>3</cp:revision>
  <dcterms:created xsi:type="dcterms:W3CDTF">2023-03-08T14:07:00Z</dcterms:created>
  <dcterms:modified xsi:type="dcterms:W3CDTF">2024-02-25T13:17:00Z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0x010100074381C3B97BA04BBB4DDC103767DDD7</vt:lpwstr>
  </property>
</Properties>
</file>